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omments.xml" ContentType="application/vnd.openxmlformats-officedocument.wordprocessingml.comments+xml"/>
  <Override PartName="/word/header6.xml" ContentType="application/vnd.openxmlformats-officedocument.wordprocessingml.header+xml"/>
  <Override PartName="/word/header7.xml" ContentType="application/vnd.openxmlformats-officedocument.wordprocessingml.header+xml"/>
  <Override PartName="/word/charts/chart1.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14:paraId="33CC8E4C" w14:textId="1B142D95" w:rsidR="00805B01" w:rsidRPr="002815F4" w:rsidRDefault="009806ED" w:rsidP="00F229B9">
      <w:pPr>
        <w:jc w:val="center"/>
        <w:rPr>
          <w:rFonts w:ascii="Calibri" w:hAnsi="Calibri"/>
          <w:b/>
          <w:lang w:bidi="en-US"/>
        </w:rPr>
      </w:pPr>
      <w:r w:rsidRPr="002815F4">
        <w:rPr>
          <w:rFonts w:ascii="Calibri" w:hAnsi="Calibri"/>
          <w:noProof/>
          <w:lang w:val="en-US"/>
        </w:rPr>
        <mc:AlternateContent>
          <mc:Choice Requires="wps">
            <w:drawing>
              <wp:anchor distT="0" distB="0" distL="114300" distR="114300" simplePos="0" relativeHeight="251658240" behindDoc="0" locked="0" layoutInCell="1" allowOverlap="1" wp14:anchorId="5B011F07" wp14:editId="30249FFE">
                <wp:simplePos x="0" y="0"/>
                <wp:positionH relativeFrom="column">
                  <wp:posOffset>-720090</wp:posOffset>
                </wp:positionH>
                <wp:positionV relativeFrom="paragraph">
                  <wp:posOffset>396609</wp:posOffset>
                </wp:positionV>
                <wp:extent cx="7823200" cy="4159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823200" cy="415925"/>
                        </a:xfrm>
                        <a:prstGeom prst="rect">
                          <a:avLst/>
                        </a:prstGeom>
                        <a:solidFill>
                          <a:srgbClr val="4FB6E3"/>
                        </a:solidFill>
                        <a:ln>
                          <a:noFill/>
                        </a:ln>
                        <a:effectLst/>
                      </wps:spPr>
                      <wps:style>
                        <a:lnRef idx="0">
                          <a:schemeClr val="accent1"/>
                        </a:lnRef>
                        <a:fillRef idx="0">
                          <a:schemeClr val="accent1"/>
                        </a:fillRef>
                        <a:effectRef idx="0">
                          <a:schemeClr val="accent1"/>
                        </a:effectRef>
                        <a:fontRef idx="minor">
                          <a:schemeClr val="dk1"/>
                        </a:fontRef>
                      </wps:style>
                      <wps:txbx>
                        <w:txbxContent>
                          <w:p w14:paraId="788044A6" w14:textId="266ADA11" w:rsidR="00EB7029" w:rsidRPr="00DB23F6" w:rsidRDefault="00EB7029" w:rsidP="00E03D03">
                            <w:pPr>
                              <w:tabs>
                                <w:tab w:val="left" w:pos="993"/>
                                <w:tab w:val="left" w:pos="8789"/>
                              </w:tabs>
                              <w:spacing w:after="0"/>
                              <w:rPr>
                                <w:b/>
                                <w:lang w:val="en-US"/>
                              </w:rPr>
                            </w:pPr>
                            <w:r>
                              <w:rPr>
                                <w:lang w:val="nb-NO"/>
                              </w:rPr>
                              <w:tab/>
                            </w:r>
                            <w:r w:rsidRPr="00DB23F6">
                              <w:rPr>
                                <w:b/>
                                <w:sz w:val="32"/>
                                <w:lang w:val="en-US"/>
                              </w:rPr>
                              <w:t>EITI International Secretariat</w:t>
                            </w:r>
                            <w:r w:rsidRPr="00DB23F6">
                              <w:rPr>
                                <w:b/>
                                <w:sz w:val="32"/>
                                <w:lang w:val="en-US"/>
                              </w:rPr>
                              <w:tab/>
                            </w:r>
                            <w:r>
                              <w:rPr>
                                <w:b/>
                                <w:sz w:val="32"/>
                                <w:lang w:val="en-US"/>
                              </w:rPr>
                              <w:t xml:space="preserve">22 December </w:t>
                            </w:r>
                            <w:r w:rsidRPr="00DB23F6">
                              <w:rPr>
                                <w:b/>
                                <w:sz w:val="32"/>
                                <w:lang w:val="en-US"/>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011F07" id="_x0000_t202" coordsize="21600,21600" o:spt="202" path="m,l,21600r21600,l21600,xe">
                <v:stroke joinstyle="miter"/>
                <v:path gradientshapeok="t" o:connecttype="rect"/>
              </v:shapetype>
              <v:shape id="Text Box 4" o:spid="_x0000_s1026" type="#_x0000_t202" style="position:absolute;left:0;text-align:left;margin-left:-56.7pt;margin-top:31.25pt;width:616pt;height:32.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" fillcolor="#4fb6e3" stroked="f">
                <v:textbox>
                  <w:txbxContent>
                    <w:p w14:paraId="788044A6" w14:textId="266ADA11" w:rsidR="00EB7029" w:rsidRPr="00DB23F6" w:rsidRDefault="00EB7029" w:rsidP="00E03D03">
                      <w:pPr>
                        <w:tabs>
                          <w:tab w:val="left" w:pos="993"/>
                          <w:tab w:val="left" w:pos="8789"/>
                        </w:tabs>
                        <w:spacing w:after="0"/>
                        <w:rPr>
                          <w:b/>
                          <w:lang w:val="en-US"/>
                        </w:rPr>
                      </w:pPr>
                      <w:r>
                        <w:rPr>
                          <w:lang w:val="nb-NO"/>
                        </w:rPr>
                        <w:tab/>
                      </w:r>
                      <w:r w:rsidRPr="00DB23F6">
                        <w:rPr>
                          <w:b/>
                          <w:sz w:val="32"/>
                          <w:lang w:val="en-US"/>
                        </w:rPr>
                        <w:t>EITI International Secretariat</w:t>
                      </w:r>
                      <w:r w:rsidRPr="00DB23F6">
                        <w:rPr>
                          <w:b/>
                          <w:sz w:val="32"/>
                          <w:lang w:val="en-US"/>
                        </w:rPr>
                        <w:tab/>
                      </w:r>
                      <w:r>
                        <w:rPr>
                          <w:b/>
                          <w:sz w:val="32"/>
                          <w:lang w:val="en-US"/>
                        </w:rPr>
                        <w:t xml:space="preserve">22 December </w:t>
                      </w:r>
                      <w:r w:rsidRPr="00DB23F6">
                        <w:rPr>
                          <w:b/>
                          <w:sz w:val="32"/>
                          <w:lang w:val="en-US"/>
                        </w:rPr>
                        <w:t>2017</w:t>
                      </w:r>
                    </w:p>
                  </w:txbxContent>
                </v:textbox>
                <w10:wrap type="square"/>
              </v:shape>
            </w:pict>
          </mc:Fallback>
        </mc:AlternateContent>
      </w:r>
    </w:p>
    <w:p w14:paraId="4739FF42" w14:textId="683F19E5" w:rsidR="00597E79" w:rsidRPr="002815F4" w:rsidRDefault="00597E79" w:rsidP="00F229B9">
      <w:pPr>
        <w:jc w:val="center"/>
        <w:rPr>
          <w:rFonts w:ascii="Calibri" w:hAnsi="Calibri"/>
          <w:b/>
          <w:lang w:bidi="en-US"/>
        </w:rPr>
      </w:pPr>
    </w:p>
    <w:p w14:paraId="248DB386" w14:textId="77777777" w:rsidR="00597E79" w:rsidRPr="002815F4" w:rsidRDefault="00597E79" w:rsidP="00F229B9">
      <w:pPr>
        <w:jc w:val="center"/>
        <w:rPr>
          <w:rFonts w:ascii="Calibri" w:hAnsi="Calibri"/>
          <w:b/>
          <w:lang w:bidi="en-US"/>
        </w:rPr>
      </w:pPr>
    </w:p>
    <w:p w14:paraId="3B0F0747" w14:textId="77777777" w:rsidR="00854AF1" w:rsidRPr="002815F4" w:rsidRDefault="00854AF1" w:rsidP="00F229B9">
      <w:pPr>
        <w:jc w:val="center"/>
        <w:rPr>
          <w:rFonts w:ascii="Calibri" w:hAnsi="Calibri"/>
          <w:b/>
          <w:lang w:bidi="en-US"/>
        </w:rPr>
      </w:pPr>
    </w:p>
    <w:p w14:paraId="7700733D" w14:textId="2DC01FCA" w:rsidR="00805B01" w:rsidRPr="002815F4" w:rsidRDefault="00805B01" w:rsidP="00E02D8A">
      <w:pPr>
        <w:pStyle w:val="Title"/>
        <w:rPr>
          <w:lang w:bidi="en-US"/>
        </w:rPr>
      </w:pPr>
      <w:r w:rsidRPr="002815F4">
        <w:rPr>
          <w:lang w:bidi="en-US"/>
        </w:rPr>
        <w:t xml:space="preserve">Validation of </w:t>
      </w:r>
      <w:r w:rsidR="00214AD5" w:rsidRPr="002815F4">
        <w:rPr>
          <w:lang w:bidi="en-US"/>
        </w:rPr>
        <w:t>Senegal</w:t>
      </w:r>
    </w:p>
    <w:p w14:paraId="487469E7" w14:textId="77777777" w:rsidR="00476F51" w:rsidRPr="002815F4" w:rsidRDefault="00476F51" w:rsidP="00E02D8A">
      <w:pPr>
        <w:pStyle w:val="Title"/>
        <w:rPr>
          <w:sz w:val="48"/>
          <w:lang w:bidi="en-US"/>
        </w:rPr>
      </w:pPr>
    </w:p>
    <w:p w14:paraId="55233BB1" w14:textId="77777777" w:rsidR="00597E79" w:rsidRPr="002815F4" w:rsidRDefault="00805B01" w:rsidP="00E02D8A">
      <w:pPr>
        <w:pStyle w:val="Title"/>
        <w:rPr>
          <w:lang w:bidi="en-US"/>
        </w:rPr>
      </w:pPr>
      <w:r w:rsidRPr="002815F4">
        <w:rPr>
          <w:lang w:bidi="en-US"/>
        </w:rPr>
        <w:t xml:space="preserve">Report on initial data collection </w:t>
      </w:r>
    </w:p>
    <w:p w14:paraId="09CAC054" w14:textId="702566E5" w:rsidR="00597E79" w:rsidRPr="002815F4" w:rsidRDefault="00805B01" w:rsidP="00E02D8A">
      <w:pPr>
        <w:pStyle w:val="Title"/>
        <w:rPr>
          <w:lang w:bidi="en-US"/>
        </w:rPr>
      </w:pPr>
      <w:r w:rsidRPr="002815F4">
        <w:rPr>
          <w:lang w:bidi="en-US"/>
        </w:rPr>
        <w:t>and</w:t>
      </w:r>
      <w:r w:rsidR="00597E79" w:rsidRPr="002815F4">
        <w:rPr>
          <w:lang w:bidi="en-US"/>
        </w:rPr>
        <w:t xml:space="preserve"> </w:t>
      </w:r>
      <w:r w:rsidRPr="002815F4">
        <w:rPr>
          <w:lang w:bidi="en-US"/>
        </w:rPr>
        <w:t xml:space="preserve">stakeholder consultation </w:t>
      </w:r>
    </w:p>
    <w:p w14:paraId="78B25072" w14:textId="670BF9CA" w:rsidR="00F229B9" w:rsidRPr="002815F4" w:rsidRDefault="00F229B9" w:rsidP="00F229B9">
      <w:pPr>
        <w:rPr>
          <w:rFonts w:ascii="Calibri" w:hAnsi="Calibri"/>
          <w:lang w:bidi="en-US"/>
        </w:rPr>
      </w:pPr>
    </w:p>
    <w:p w14:paraId="7886A01F" w14:textId="41F4014F" w:rsidR="00F229B9" w:rsidRPr="002815F4" w:rsidRDefault="00F229B9">
      <w:pPr>
        <w:widowControl/>
        <w:suppressAutoHyphens w:val="0"/>
        <w:spacing w:after="0" w:line="240" w:lineRule="auto"/>
        <w:rPr>
          <w:rFonts w:ascii="Heiti SC" w:eastAsia="Heiti SC" w:hAnsi="Heiti SC" w:cs="Heiti SC"/>
          <w:lang w:bidi="en-US"/>
        </w:rPr>
      </w:pPr>
      <w:r w:rsidRPr="002815F4">
        <w:rPr>
          <w:rFonts w:ascii="Calibri" w:hAnsi="Calibri"/>
          <w:lang w:bidi="en-US"/>
        </w:rPr>
        <w:br w:type="page"/>
      </w:r>
    </w:p>
    <w:p w14:paraId="52F9D900" w14:textId="30903EF6" w:rsidR="00172180" w:rsidRPr="002815F4" w:rsidRDefault="00B06A27" w:rsidP="00764C60">
      <w:pPr>
        <w:pStyle w:val="Heading1"/>
      </w:pPr>
      <w:bookmarkStart w:id="1" w:name="_Toc434175900"/>
      <w:bookmarkStart w:id="2" w:name="_Toc452707644"/>
      <w:bookmarkStart w:id="3" w:name="_Toc459133072"/>
      <w:bookmarkStart w:id="4" w:name="_Toc461803021"/>
      <w:bookmarkStart w:id="5" w:name="_Toc461787302"/>
      <w:bookmarkStart w:id="6" w:name="_Toc461795823"/>
      <w:bookmarkStart w:id="7" w:name="_Toc462149170"/>
      <w:r w:rsidRPr="002815F4">
        <w:lastRenderedPageBreak/>
        <w:t>Abbreviations</w:t>
      </w:r>
      <w:bookmarkEnd w:id="1"/>
      <w:bookmarkEnd w:id="2"/>
      <w:bookmarkEnd w:id="3"/>
      <w:bookmarkEnd w:id="4"/>
      <w:bookmarkEnd w:id="5"/>
      <w:bookmarkEnd w:id="6"/>
      <w:bookmarkEnd w:id="7"/>
    </w:p>
    <w:p w14:paraId="37B0FE81" w14:textId="77868C81" w:rsidR="007B4DF1" w:rsidRPr="002815F4" w:rsidRDefault="007B4DF1" w:rsidP="007B4DF1">
      <w:pPr>
        <w:pStyle w:val="NoSpacing"/>
        <w:rPr>
          <w:lang w:val="en-GB"/>
        </w:rPr>
      </w:pPr>
      <w:bookmarkStart w:id="8" w:name="_Toc362941856"/>
      <w:bookmarkStart w:id="9" w:name="_Toc362942394"/>
      <w:bookmarkStart w:id="10" w:name="_Toc362947796"/>
      <w:bookmarkStart w:id="11" w:name="_Toc362955627"/>
      <w:bookmarkStart w:id="12" w:name="_Toc362963277"/>
      <w:bookmarkStart w:id="13" w:name="_Toc362964860"/>
      <w:bookmarkStart w:id="14" w:name="_Toc363124705"/>
      <w:bookmarkStart w:id="15" w:name="_Toc362941859"/>
      <w:bookmarkStart w:id="16" w:name="_Toc362942397"/>
      <w:bookmarkStart w:id="17" w:name="_Toc362947799"/>
      <w:bookmarkStart w:id="18" w:name="_Toc362955630"/>
      <w:bookmarkStart w:id="19" w:name="_Toc362963280"/>
      <w:bookmarkStart w:id="20" w:name="_Toc362964863"/>
      <w:bookmarkStart w:id="21" w:name="_Toc363124708"/>
      <w:bookmarkEnd w:id="8"/>
      <w:bookmarkEnd w:id="9"/>
      <w:bookmarkEnd w:id="10"/>
      <w:bookmarkEnd w:id="11"/>
      <w:bookmarkEnd w:id="12"/>
      <w:bookmarkEnd w:id="13"/>
      <w:bookmarkEnd w:id="14"/>
      <w:bookmarkEnd w:id="15"/>
      <w:bookmarkEnd w:id="16"/>
      <w:bookmarkEnd w:id="17"/>
      <w:bookmarkEnd w:id="18"/>
      <w:bookmarkEnd w:id="19"/>
      <w:bookmarkEnd w:id="20"/>
      <w:bookmarkEnd w:id="21"/>
      <w:r w:rsidRPr="002815F4">
        <w:rPr>
          <w:lang w:val="en-GB"/>
        </w:rPr>
        <w:t xml:space="preserve">AFAO </w:t>
      </w:r>
      <w:r w:rsidRPr="002815F4">
        <w:rPr>
          <w:lang w:val="en-GB"/>
        </w:rPr>
        <w:tab/>
      </w:r>
      <w:r w:rsidRPr="002815F4">
        <w:rPr>
          <w:lang w:val="en-GB"/>
        </w:rPr>
        <w:tab/>
      </w:r>
      <w:r w:rsidRPr="002815F4">
        <w:rPr>
          <w:lang w:val="en-GB"/>
        </w:rPr>
        <w:tab/>
        <w:t>West Africa Women's Association</w:t>
      </w:r>
    </w:p>
    <w:p w14:paraId="320FBFC5" w14:textId="77777777" w:rsidR="0034595C" w:rsidRPr="00863985" w:rsidRDefault="0034595C" w:rsidP="0034595C">
      <w:pPr>
        <w:pStyle w:val="NoSpacing"/>
        <w:rPr>
          <w:lang w:val="fr-FR"/>
        </w:rPr>
      </w:pPr>
      <w:r w:rsidRPr="00863985">
        <w:rPr>
          <w:lang w:val="fr-FR"/>
        </w:rPr>
        <w:t xml:space="preserve">AGC </w:t>
      </w:r>
      <w:r w:rsidRPr="00863985">
        <w:rPr>
          <w:lang w:val="fr-FR"/>
        </w:rPr>
        <w:tab/>
      </w:r>
      <w:r w:rsidRPr="00863985">
        <w:rPr>
          <w:lang w:val="fr-FR"/>
        </w:rPr>
        <w:tab/>
      </w:r>
      <w:r w:rsidRPr="00863985">
        <w:rPr>
          <w:lang w:val="fr-FR"/>
        </w:rPr>
        <w:tab/>
        <w:t>Agence de Gestion et de Coopération entre la Guinée-Bissau et le Sénégal</w:t>
      </w:r>
    </w:p>
    <w:p w14:paraId="22248658" w14:textId="6F0C5FA4" w:rsidR="007B4DF1" w:rsidRPr="002815F4" w:rsidRDefault="007B4DF1" w:rsidP="007B4DF1">
      <w:pPr>
        <w:pStyle w:val="NoSpacing"/>
        <w:rPr>
          <w:lang w:val="en-GB"/>
        </w:rPr>
      </w:pPr>
      <w:r w:rsidRPr="002815F4">
        <w:rPr>
          <w:lang w:val="en-GB"/>
        </w:rPr>
        <w:t xml:space="preserve">ANOCI </w:t>
      </w:r>
      <w:r w:rsidRPr="002815F4">
        <w:rPr>
          <w:lang w:val="en-GB"/>
        </w:rPr>
        <w:tab/>
      </w:r>
      <w:r w:rsidRPr="002815F4">
        <w:rPr>
          <w:lang w:val="en-GB"/>
        </w:rPr>
        <w:tab/>
      </w:r>
      <w:r w:rsidRPr="002815F4">
        <w:rPr>
          <w:lang w:val="en-GB"/>
        </w:rPr>
        <w:tab/>
        <w:t>National Agency for the Islamic Conference Organisation</w:t>
      </w:r>
    </w:p>
    <w:p w14:paraId="6E429DE1" w14:textId="47754F05" w:rsidR="007B4DF1" w:rsidRPr="002815F4" w:rsidRDefault="007B4DF1" w:rsidP="007B4DF1">
      <w:pPr>
        <w:pStyle w:val="NoSpacing"/>
        <w:rPr>
          <w:lang w:val="en-GB"/>
        </w:rPr>
      </w:pPr>
      <w:r w:rsidRPr="002815F4">
        <w:rPr>
          <w:lang w:val="en-GB"/>
        </w:rPr>
        <w:t xml:space="preserve">APD </w:t>
      </w:r>
      <w:r w:rsidRPr="002815F4">
        <w:rPr>
          <w:lang w:val="en-GB"/>
        </w:rPr>
        <w:tab/>
      </w:r>
      <w:r w:rsidRPr="002815F4">
        <w:rPr>
          <w:lang w:val="en-GB"/>
        </w:rPr>
        <w:tab/>
      </w:r>
      <w:r w:rsidRPr="002815F4">
        <w:rPr>
          <w:lang w:val="en-GB"/>
        </w:rPr>
        <w:tab/>
        <w:t>Public Development Aid</w:t>
      </w:r>
    </w:p>
    <w:p w14:paraId="0CAFBE9F" w14:textId="7A65478F" w:rsidR="007B4DF1" w:rsidRPr="002815F4" w:rsidRDefault="007B4DF1" w:rsidP="007B4DF1">
      <w:pPr>
        <w:pStyle w:val="NoSpacing"/>
        <w:rPr>
          <w:lang w:val="en-GB"/>
        </w:rPr>
      </w:pPr>
      <w:r w:rsidRPr="002815F4">
        <w:rPr>
          <w:lang w:val="en-GB"/>
        </w:rPr>
        <w:t xml:space="preserve">ARMP </w:t>
      </w:r>
      <w:r w:rsidRPr="002815F4">
        <w:rPr>
          <w:lang w:val="en-GB"/>
        </w:rPr>
        <w:tab/>
      </w:r>
      <w:r w:rsidRPr="002815F4">
        <w:rPr>
          <w:lang w:val="en-GB"/>
        </w:rPr>
        <w:tab/>
      </w:r>
      <w:r w:rsidRPr="002815F4">
        <w:rPr>
          <w:lang w:val="en-GB"/>
        </w:rPr>
        <w:tab/>
        <w:t>Agency for the Regulation of Public Contracts</w:t>
      </w:r>
    </w:p>
    <w:p w14:paraId="4D30933B" w14:textId="1A772380" w:rsidR="007B4DF1" w:rsidRPr="00863985" w:rsidRDefault="007B4DF1" w:rsidP="007B4DF1">
      <w:pPr>
        <w:pStyle w:val="NoSpacing"/>
        <w:rPr>
          <w:lang w:val="fr-FR"/>
        </w:rPr>
      </w:pPr>
      <w:r w:rsidRPr="00863985">
        <w:rPr>
          <w:lang w:val="fr-FR"/>
        </w:rPr>
        <w:t xml:space="preserve">ASC </w:t>
      </w:r>
      <w:r w:rsidRPr="00863985">
        <w:rPr>
          <w:lang w:val="fr-FR"/>
        </w:rPr>
        <w:tab/>
      </w:r>
      <w:r w:rsidRPr="00863985">
        <w:rPr>
          <w:lang w:val="fr-FR"/>
        </w:rPr>
        <w:tab/>
      </w:r>
      <w:r w:rsidRPr="00863985">
        <w:rPr>
          <w:lang w:val="fr-FR"/>
        </w:rPr>
        <w:tab/>
        <w:t>Culture and Sports Association</w:t>
      </w:r>
    </w:p>
    <w:p w14:paraId="342FE030" w14:textId="77777777" w:rsidR="0034595C" w:rsidRPr="00863985" w:rsidRDefault="0034595C" w:rsidP="0034595C">
      <w:pPr>
        <w:pStyle w:val="NoSpacing"/>
        <w:rPr>
          <w:lang w:val="fr-FR"/>
        </w:rPr>
      </w:pPr>
      <w:r w:rsidRPr="00863985">
        <w:rPr>
          <w:lang w:val="fr-FR"/>
        </w:rPr>
        <w:t xml:space="preserve">BCEAO </w:t>
      </w:r>
      <w:r w:rsidRPr="00863985">
        <w:rPr>
          <w:lang w:val="fr-FR"/>
        </w:rPr>
        <w:tab/>
      </w:r>
      <w:r w:rsidRPr="00863985">
        <w:rPr>
          <w:lang w:val="fr-FR"/>
        </w:rPr>
        <w:tab/>
      </w:r>
      <w:r w:rsidRPr="00863985">
        <w:rPr>
          <w:lang w:val="fr-FR"/>
        </w:rPr>
        <w:tab/>
        <w:t>Banque des États d’Afrique de l’Ouest</w:t>
      </w:r>
    </w:p>
    <w:p w14:paraId="73D1D923" w14:textId="709AA89C" w:rsidR="006C614F" w:rsidRPr="00863985" w:rsidRDefault="006C614F" w:rsidP="007B4DF1">
      <w:pPr>
        <w:pStyle w:val="NoSpacing"/>
        <w:rPr>
          <w:lang w:val="fr-FR"/>
        </w:rPr>
      </w:pPr>
      <w:r w:rsidRPr="00863985">
        <w:rPr>
          <w:lang w:val="fr-FR"/>
        </w:rPr>
        <w:t>CdC</w:t>
      </w:r>
      <w:r w:rsidRPr="00863985">
        <w:rPr>
          <w:lang w:val="fr-FR"/>
        </w:rPr>
        <w:tab/>
      </w:r>
      <w:r w:rsidRPr="00863985">
        <w:rPr>
          <w:lang w:val="fr-FR"/>
        </w:rPr>
        <w:tab/>
      </w:r>
      <w:r w:rsidRPr="00863985">
        <w:rPr>
          <w:lang w:val="fr-FR"/>
        </w:rPr>
        <w:tab/>
        <w:t>Cour des Comptes (Supreme Audit Institution)</w:t>
      </w:r>
    </w:p>
    <w:p w14:paraId="50BD9205" w14:textId="6F99A167" w:rsidR="007B4DF1" w:rsidRPr="002815F4" w:rsidRDefault="007B4DF1" w:rsidP="007B4DF1">
      <w:pPr>
        <w:pStyle w:val="NoSpacing"/>
        <w:rPr>
          <w:lang w:val="en-GB"/>
        </w:rPr>
      </w:pPr>
      <w:r w:rsidRPr="002815F4">
        <w:rPr>
          <w:lang w:val="en-GB"/>
        </w:rPr>
        <w:t xml:space="preserve">CNCR </w:t>
      </w:r>
      <w:r w:rsidRPr="002815F4">
        <w:rPr>
          <w:lang w:val="en-GB"/>
        </w:rPr>
        <w:tab/>
      </w:r>
      <w:r w:rsidRPr="002815F4">
        <w:rPr>
          <w:lang w:val="en-GB"/>
        </w:rPr>
        <w:tab/>
      </w:r>
      <w:r w:rsidRPr="002815F4">
        <w:rPr>
          <w:lang w:val="en-GB"/>
        </w:rPr>
        <w:tab/>
        <w:t>National Council for the consultation and cooperation with rural populations</w:t>
      </w:r>
    </w:p>
    <w:p w14:paraId="1397B604" w14:textId="2598BC95" w:rsidR="007B4DF1" w:rsidRPr="002815F4" w:rsidRDefault="007B4DF1" w:rsidP="007B4DF1">
      <w:pPr>
        <w:pStyle w:val="NoSpacing"/>
        <w:rPr>
          <w:lang w:val="en-GB"/>
        </w:rPr>
      </w:pPr>
      <w:r w:rsidRPr="002815F4">
        <w:rPr>
          <w:lang w:val="en-GB"/>
        </w:rPr>
        <w:t xml:space="preserve">CONGAD </w:t>
      </w:r>
      <w:r w:rsidRPr="002815F4">
        <w:rPr>
          <w:lang w:val="en-GB"/>
        </w:rPr>
        <w:tab/>
      </w:r>
      <w:r w:rsidRPr="002815F4">
        <w:rPr>
          <w:lang w:val="en-GB"/>
        </w:rPr>
        <w:tab/>
        <w:t>NGO Counsel for Aid towards Development</w:t>
      </w:r>
    </w:p>
    <w:p w14:paraId="3E2E7605" w14:textId="4E144AB3" w:rsidR="007B4DF1" w:rsidRPr="002815F4" w:rsidRDefault="007B4DF1" w:rsidP="007B4DF1">
      <w:pPr>
        <w:pStyle w:val="NoSpacing"/>
        <w:rPr>
          <w:lang w:val="en-GB"/>
        </w:rPr>
      </w:pPr>
      <w:r w:rsidRPr="002815F4">
        <w:rPr>
          <w:lang w:val="en-GB"/>
        </w:rPr>
        <w:t xml:space="preserve">COSEF </w:t>
      </w:r>
      <w:r w:rsidRPr="002815F4">
        <w:rPr>
          <w:lang w:val="en-GB"/>
        </w:rPr>
        <w:tab/>
      </w:r>
      <w:r w:rsidRPr="002815F4">
        <w:rPr>
          <w:lang w:val="en-GB"/>
        </w:rPr>
        <w:tab/>
      </w:r>
      <w:r w:rsidRPr="002815F4">
        <w:rPr>
          <w:lang w:val="en-GB"/>
        </w:rPr>
        <w:tab/>
        <w:t>Congress of Senegalese Women</w:t>
      </w:r>
    </w:p>
    <w:p w14:paraId="1B7F6F90" w14:textId="7B82A4E4" w:rsidR="007B4DF1" w:rsidRPr="002815F4" w:rsidRDefault="007B4DF1" w:rsidP="007B4DF1">
      <w:pPr>
        <w:pStyle w:val="NoSpacing"/>
        <w:rPr>
          <w:lang w:val="en-GB"/>
        </w:rPr>
      </w:pPr>
      <w:r w:rsidRPr="002815F4">
        <w:rPr>
          <w:lang w:val="en-GB"/>
        </w:rPr>
        <w:t xml:space="preserve">CSO </w:t>
      </w:r>
      <w:r w:rsidRPr="002815F4">
        <w:rPr>
          <w:lang w:val="en-GB"/>
        </w:rPr>
        <w:tab/>
      </w:r>
      <w:r w:rsidRPr="002815F4">
        <w:rPr>
          <w:lang w:val="en-GB"/>
        </w:rPr>
        <w:tab/>
      </w:r>
      <w:r w:rsidRPr="002815F4">
        <w:rPr>
          <w:lang w:val="en-GB"/>
        </w:rPr>
        <w:tab/>
        <w:t>Civil society organisation</w:t>
      </w:r>
    </w:p>
    <w:p w14:paraId="7C42BBC3" w14:textId="77777777" w:rsidR="0034595C" w:rsidRPr="00863985" w:rsidRDefault="0034595C" w:rsidP="0034595C">
      <w:pPr>
        <w:pStyle w:val="NoSpacing"/>
        <w:rPr>
          <w:lang w:val="fr-FR"/>
        </w:rPr>
      </w:pPr>
      <w:r w:rsidRPr="00863985">
        <w:rPr>
          <w:lang w:val="fr-FR"/>
        </w:rPr>
        <w:t xml:space="preserve">DEEC </w:t>
      </w:r>
      <w:r w:rsidRPr="00863985">
        <w:rPr>
          <w:lang w:val="fr-FR"/>
        </w:rPr>
        <w:tab/>
      </w:r>
      <w:r w:rsidRPr="00863985">
        <w:rPr>
          <w:lang w:val="fr-FR"/>
        </w:rPr>
        <w:tab/>
      </w:r>
      <w:r w:rsidRPr="00863985">
        <w:rPr>
          <w:lang w:val="fr-FR"/>
        </w:rPr>
        <w:tab/>
        <w:t>Direction de l'Environnement et des Etablissements Classés</w:t>
      </w:r>
    </w:p>
    <w:p w14:paraId="550C4346" w14:textId="77777777" w:rsidR="0034595C" w:rsidRPr="00863985" w:rsidRDefault="0034595C" w:rsidP="0034595C">
      <w:pPr>
        <w:pStyle w:val="NoSpacing"/>
        <w:rPr>
          <w:lang w:val="fr-FR"/>
        </w:rPr>
      </w:pPr>
      <w:r w:rsidRPr="00863985">
        <w:rPr>
          <w:lang w:val="fr-FR"/>
        </w:rPr>
        <w:t xml:space="preserve">DEFCCS </w:t>
      </w:r>
      <w:r w:rsidRPr="00863985">
        <w:rPr>
          <w:lang w:val="fr-FR"/>
        </w:rPr>
        <w:tab/>
      </w:r>
      <w:r w:rsidRPr="00863985">
        <w:rPr>
          <w:lang w:val="fr-FR"/>
        </w:rPr>
        <w:tab/>
        <w:t>Direction des Eaux, Forêts, Chasses et Conservation des Sols</w:t>
      </w:r>
    </w:p>
    <w:p w14:paraId="40BDB560" w14:textId="77777777" w:rsidR="0034595C" w:rsidRPr="00863985" w:rsidRDefault="0034595C" w:rsidP="0034595C">
      <w:pPr>
        <w:pStyle w:val="NoSpacing"/>
        <w:rPr>
          <w:lang w:val="fr-FR"/>
        </w:rPr>
      </w:pPr>
      <w:r w:rsidRPr="00863985">
        <w:rPr>
          <w:lang w:val="fr-FR"/>
        </w:rPr>
        <w:t xml:space="preserve">DGCPT </w:t>
      </w:r>
      <w:r w:rsidRPr="00863985">
        <w:rPr>
          <w:lang w:val="fr-FR"/>
        </w:rPr>
        <w:tab/>
      </w:r>
      <w:r w:rsidRPr="00863985">
        <w:rPr>
          <w:lang w:val="fr-FR"/>
        </w:rPr>
        <w:tab/>
      </w:r>
      <w:r w:rsidRPr="00863985">
        <w:rPr>
          <w:lang w:val="fr-FR"/>
        </w:rPr>
        <w:tab/>
        <w:t>Direction Générale de la Comptabilité Publique et du Trésor</w:t>
      </w:r>
    </w:p>
    <w:p w14:paraId="48E3F21A" w14:textId="77777777" w:rsidR="0034595C" w:rsidRPr="00863985" w:rsidRDefault="0034595C" w:rsidP="0034595C">
      <w:pPr>
        <w:pStyle w:val="NoSpacing"/>
        <w:rPr>
          <w:lang w:val="fr-FR"/>
        </w:rPr>
      </w:pPr>
      <w:r w:rsidRPr="00863985">
        <w:rPr>
          <w:lang w:val="fr-FR"/>
        </w:rPr>
        <w:t xml:space="preserve">DGD </w:t>
      </w:r>
      <w:r w:rsidRPr="00863985">
        <w:rPr>
          <w:lang w:val="fr-FR"/>
        </w:rPr>
        <w:tab/>
      </w:r>
      <w:r w:rsidRPr="00863985">
        <w:rPr>
          <w:lang w:val="fr-FR"/>
        </w:rPr>
        <w:tab/>
      </w:r>
      <w:r w:rsidRPr="00863985">
        <w:rPr>
          <w:lang w:val="fr-FR"/>
        </w:rPr>
        <w:tab/>
        <w:t>Direction Générale des Douanes</w:t>
      </w:r>
    </w:p>
    <w:p w14:paraId="6BCB9B32" w14:textId="77777777" w:rsidR="0034595C" w:rsidRPr="00863985" w:rsidRDefault="0034595C" w:rsidP="0034595C">
      <w:pPr>
        <w:pStyle w:val="NoSpacing"/>
        <w:rPr>
          <w:lang w:val="fr-FR"/>
        </w:rPr>
      </w:pPr>
      <w:r w:rsidRPr="00863985">
        <w:rPr>
          <w:lang w:val="fr-FR"/>
        </w:rPr>
        <w:t xml:space="preserve">DGID </w:t>
      </w:r>
      <w:r w:rsidRPr="00863985">
        <w:rPr>
          <w:lang w:val="fr-FR"/>
        </w:rPr>
        <w:tab/>
      </w:r>
      <w:r w:rsidRPr="00863985">
        <w:rPr>
          <w:lang w:val="fr-FR"/>
        </w:rPr>
        <w:tab/>
      </w:r>
      <w:r w:rsidRPr="00863985">
        <w:rPr>
          <w:lang w:val="fr-FR"/>
        </w:rPr>
        <w:tab/>
        <w:t>Direction Générale des Impôts et des Domaines</w:t>
      </w:r>
    </w:p>
    <w:p w14:paraId="7D0DBF80" w14:textId="77777777" w:rsidR="0034595C" w:rsidRPr="00863985" w:rsidRDefault="0034595C" w:rsidP="0034595C">
      <w:pPr>
        <w:pStyle w:val="NoSpacing"/>
        <w:rPr>
          <w:lang w:val="fr-FR"/>
        </w:rPr>
      </w:pPr>
      <w:r w:rsidRPr="00863985">
        <w:rPr>
          <w:lang w:val="fr-FR"/>
        </w:rPr>
        <w:t xml:space="preserve">DMG </w:t>
      </w:r>
      <w:r w:rsidRPr="00863985">
        <w:rPr>
          <w:lang w:val="fr-FR"/>
        </w:rPr>
        <w:tab/>
      </w:r>
      <w:r w:rsidRPr="00863985">
        <w:rPr>
          <w:lang w:val="fr-FR"/>
        </w:rPr>
        <w:tab/>
      </w:r>
      <w:r w:rsidRPr="00863985">
        <w:rPr>
          <w:lang w:val="fr-FR"/>
        </w:rPr>
        <w:tab/>
        <w:t>Direction des Mines et de la Géologie</w:t>
      </w:r>
    </w:p>
    <w:p w14:paraId="0AFBDF9E" w14:textId="34DD9A6D" w:rsidR="007B4DF1" w:rsidRPr="002815F4" w:rsidRDefault="007B4DF1" w:rsidP="007B4DF1">
      <w:pPr>
        <w:pStyle w:val="NoSpacing"/>
        <w:rPr>
          <w:lang w:val="en-GB"/>
        </w:rPr>
      </w:pPr>
      <w:r w:rsidRPr="002815F4">
        <w:rPr>
          <w:lang w:val="en-GB"/>
        </w:rPr>
        <w:t xml:space="preserve">DRSP </w:t>
      </w:r>
      <w:r w:rsidRPr="002815F4">
        <w:rPr>
          <w:lang w:val="en-GB"/>
        </w:rPr>
        <w:tab/>
      </w:r>
      <w:r w:rsidRPr="002815F4">
        <w:rPr>
          <w:lang w:val="en-GB"/>
        </w:rPr>
        <w:tab/>
      </w:r>
      <w:r w:rsidRPr="002815F4">
        <w:rPr>
          <w:lang w:val="en-GB"/>
        </w:rPr>
        <w:tab/>
        <w:t>Poverty Reduction Strategy Paper</w:t>
      </w:r>
    </w:p>
    <w:p w14:paraId="444079FC" w14:textId="4B8FD69A" w:rsidR="007B4DF1" w:rsidRPr="002815F4" w:rsidRDefault="007B4DF1" w:rsidP="007B4DF1">
      <w:pPr>
        <w:pStyle w:val="NoSpacing"/>
        <w:rPr>
          <w:lang w:val="en-GB"/>
        </w:rPr>
      </w:pPr>
      <w:r w:rsidRPr="002815F4">
        <w:rPr>
          <w:lang w:val="en-GB"/>
        </w:rPr>
        <w:t xml:space="preserve">FRAO </w:t>
      </w:r>
      <w:r w:rsidRPr="002815F4">
        <w:rPr>
          <w:lang w:val="en-GB"/>
        </w:rPr>
        <w:tab/>
      </w:r>
      <w:r w:rsidRPr="002815F4">
        <w:rPr>
          <w:lang w:val="en-GB"/>
        </w:rPr>
        <w:tab/>
      </w:r>
      <w:r w:rsidRPr="002815F4">
        <w:rPr>
          <w:lang w:val="en-GB"/>
        </w:rPr>
        <w:tab/>
        <w:t>Rural Foundation for West Africa</w:t>
      </w:r>
    </w:p>
    <w:p w14:paraId="1B9D3179" w14:textId="77777777" w:rsidR="0034595C" w:rsidRPr="002815F4" w:rsidRDefault="0034595C" w:rsidP="0034595C">
      <w:pPr>
        <w:pStyle w:val="NoSpacing"/>
        <w:rPr>
          <w:bCs/>
          <w:lang w:val="en-GB"/>
        </w:rPr>
      </w:pPr>
      <w:r w:rsidRPr="002815F4">
        <w:rPr>
          <w:bCs/>
          <w:lang w:val="en-GB"/>
        </w:rPr>
        <w:t xml:space="preserve">GCO </w:t>
      </w:r>
      <w:r w:rsidRPr="002815F4">
        <w:rPr>
          <w:bCs/>
          <w:lang w:val="en-GB"/>
        </w:rPr>
        <w:tab/>
      </w:r>
      <w:r w:rsidRPr="002815F4">
        <w:rPr>
          <w:bCs/>
          <w:lang w:val="en-GB"/>
        </w:rPr>
        <w:tab/>
      </w:r>
      <w:r w:rsidRPr="002815F4">
        <w:rPr>
          <w:bCs/>
          <w:lang w:val="en-GB"/>
        </w:rPr>
        <w:tab/>
        <w:t>Grande Cote Operations</w:t>
      </w:r>
    </w:p>
    <w:p w14:paraId="5805CDF8" w14:textId="77777777" w:rsidR="0034595C" w:rsidRPr="002815F4" w:rsidRDefault="0034595C" w:rsidP="0034595C">
      <w:pPr>
        <w:pStyle w:val="NoSpacing"/>
        <w:rPr>
          <w:bCs/>
          <w:lang w:val="en-GB"/>
        </w:rPr>
      </w:pPr>
      <w:r w:rsidRPr="002815F4">
        <w:rPr>
          <w:bCs/>
          <w:lang w:val="en-GB"/>
        </w:rPr>
        <w:t xml:space="preserve">IFAC </w:t>
      </w:r>
      <w:r w:rsidRPr="002815F4">
        <w:rPr>
          <w:bCs/>
          <w:lang w:val="en-GB"/>
        </w:rPr>
        <w:tab/>
      </w:r>
      <w:r w:rsidRPr="002815F4">
        <w:rPr>
          <w:bCs/>
          <w:lang w:val="en-GB"/>
        </w:rPr>
        <w:tab/>
      </w:r>
      <w:r w:rsidRPr="002815F4">
        <w:rPr>
          <w:bCs/>
          <w:lang w:val="en-GB"/>
        </w:rPr>
        <w:tab/>
        <w:t>International Federation of Accountants</w:t>
      </w:r>
    </w:p>
    <w:p w14:paraId="71BB82A0" w14:textId="77777777" w:rsidR="0034595C" w:rsidRPr="00863985" w:rsidRDefault="0034595C" w:rsidP="0034595C">
      <w:pPr>
        <w:pStyle w:val="NoSpacing"/>
        <w:rPr>
          <w:lang w:val="fr-FR"/>
        </w:rPr>
      </w:pPr>
      <w:r w:rsidRPr="00863985">
        <w:rPr>
          <w:lang w:val="fr-FR"/>
        </w:rPr>
        <w:t xml:space="preserve">IGF </w:t>
      </w:r>
      <w:r w:rsidRPr="00863985">
        <w:rPr>
          <w:lang w:val="fr-FR"/>
        </w:rPr>
        <w:tab/>
      </w:r>
      <w:r w:rsidRPr="00863985">
        <w:rPr>
          <w:lang w:val="fr-FR"/>
        </w:rPr>
        <w:tab/>
      </w:r>
      <w:r w:rsidRPr="00863985">
        <w:rPr>
          <w:lang w:val="fr-FR"/>
        </w:rPr>
        <w:tab/>
        <w:t>Inspection Générale des Finances</w:t>
      </w:r>
    </w:p>
    <w:p w14:paraId="755F218A" w14:textId="1AE0F232" w:rsidR="007B4DF1" w:rsidRPr="00863985" w:rsidRDefault="007B4DF1" w:rsidP="007B4DF1">
      <w:pPr>
        <w:pStyle w:val="NoSpacing"/>
        <w:rPr>
          <w:lang w:val="fr-FR"/>
        </w:rPr>
      </w:pPr>
      <w:r w:rsidRPr="00863985">
        <w:rPr>
          <w:lang w:val="fr-FR"/>
        </w:rPr>
        <w:t xml:space="preserve">IMF </w:t>
      </w:r>
      <w:r w:rsidRPr="00863985">
        <w:rPr>
          <w:lang w:val="fr-FR"/>
        </w:rPr>
        <w:tab/>
      </w:r>
      <w:r w:rsidRPr="00863985">
        <w:rPr>
          <w:lang w:val="fr-FR"/>
        </w:rPr>
        <w:tab/>
      </w:r>
      <w:r w:rsidRPr="00863985">
        <w:rPr>
          <w:lang w:val="fr-FR"/>
        </w:rPr>
        <w:tab/>
        <w:t>International Monetary Fund</w:t>
      </w:r>
    </w:p>
    <w:p w14:paraId="76149F8F" w14:textId="77777777" w:rsidR="0034595C" w:rsidRPr="00863985" w:rsidRDefault="0034595C" w:rsidP="0034595C">
      <w:pPr>
        <w:pStyle w:val="NoSpacing"/>
        <w:rPr>
          <w:lang w:val="fr-FR"/>
        </w:rPr>
      </w:pPr>
      <w:r w:rsidRPr="00863985">
        <w:rPr>
          <w:lang w:val="fr-FR"/>
        </w:rPr>
        <w:t xml:space="preserve">MEDD </w:t>
      </w:r>
      <w:r w:rsidRPr="00863985">
        <w:rPr>
          <w:lang w:val="fr-FR"/>
        </w:rPr>
        <w:tab/>
      </w:r>
      <w:r w:rsidRPr="00863985">
        <w:rPr>
          <w:lang w:val="fr-FR"/>
        </w:rPr>
        <w:tab/>
      </w:r>
      <w:r w:rsidRPr="00863985">
        <w:rPr>
          <w:lang w:val="fr-FR"/>
        </w:rPr>
        <w:tab/>
        <w:t>Ministère de l'Environnement et du Développement Durable</w:t>
      </w:r>
    </w:p>
    <w:p w14:paraId="471BB11A" w14:textId="77777777" w:rsidR="0034595C" w:rsidRPr="00863985" w:rsidRDefault="0034595C" w:rsidP="0034595C">
      <w:pPr>
        <w:pStyle w:val="NoSpacing"/>
        <w:rPr>
          <w:lang w:val="fr-FR"/>
        </w:rPr>
      </w:pPr>
      <w:r w:rsidRPr="00863985">
        <w:rPr>
          <w:lang w:val="fr-FR"/>
        </w:rPr>
        <w:t xml:space="preserve">MEDER </w:t>
      </w:r>
      <w:r w:rsidRPr="00863985">
        <w:rPr>
          <w:lang w:val="fr-FR"/>
        </w:rPr>
        <w:tab/>
      </w:r>
      <w:r w:rsidRPr="00863985">
        <w:rPr>
          <w:lang w:val="fr-FR"/>
        </w:rPr>
        <w:tab/>
      </w:r>
      <w:r w:rsidRPr="00863985">
        <w:rPr>
          <w:lang w:val="fr-FR"/>
        </w:rPr>
        <w:tab/>
        <w:t>Ministére de l’Energie et du Développement des Enérgies Renouvelables</w:t>
      </w:r>
    </w:p>
    <w:p w14:paraId="0C660625" w14:textId="77777777" w:rsidR="0034595C" w:rsidRPr="00863985" w:rsidRDefault="0034595C" w:rsidP="0034595C">
      <w:pPr>
        <w:pStyle w:val="NoSpacing"/>
        <w:rPr>
          <w:lang w:val="fr-FR"/>
        </w:rPr>
      </w:pPr>
      <w:r w:rsidRPr="00863985">
        <w:rPr>
          <w:lang w:val="fr-FR"/>
        </w:rPr>
        <w:t xml:space="preserve">MIFERSO </w:t>
      </w:r>
      <w:r w:rsidRPr="00863985">
        <w:rPr>
          <w:lang w:val="fr-FR"/>
        </w:rPr>
        <w:tab/>
      </w:r>
      <w:r w:rsidRPr="00863985">
        <w:rPr>
          <w:lang w:val="fr-FR"/>
        </w:rPr>
        <w:tab/>
        <w:t>Société des Mines de Fer du Sénégal Oriental</w:t>
      </w:r>
    </w:p>
    <w:p w14:paraId="17B2AA2F" w14:textId="77777777" w:rsidR="007B4DF1" w:rsidRPr="002815F4" w:rsidRDefault="007B4DF1" w:rsidP="007B4DF1">
      <w:pPr>
        <w:pStyle w:val="NoSpacing"/>
        <w:rPr>
          <w:lang w:val="en-GB"/>
        </w:rPr>
      </w:pPr>
      <w:r w:rsidRPr="002815F4">
        <w:rPr>
          <w:lang w:val="en-GB"/>
        </w:rPr>
        <w:t>NGO</w:t>
      </w:r>
      <w:r w:rsidRPr="002815F4">
        <w:rPr>
          <w:lang w:val="en-GB"/>
        </w:rPr>
        <w:tab/>
      </w:r>
      <w:r w:rsidRPr="002815F4">
        <w:rPr>
          <w:lang w:val="en-GB"/>
        </w:rPr>
        <w:tab/>
      </w:r>
      <w:r w:rsidRPr="002815F4">
        <w:rPr>
          <w:lang w:val="en-GB"/>
        </w:rPr>
        <w:tab/>
        <w:t>Non-governmental organisation</w:t>
      </w:r>
    </w:p>
    <w:p w14:paraId="7962C689" w14:textId="264E5E9B" w:rsidR="007B4DF1" w:rsidRPr="002815F4" w:rsidRDefault="007B4DF1" w:rsidP="007B4DF1">
      <w:pPr>
        <w:pStyle w:val="NoSpacing"/>
        <w:rPr>
          <w:lang w:val="en-GB"/>
        </w:rPr>
      </w:pPr>
      <w:r w:rsidRPr="002815F4">
        <w:rPr>
          <w:lang w:val="en-GB"/>
        </w:rPr>
        <w:t xml:space="preserve">OECD </w:t>
      </w:r>
      <w:r w:rsidRPr="002815F4">
        <w:rPr>
          <w:lang w:val="en-GB"/>
        </w:rPr>
        <w:tab/>
      </w:r>
      <w:r w:rsidRPr="002815F4">
        <w:rPr>
          <w:lang w:val="en-GB"/>
        </w:rPr>
        <w:tab/>
      </w:r>
      <w:r w:rsidRPr="002815F4">
        <w:rPr>
          <w:lang w:val="en-GB"/>
        </w:rPr>
        <w:tab/>
        <w:t>Organisation for Economic Cooperation and Development</w:t>
      </w:r>
    </w:p>
    <w:p w14:paraId="34B0B90A" w14:textId="77777777" w:rsidR="0034595C" w:rsidRPr="00863985" w:rsidRDefault="0034595C" w:rsidP="0034595C">
      <w:pPr>
        <w:pStyle w:val="NoSpacing"/>
        <w:rPr>
          <w:lang w:val="fr-FR"/>
        </w:rPr>
      </w:pPr>
      <w:r w:rsidRPr="00863985">
        <w:rPr>
          <w:lang w:val="fr-FR"/>
        </w:rPr>
        <w:t xml:space="preserve">PETROSEN </w:t>
      </w:r>
      <w:r w:rsidRPr="00863985">
        <w:rPr>
          <w:lang w:val="fr-FR"/>
        </w:rPr>
        <w:tab/>
      </w:r>
      <w:r w:rsidRPr="00863985">
        <w:rPr>
          <w:lang w:val="fr-FR"/>
        </w:rPr>
        <w:tab/>
        <w:t>Société des Pétroles du Sénégal</w:t>
      </w:r>
    </w:p>
    <w:p w14:paraId="01AF583C" w14:textId="3C379E12" w:rsidR="007B4DF1" w:rsidRPr="002815F4" w:rsidRDefault="007B4DF1" w:rsidP="007B4DF1">
      <w:pPr>
        <w:pStyle w:val="NoSpacing"/>
        <w:rPr>
          <w:lang w:val="en-GB"/>
        </w:rPr>
      </w:pPr>
      <w:r w:rsidRPr="002815F4">
        <w:rPr>
          <w:lang w:val="en-GB"/>
        </w:rPr>
        <w:t xml:space="preserve">RADDHO </w:t>
      </w:r>
      <w:r w:rsidRPr="002815F4">
        <w:rPr>
          <w:lang w:val="en-GB"/>
        </w:rPr>
        <w:tab/>
      </w:r>
      <w:r w:rsidRPr="002815F4">
        <w:rPr>
          <w:lang w:val="en-GB"/>
        </w:rPr>
        <w:tab/>
        <w:t>African Congress for the Protection of Human Rights</w:t>
      </w:r>
    </w:p>
    <w:p w14:paraId="23385ADC" w14:textId="77777777" w:rsidR="0034595C" w:rsidRPr="00863985" w:rsidRDefault="0034595C" w:rsidP="0034595C">
      <w:pPr>
        <w:pStyle w:val="NoSpacing"/>
        <w:rPr>
          <w:lang w:val="fr-FR"/>
        </w:rPr>
      </w:pPr>
      <w:r w:rsidRPr="00863985">
        <w:rPr>
          <w:lang w:val="fr-FR"/>
        </w:rPr>
        <w:t xml:space="preserve">SGO </w:t>
      </w:r>
      <w:r w:rsidRPr="00863985">
        <w:rPr>
          <w:lang w:val="fr-FR"/>
        </w:rPr>
        <w:tab/>
      </w:r>
      <w:r w:rsidRPr="00863985">
        <w:rPr>
          <w:lang w:val="fr-FR"/>
        </w:rPr>
        <w:tab/>
      </w:r>
      <w:r w:rsidRPr="00863985">
        <w:rPr>
          <w:lang w:val="fr-FR"/>
        </w:rPr>
        <w:tab/>
        <w:t>Sabodala Gold Operations SA</w:t>
      </w:r>
    </w:p>
    <w:p w14:paraId="31823424" w14:textId="77777777" w:rsidR="0034595C" w:rsidRPr="00863985" w:rsidRDefault="0034595C" w:rsidP="0034595C">
      <w:pPr>
        <w:pStyle w:val="NoSpacing"/>
        <w:rPr>
          <w:lang w:val="fr-FR"/>
        </w:rPr>
      </w:pPr>
      <w:r w:rsidRPr="00863985">
        <w:rPr>
          <w:lang w:val="fr-FR"/>
        </w:rPr>
        <w:t xml:space="preserve">TOFE </w:t>
      </w:r>
      <w:r w:rsidRPr="00863985">
        <w:rPr>
          <w:lang w:val="fr-FR"/>
        </w:rPr>
        <w:tab/>
      </w:r>
      <w:r w:rsidRPr="00863985">
        <w:rPr>
          <w:lang w:val="fr-FR"/>
        </w:rPr>
        <w:tab/>
      </w:r>
      <w:r w:rsidRPr="00863985">
        <w:rPr>
          <w:lang w:val="fr-FR"/>
        </w:rPr>
        <w:tab/>
        <w:t>Tableau des Opérations Financières de l’État</w:t>
      </w:r>
    </w:p>
    <w:p w14:paraId="43F7E158" w14:textId="77777777" w:rsidR="0034595C" w:rsidRPr="00863985" w:rsidRDefault="0034595C" w:rsidP="0034595C">
      <w:pPr>
        <w:pStyle w:val="NoSpacing"/>
        <w:rPr>
          <w:lang w:val="fr-FR"/>
        </w:rPr>
      </w:pPr>
      <w:r w:rsidRPr="00863985">
        <w:rPr>
          <w:lang w:val="fr-FR"/>
        </w:rPr>
        <w:t xml:space="preserve">UEMOA </w:t>
      </w:r>
      <w:r w:rsidRPr="00863985">
        <w:rPr>
          <w:lang w:val="fr-FR"/>
        </w:rPr>
        <w:tab/>
      </w:r>
      <w:r w:rsidRPr="00863985">
        <w:rPr>
          <w:lang w:val="fr-FR"/>
        </w:rPr>
        <w:tab/>
        <w:t>Union Économique et Monétaire Ouest Africaine</w:t>
      </w:r>
    </w:p>
    <w:p w14:paraId="3E0D22BE" w14:textId="18BDD6E4" w:rsidR="0034595C" w:rsidRPr="002815F4" w:rsidRDefault="007B4DF1" w:rsidP="00E03D03">
      <w:pPr>
        <w:pStyle w:val="NoSpacing"/>
        <w:rPr>
          <w:bCs/>
          <w:lang w:val="en-GB"/>
        </w:rPr>
      </w:pPr>
      <w:r w:rsidRPr="002815F4">
        <w:rPr>
          <w:lang w:val="en-GB"/>
        </w:rPr>
        <w:t xml:space="preserve">UNDP </w:t>
      </w:r>
      <w:r w:rsidRPr="002815F4">
        <w:rPr>
          <w:lang w:val="en-GB"/>
        </w:rPr>
        <w:tab/>
      </w:r>
      <w:r w:rsidRPr="002815F4">
        <w:rPr>
          <w:lang w:val="en-GB"/>
        </w:rPr>
        <w:tab/>
      </w:r>
      <w:r w:rsidRPr="002815F4">
        <w:rPr>
          <w:lang w:val="en-GB"/>
        </w:rPr>
        <w:tab/>
        <w:t>United Nations Development Programme</w:t>
      </w:r>
      <w:r w:rsidRPr="002815F4" w:rsidDel="007B4DF1">
        <w:rPr>
          <w:lang w:val="en-GB"/>
        </w:rPr>
        <w:t xml:space="preserve"> </w:t>
      </w:r>
    </w:p>
    <w:p w14:paraId="74959A53" w14:textId="7DE345A0" w:rsidR="0034595C" w:rsidRPr="002815F4" w:rsidRDefault="0034595C" w:rsidP="0034595C">
      <w:pPr>
        <w:pStyle w:val="NoSpacing"/>
        <w:rPr>
          <w:bCs/>
          <w:lang w:val="en-GB"/>
        </w:rPr>
      </w:pPr>
      <w:r w:rsidRPr="002815F4">
        <w:rPr>
          <w:bCs/>
          <w:lang w:val="en-GB"/>
        </w:rPr>
        <w:t xml:space="preserve">USD </w:t>
      </w:r>
      <w:r w:rsidRPr="002815F4">
        <w:rPr>
          <w:bCs/>
          <w:lang w:val="en-GB"/>
        </w:rPr>
        <w:tab/>
      </w:r>
      <w:r w:rsidRPr="002815F4">
        <w:rPr>
          <w:bCs/>
          <w:lang w:val="en-GB"/>
        </w:rPr>
        <w:tab/>
      </w:r>
      <w:r w:rsidRPr="002815F4">
        <w:rPr>
          <w:bCs/>
          <w:lang w:val="en-GB"/>
        </w:rPr>
        <w:tab/>
        <w:t>U</w:t>
      </w:r>
      <w:r w:rsidR="00BA693C">
        <w:rPr>
          <w:bCs/>
          <w:lang w:val="en-GB"/>
        </w:rPr>
        <w:t xml:space="preserve">nited </w:t>
      </w:r>
      <w:r w:rsidRPr="002815F4">
        <w:rPr>
          <w:bCs/>
          <w:lang w:val="en-GB"/>
        </w:rPr>
        <w:t>S</w:t>
      </w:r>
      <w:r w:rsidR="00BA693C">
        <w:rPr>
          <w:bCs/>
          <w:lang w:val="en-GB"/>
        </w:rPr>
        <w:t xml:space="preserve">tates </w:t>
      </w:r>
      <w:r w:rsidRPr="002815F4">
        <w:rPr>
          <w:bCs/>
          <w:lang w:val="en-GB"/>
        </w:rPr>
        <w:t>Dollar</w:t>
      </w:r>
    </w:p>
    <w:p w14:paraId="5965F943" w14:textId="77777777" w:rsidR="0034595C" w:rsidRPr="002815F4" w:rsidRDefault="0034595C" w:rsidP="00E03D03">
      <w:pPr>
        <w:pStyle w:val="NoSpacing"/>
        <w:rPr>
          <w:bCs/>
          <w:lang w:val="en-GB"/>
        </w:rPr>
      </w:pPr>
    </w:p>
    <w:p w14:paraId="208939B4" w14:textId="77777777" w:rsidR="0034595C" w:rsidRPr="002815F4" w:rsidRDefault="0034595C" w:rsidP="00E03D03">
      <w:pPr>
        <w:pStyle w:val="NoSpacing"/>
        <w:rPr>
          <w:bCs/>
          <w:lang w:val="en-GB"/>
        </w:rPr>
      </w:pPr>
    </w:p>
    <w:p w14:paraId="66A3DDE4" w14:textId="77777777" w:rsidR="0034595C" w:rsidRPr="002815F4" w:rsidRDefault="0034595C" w:rsidP="00E03D03">
      <w:pPr>
        <w:pStyle w:val="NoSpacing"/>
        <w:rPr>
          <w:bCs/>
          <w:lang w:val="en-GB"/>
        </w:rPr>
      </w:pPr>
    </w:p>
    <w:p w14:paraId="204AFC9D" w14:textId="77777777" w:rsidR="0034595C" w:rsidRPr="002815F4" w:rsidRDefault="0034595C" w:rsidP="00E03D03">
      <w:pPr>
        <w:pStyle w:val="NoSpacing"/>
        <w:rPr>
          <w:bCs/>
          <w:lang w:val="en-GB"/>
        </w:rPr>
        <w:sectPr w:rsidR="0034595C" w:rsidRPr="002815F4" w:rsidSect="00D67FEF">
          <w:headerReference w:type="default" r:id="rId12"/>
          <w:footerReference w:type="even" r:id="rId13"/>
          <w:footerReference w:type="default" r:id="rId14"/>
          <w:headerReference w:type="first" r:id="rId15"/>
          <w:footerReference w:type="first" r:id="rId16"/>
          <w:pgSz w:w="11905" w:h="16837"/>
          <w:pgMar w:top="1524" w:right="1276" w:bottom="1418" w:left="1134" w:header="567" w:footer="0" w:gutter="0"/>
          <w:cols w:space="708"/>
          <w:titlePg/>
          <w:docGrid w:linePitch="326"/>
        </w:sectPr>
      </w:pPr>
    </w:p>
    <w:sdt>
      <w:sdtPr>
        <w:rPr>
          <w:b/>
          <w:bCs w:val="0"/>
          <w:color w:val="auto"/>
          <w:sz w:val="22"/>
        </w:rPr>
        <w:id w:val="-32887779"/>
        <w:docPartObj>
          <w:docPartGallery w:val="Table of Contents"/>
          <w:docPartUnique/>
        </w:docPartObj>
      </w:sdtPr>
      <w:sdtEndPr>
        <w:rPr>
          <w:rFonts w:ascii="Calibri" w:hAnsi="Calibri"/>
          <w:b w:val="0"/>
          <w:noProof/>
        </w:rPr>
      </w:sdtEndPr>
      <w:sdtContent>
        <w:p w14:paraId="6FFDCF83" w14:textId="57C4A257" w:rsidR="00573DC1" w:rsidRPr="002815F4" w:rsidRDefault="00573DC1" w:rsidP="00A800F7">
          <w:pPr>
            <w:pStyle w:val="TOCHeading"/>
          </w:pPr>
          <w:r w:rsidRPr="002815F4">
            <w:t>Table of Contents</w:t>
          </w:r>
        </w:p>
        <w:p w14:paraId="5421B817" w14:textId="073DEDFF" w:rsidR="0057207B" w:rsidRPr="002815F4" w:rsidRDefault="007B124A" w:rsidP="00E02D8A">
          <w:pPr>
            <w:pStyle w:val="TOC1"/>
            <w:tabs>
              <w:tab w:val="right" w:pos="9495"/>
            </w:tabs>
            <w:rPr>
              <w:rFonts w:ascii="Calibri" w:eastAsiaTheme="minorEastAsia" w:hAnsi="Calibri" w:cstheme="minorBidi"/>
              <w:noProof/>
            </w:rPr>
          </w:pPr>
          <w:r w:rsidRPr="002815F4">
            <w:fldChar w:fldCharType="begin"/>
          </w:r>
          <w:r w:rsidRPr="002815F4">
            <w:instrText xml:space="preserve"> TOC \o "1-3" \h \z \u </w:instrText>
          </w:r>
          <w:r w:rsidRPr="002815F4">
            <w:fldChar w:fldCharType="separate"/>
          </w:r>
          <w:hyperlink w:anchor="_Toc462149170" w:history="1">
            <w:r w:rsidR="0057207B" w:rsidRPr="002815F4">
              <w:rPr>
                <w:rStyle w:val="Hyperlink"/>
                <w:rFonts w:ascii="Calibri" w:hAnsi="Calibri"/>
                <w:noProof/>
                <w:sz w:val="22"/>
                <w:szCs w:val="22"/>
              </w:rPr>
              <w:t>Abbreviations</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_Toc462149170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2</w:t>
            </w:r>
            <w:r w:rsidR="0057207B" w:rsidRPr="002815F4">
              <w:rPr>
                <w:rFonts w:ascii="Calibri" w:hAnsi="Calibri"/>
                <w:noProof/>
                <w:webHidden/>
              </w:rPr>
              <w:fldChar w:fldCharType="end"/>
            </w:r>
          </w:hyperlink>
        </w:p>
        <w:p w14:paraId="2CA03B20" w14:textId="6DE00270" w:rsidR="0057207B" w:rsidRPr="002815F4" w:rsidRDefault="0002611B" w:rsidP="00E02D8A">
          <w:pPr>
            <w:pStyle w:val="TOC1"/>
            <w:tabs>
              <w:tab w:val="right" w:pos="9495"/>
            </w:tabs>
            <w:rPr>
              <w:rFonts w:ascii="Calibri" w:eastAsiaTheme="minorEastAsia" w:hAnsi="Calibri" w:cstheme="minorBidi"/>
              <w:noProof/>
            </w:rPr>
          </w:pPr>
          <w:hyperlink w:anchor="_Toc462149171" w:history="1">
            <w:r w:rsidR="0057207B" w:rsidRPr="002815F4">
              <w:rPr>
                <w:rStyle w:val="Hyperlink"/>
                <w:rFonts w:ascii="Calibri" w:hAnsi="Calibri"/>
                <w:noProof/>
                <w:sz w:val="22"/>
                <w:szCs w:val="22"/>
              </w:rPr>
              <w:t>Executive Summary</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_Toc462149171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5</w:t>
            </w:r>
            <w:r w:rsidR="0057207B" w:rsidRPr="002815F4">
              <w:rPr>
                <w:rFonts w:ascii="Calibri" w:hAnsi="Calibri"/>
                <w:noProof/>
                <w:webHidden/>
              </w:rPr>
              <w:fldChar w:fldCharType="end"/>
            </w:r>
          </w:hyperlink>
        </w:p>
        <w:p w14:paraId="1A08FC44" w14:textId="45CA6DDF" w:rsidR="0057207B" w:rsidRPr="002815F4" w:rsidRDefault="0002611B" w:rsidP="00E02D8A">
          <w:pPr>
            <w:pStyle w:val="TOC1"/>
            <w:tabs>
              <w:tab w:val="right" w:pos="9495"/>
            </w:tabs>
            <w:rPr>
              <w:rFonts w:ascii="Calibri" w:eastAsiaTheme="minorEastAsia" w:hAnsi="Calibri" w:cstheme="minorBidi"/>
              <w:noProof/>
            </w:rPr>
          </w:pPr>
          <w:hyperlink w:anchor="_Toc462149172" w:history="1">
            <w:r w:rsidR="0057207B" w:rsidRPr="002815F4">
              <w:rPr>
                <w:rStyle w:val="Hyperlink"/>
                <w:rFonts w:ascii="Calibri" w:hAnsi="Calibri"/>
                <w:noProof/>
                <w:sz w:val="22"/>
                <w:szCs w:val="22"/>
              </w:rPr>
              <w:t>Introduction</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_Toc462149172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9</w:t>
            </w:r>
            <w:r w:rsidR="0057207B" w:rsidRPr="002815F4">
              <w:rPr>
                <w:rFonts w:ascii="Calibri" w:hAnsi="Calibri"/>
                <w:noProof/>
                <w:webHidden/>
              </w:rPr>
              <w:fldChar w:fldCharType="end"/>
            </w:r>
          </w:hyperlink>
        </w:p>
        <w:p w14:paraId="65C274AC" w14:textId="01E5EAE4" w:rsidR="0057207B" w:rsidRPr="002815F4" w:rsidRDefault="0002611B" w:rsidP="00E02D8A">
          <w:pPr>
            <w:pStyle w:val="TOC1"/>
            <w:tabs>
              <w:tab w:val="right" w:pos="9495"/>
            </w:tabs>
            <w:rPr>
              <w:rFonts w:ascii="Calibri" w:eastAsiaTheme="minorEastAsia" w:hAnsi="Calibri" w:cstheme="minorBidi"/>
              <w:noProof/>
            </w:rPr>
          </w:pPr>
          <w:hyperlink w:anchor="_Toc462149173" w:history="1">
            <w:r w:rsidR="0057207B" w:rsidRPr="002815F4">
              <w:rPr>
                <w:rStyle w:val="Hyperlink"/>
                <w:rFonts w:ascii="Calibri" w:hAnsi="Calibri"/>
                <w:noProof/>
                <w:sz w:val="22"/>
                <w:szCs w:val="22"/>
              </w:rPr>
              <w:t>Part I – MSG Oversight</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_Toc462149173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16</w:t>
            </w:r>
            <w:r w:rsidR="0057207B" w:rsidRPr="002815F4">
              <w:rPr>
                <w:rFonts w:ascii="Calibri" w:hAnsi="Calibri"/>
                <w:noProof/>
                <w:webHidden/>
              </w:rPr>
              <w:fldChar w:fldCharType="end"/>
            </w:r>
          </w:hyperlink>
        </w:p>
        <w:p w14:paraId="7002DE9F" w14:textId="6C70EF5D" w:rsidR="0057207B" w:rsidRPr="002815F4" w:rsidRDefault="0002611B" w:rsidP="009A34B5">
          <w:pPr>
            <w:pStyle w:val="TOC2"/>
            <w:tabs>
              <w:tab w:val="right" w:pos="9495"/>
            </w:tabs>
            <w:rPr>
              <w:rFonts w:ascii="Calibri" w:eastAsiaTheme="minorEastAsia" w:hAnsi="Calibri" w:cstheme="minorBidi"/>
              <w:noProof/>
            </w:rPr>
          </w:pPr>
          <w:hyperlink w:anchor="_Toc462149174" w:history="1">
            <w:r w:rsidR="0057207B" w:rsidRPr="002815F4">
              <w:rPr>
                <w:rStyle w:val="Hyperlink"/>
                <w:rFonts w:ascii="Calibri" w:hAnsi="Calibri"/>
                <w:noProof/>
              </w:rPr>
              <w:t>1. Oversight of the EITI process</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_Toc462149174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16</w:t>
            </w:r>
            <w:r w:rsidR="0057207B" w:rsidRPr="002815F4">
              <w:rPr>
                <w:rFonts w:ascii="Calibri" w:hAnsi="Calibri"/>
                <w:noProof/>
                <w:webHidden/>
              </w:rPr>
              <w:fldChar w:fldCharType="end"/>
            </w:r>
          </w:hyperlink>
        </w:p>
        <w:p w14:paraId="3923686E" w14:textId="439BA804" w:rsidR="0057207B" w:rsidRPr="002815F4" w:rsidRDefault="0002611B" w:rsidP="009A34B5">
          <w:pPr>
            <w:pStyle w:val="TOC3"/>
            <w:tabs>
              <w:tab w:val="right" w:pos="9495"/>
            </w:tabs>
            <w:rPr>
              <w:rFonts w:ascii="Calibri" w:eastAsiaTheme="minorEastAsia" w:hAnsi="Calibri" w:cstheme="minorBidi"/>
              <w:i/>
              <w:iCs/>
              <w:noProof/>
            </w:rPr>
          </w:pPr>
          <w:hyperlink w:anchor="_Toc462149175" w:history="1">
            <w:r w:rsidR="0057207B" w:rsidRPr="002815F4">
              <w:rPr>
                <w:rStyle w:val="Hyperlink"/>
                <w:rFonts w:ascii="Calibri" w:hAnsi="Calibri"/>
                <w:noProof/>
              </w:rPr>
              <w:t>Government engagement in the EITI process (#1.1)</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_Toc462149175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16</w:t>
            </w:r>
            <w:r w:rsidR="0057207B" w:rsidRPr="002815F4">
              <w:rPr>
                <w:rFonts w:ascii="Calibri" w:hAnsi="Calibri"/>
                <w:noProof/>
                <w:webHidden/>
              </w:rPr>
              <w:fldChar w:fldCharType="end"/>
            </w:r>
          </w:hyperlink>
        </w:p>
        <w:p w14:paraId="1E6A28BE" w14:textId="45897B24" w:rsidR="0057207B" w:rsidRPr="002815F4" w:rsidRDefault="0002611B" w:rsidP="009A34B5">
          <w:pPr>
            <w:pStyle w:val="TOC3"/>
            <w:tabs>
              <w:tab w:val="right" w:pos="9495"/>
            </w:tabs>
            <w:rPr>
              <w:rFonts w:ascii="Calibri" w:eastAsiaTheme="minorEastAsia" w:hAnsi="Calibri" w:cstheme="minorBidi"/>
              <w:i/>
              <w:iCs/>
              <w:noProof/>
            </w:rPr>
          </w:pPr>
          <w:hyperlink w:anchor="_Toc462149176" w:history="1">
            <w:r w:rsidR="0057207B" w:rsidRPr="002815F4">
              <w:rPr>
                <w:rStyle w:val="Hyperlink"/>
                <w:rFonts w:ascii="Calibri" w:hAnsi="Calibri"/>
                <w:noProof/>
              </w:rPr>
              <w:t>Industry engagement in the EITI process (#1.2)</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_Toc462149176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18</w:t>
            </w:r>
            <w:r w:rsidR="0057207B" w:rsidRPr="002815F4">
              <w:rPr>
                <w:rFonts w:ascii="Calibri" w:hAnsi="Calibri"/>
                <w:noProof/>
                <w:webHidden/>
              </w:rPr>
              <w:fldChar w:fldCharType="end"/>
            </w:r>
          </w:hyperlink>
        </w:p>
        <w:p w14:paraId="69A9C043" w14:textId="30196B63" w:rsidR="0057207B" w:rsidRPr="002815F4" w:rsidRDefault="0002611B" w:rsidP="009A34B5">
          <w:pPr>
            <w:pStyle w:val="TOC3"/>
            <w:tabs>
              <w:tab w:val="right" w:pos="9495"/>
            </w:tabs>
            <w:rPr>
              <w:rFonts w:ascii="Calibri" w:eastAsiaTheme="minorEastAsia" w:hAnsi="Calibri" w:cstheme="minorBidi"/>
              <w:i/>
              <w:iCs/>
              <w:noProof/>
            </w:rPr>
          </w:pPr>
          <w:hyperlink w:anchor="_Toc462149177" w:history="1">
            <w:r w:rsidR="0057207B" w:rsidRPr="002815F4">
              <w:rPr>
                <w:rStyle w:val="Hyperlink"/>
                <w:rFonts w:ascii="Calibri" w:hAnsi="Calibri"/>
                <w:noProof/>
              </w:rPr>
              <w:t>Civil society engagement in the EITI process (#1.3)</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_Toc462149177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20</w:t>
            </w:r>
            <w:r w:rsidR="0057207B" w:rsidRPr="002815F4">
              <w:rPr>
                <w:rFonts w:ascii="Calibri" w:hAnsi="Calibri"/>
                <w:noProof/>
                <w:webHidden/>
              </w:rPr>
              <w:fldChar w:fldCharType="end"/>
            </w:r>
          </w:hyperlink>
        </w:p>
        <w:p w14:paraId="3041AFDE" w14:textId="1048AFCD" w:rsidR="0057207B" w:rsidRPr="002815F4" w:rsidRDefault="0002611B" w:rsidP="009A34B5">
          <w:pPr>
            <w:pStyle w:val="TOC3"/>
            <w:tabs>
              <w:tab w:val="right" w:pos="9495"/>
            </w:tabs>
            <w:rPr>
              <w:rFonts w:ascii="Calibri" w:eastAsiaTheme="minorEastAsia" w:hAnsi="Calibri" w:cstheme="minorBidi"/>
              <w:i/>
              <w:iCs/>
              <w:noProof/>
            </w:rPr>
          </w:pPr>
          <w:hyperlink w:anchor="_Toc462149178" w:history="1">
            <w:r w:rsidR="0057207B" w:rsidRPr="002815F4">
              <w:rPr>
                <w:rStyle w:val="Hyperlink"/>
                <w:rFonts w:ascii="Calibri" w:hAnsi="Calibri"/>
                <w:noProof/>
              </w:rPr>
              <w:t>MSG governance and functioning (#1.4)</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_Toc462149178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25</w:t>
            </w:r>
            <w:r w:rsidR="0057207B" w:rsidRPr="002815F4">
              <w:rPr>
                <w:rFonts w:ascii="Calibri" w:hAnsi="Calibri"/>
                <w:noProof/>
                <w:webHidden/>
              </w:rPr>
              <w:fldChar w:fldCharType="end"/>
            </w:r>
          </w:hyperlink>
        </w:p>
        <w:p w14:paraId="6304B635" w14:textId="4F8D08EA" w:rsidR="0057207B" w:rsidRPr="002815F4" w:rsidRDefault="0002611B" w:rsidP="009A34B5">
          <w:pPr>
            <w:pStyle w:val="TOC3"/>
            <w:tabs>
              <w:tab w:val="right" w:pos="9495"/>
            </w:tabs>
            <w:rPr>
              <w:rFonts w:ascii="Calibri" w:eastAsiaTheme="minorEastAsia" w:hAnsi="Calibri" w:cstheme="minorBidi"/>
              <w:i/>
              <w:iCs/>
              <w:noProof/>
            </w:rPr>
          </w:pPr>
          <w:hyperlink w:anchor="_Toc462149179" w:history="1">
            <w:r w:rsidR="0057207B" w:rsidRPr="002815F4">
              <w:rPr>
                <w:rStyle w:val="Hyperlink"/>
                <w:rFonts w:ascii="Calibri" w:hAnsi="Calibri"/>
                <w:noProof/>
              </w:rPr>
              <w:t>Workplan (#1.5)</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_Toc462149179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30</w:t>
            </w:r>
            <w:r w:rsidR="0057207B" w:rsidRPr="002815F4">
              <w:rPr>
                <w:rFonts w:ascii="Calibri" w:hAnsi="Calibri"/>
                <w:noProof/>
                <w:webHidden/>
              </w:rPr>
              <w:fldChar w:fldCharType="end"/>
            </w:r>
          </w:hyperlink>
        </w:p>
        <w:p w14:paraId="46CEF1EF" w14:textId="709BD0BF" w:rsidR="0057207B" w:rsidRPr="002815F4" w:rsidRDefault="0002611B" w:rsidP="00E02D8A">
          <w:pPr>
            <w:pStyle w:val="TOC1"/>
            <w:tabs>
              <w:tab w:val="right" w:pos="9495"/>
            </w:tabs>
            <w:rPr>
              <w:rFonts w:ascii="Calibri" w:eastAsiaTheme="minorEastAsia" w:hAnsi="Calibri" w:cstheme="minorBidi"/>
              <w:noProof/>
            </w:rPr>
          </w:pPr>
          <w:hyperlink w:anchor="_Toc462149180" w:history="1">
            <w:r w:rsidR="0057207B" w:rsidRPr="002815F4">
              <w:rPr>
                <w:rStyle w:val="Hyperlink"/>
                <w:rFonts w:ascii="Calibri" w:hAnsi="Calibri"/>
                <w:noProof/>
                <w:sz w:val="22"/>
                <w:szCs w:val="22"/>
              </w:rPr>
              <w:t>Part II – EITI Disclosures</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_Toc462149180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36</w:t>
            </w:r>
            <w:r w:rsidR="0057207B" w:rsidRPr="002815F4">
              <w:rPr>
                <w:rFonts w:ascii="Calibri" w:hAnsi="Calibri"/>
                <w:noProof/>
                <w:webHidden/>
              </w:rPr>
              <w:fldChar w:fldCharType="end"/>
            </w:r>
          </w:hyperlink>
        </w:p>
        <w:p w14:paraId="0C244022" w14:textId="24A42421" w:rsidR="0057207B" w:rsidRPr="002815F4" w:rsidRDefault="0002611B" w:rsidP="009A34B5">
          <w:pPr>
            <w:pStyle w:val="TOC2"/>
            <w:tabs>
              <w:tab w:val="left" w:pos="440"/>
              <w:tab w:val="right" w:pos="9495"/>
            </w:tabs>
            <w:rPr>
              <w:rFonts w:ascii="Calibri" w:eastAsiaTheme="minorEastAsia" w:hAnsi="Calibri" w:cstheme="minorBidi"/>
              <w:noProof/>
            </w:rPr>
          </w:pPr>
          <w:hyperlink w:anchor="_Toc462149181" w:history="1">
            <w:r w:rsidR="0057207B" w:rsidRPr="002815F4">
              <w:rPr>
                <w:rStyle w:val="Hyperlink"/>
                <w:rFonts w:ascii="Calibri" w:hAnsi="Calibri"/>
                <w:noProof/>
              </w:rPr>
              <w:t>2.</w:t>
            </w:r>
            <w:r w:rsidR="0057207B" w:rsidRPr="002815F4">
              <w:rPr>
                <w:rFonts w:ascii="Calibri" w:eastAsiaTheme="minorEastAsia" w:hAnsi="Calibri" w:cstheme="minorBidi"/>
                <w:noProof/>
              </w:rPr>
              <w:tab/>
            </w:r>
            <w:r w:rsidR="0057207B" w:rsidRPr="002815F4">
              <w:rPr>
                <w:rStyle w:val="Hyperlink"/>
                <w:rFonts w:ascii="Calibri" w:hAnsi="Calibri"/>
                <w:noProof/>
              </w:rPr>
              <w:t>Award of contracts and licenses</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_Toc462149181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36</w:t>
            </w:r>
            <w:r w:rsidR="0057207B" w:rsidRPr="002815F4">
              <w:rPr>
                <w:rFonts w:ascii="Calibri" w:hAnsi="Calibri"/>
                <w:noProof/>
                <w:webHidden/>
              </w:rPr>
              <w:fldChar w:fldCharType="end"/>
            </w:r>
          </w:hyperlink>
        </w:p>
        <w:p w14:paraId="65BD17D0" w14:textId="480AB977" w:rsidR="0057207B" w:rsidRPr="002815F4" w:rsidRDefault="0002611B" w:rsidP="009A34B5">
          <w:pPr>
            <w:pStyle w:val="TOC3"/>
            <w:tabs>
              <w:tab w:val="right" w:pos="9495"/>
            </w:tabs>
            <w:rPr>
              <w:rFonts w:ascii="Calibri" w:eastAsiaTheme="minorEastAsia" w:hAnsi="Calibri" w:cstheme="minorBidi"/>
              <w:i/>
              <w:iCs/>
              <w:noProof/>
            </w:rPr>
          </w:pPr>
          <w:hyperlink w:anchor="_Toc462149182" w:history="1">
            <w:r w:rsidR="0057207B" w:rsidRPr="002815F4">
              <w:rPr>
                <w:rStyle w:val="Hyperlink"/>
                <w:rFonts w:ascii="Calibri" w:hAnsi="Calibri"/>
                <w:noProof/>
              </w:rPr>
              <w:t>Legal framework (#2.1)</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_Toc462149182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36</w:t>
            </w:r>
            <w:r w:rsidR="0057207B" w:rsidRPr="002815F4">
              <w:rPr>
                <w:rFonts w:ascii="Calibri" w:hAnsi="Calibri"/>
                <w:noProof/>
                <w:webHidden/>
              </w:rPr>
              <w:fldChar w:fldCharType="end"/>
            </w:r>
          </w:hyperlink>
        </w:p>
        <w:p w14:paraId="224780FF" w14:textId="5E79DBE7" w:rsidR="0057207B" w:rsidRPr="002815F4" w:rsidRDefault="0002611B" w:rsidP="009A34B5">
          <w:pPr>
            <w:pStyle w:val="TOC3"/>
            <w:tabs>
              <w:tab w:val="right" w:pos="9495"/>
            </w:tabs>
            <w:rPr>
              <w:rFonts w:ascii="Calibri" w:eastAsiaTheme="minorEastAsia" w:hAnsi="Calibri" w:cstheme="minorBidi"/>
              <w:i/>
              <w:iCs/>
              <w:noProof/>
            </w:rPr>
          </w:pPr>
          <w:hyperlink w:anchor="_Toc462149183" w:history="1">
            <w:r w:rsidR="0057207B" w:rsidRPr="002815F4">
              <w:rPr>
                <w:rStyle w:val="Hyperlink"/>
                <w:rFonts w:ascii="Calibri" w:hAnsi="Calibri"/>
                <w:noProof/>
              </w:rPr>
              <w:t>License allocations (#2.2)</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_Toc462149183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37</w:t>
            </w:r>
            <w:r w:rsidR="0057207B" w:rsidRPr="002815F4">
              <w:rPr>
                <w:rFonts w:ascii="Calibri" w:hAnsi="Calibri"/>
                <w:noProof/>
                <w:webHidden/>
              </w:rPr>
              <w:fldChar w:fldCharType="end"/>
            </w:r>
          </w:hyperlink>
        </w:p>
        <w:p w14:paraId="2C2C88D6" w14:textId="03F60650" w:rsidR="0057207B" w:rsidRPr="002815F4" w:rsidRDefault="0002611B" w:rsidP="009A34B5">
          <w:pPr>
            <w:pStyle w:val="TOC3"/>
            <w:tabs>
              <w:tab w:val="right" w:pos="9495"/>
            </w:tabs>
            <w:rPr>
              <w:rFonts w:ascii="Calibri" w:eastAsiaTheme="minorEastAsia" w:hAnsi="Calibri" w:cstheme="minorBidi"/>
              <w:i/>
              <w:iCs/>
              <w:noProof/>
            </w:rPr>
          </w:pPr>
          <w:hyperlink w:anchor="_Toc462149184" w:history="1">
            <w:r w:rsidR="0057207B" w:rsidRPr="002815F4">
              <w:rPr>
                <w:rStyle w:val="Hyperlink"/>
                <w:rFonts w:ascii="Calibri" w:hAnsi="Calibri"/>
                <w:noProof/>
              </w:rPr>
              <w:t>Contract disclosures (#2.4)</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_Toc462149184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43</w:t>
            </w:r>
            <w:r w:rsidR="0057207B" w:rsidRPr="002815F4">
              <w:rPr>
                <w:rFonts w:ascii="Calibri" w:hAnsi="Calibri"/>
                <w:noProof/>
                <w:webHidden/>
              </w:rPr>
              <w:fldChar w:fldCharType="end"/>
            </w:r>
          </w:hyperlink>
        </w:p>
        <w:p w14:paraId="438A372F" w14:textId="105CD2ED" w:rsidR="0057207B" w:rsidRPr="002815F4" w:rsidRDefault="0002611B" w:rsidP="009A34B5">
          <w:pPr>
            <w:pStyle w:val="TOC3"/>
            <w:tabs>
              <w:tab w:val="right" w:pos="9495"/>
            </w:tabs>
            <w:rPr>
              <w:rFonts w:ascii="Calibri" w:eastAsiaTheme="minorEastAsia" w:hAnsi="Calibri" w:cstheme="minorBidi"/>
              <w:i/>
              <w:iCs/>
              <w:noProof/>
            </w:rPr>
          </w:pPr>
          <w:hyperlink w:anchor="_Toc462149185" w:history="1">
            <w:r w:rsidR="0057207B" w:rsidRPr="002815F4">
              <w:rPr>
                <w:rStyle w:val="Hyperlink"/>
                <w:rFonts w:ascii="Calibri" w:hAnsi="Calibri"/>
                <w:noProof/>
              </w:rPr>
              <w:t>Beneficial ownership disclosure (#2.5)</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_Toc462149185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46</w:t>
            </w:r>
            <w:r w:rsidR="0057207B" w:rsidRPr="002815F4">
              <w:rPr>
                <w:rFonts w:ascii="Calibri" w:hAnsi="Calibri"/>
                <w:noProof/>
                <w:webHidden/>
              </w:rPr>
              <w:fldChar w:fldCharType="end"/>
            </w:r>
          </w:hyperlink>
        </w:p>
        <w:p w14:paraId="2873DDD1" w14:textId="541499D9" w:rsidR="0057207B" w:rsidRPr="002815F4" w:rsidRDefault="0002611B" w:rsidP="009A34B5">
          <w:pPr>
            <w:pStyle w:val="TOC2"/>
            <w:tabs>
              <w:tab w:val="left" w:pos="440"/>
              <w:tab w:val="right" w:pos="9495"/>
            </w:tabs>
            <w:rPr>
              <w:rFonts w:ascii="Calibri" w:eastAsiaTheme="minorEastAsia" w:hAnsi="Calibri" w:cstheme="minorBidi"/>
              <w:noProof/>
            </w:rPr>
          </w:pPr>
          <w:hyperlink w:anchor="_Toc462149186" w:history="1">
            <w:r w:rsidR="0057207B" w:rsidRPr="002815F4">
              <w:rPr>
                <w:rStyle w:val="Hyperlink"/>
                <w:rFonts w:ascii="Calibri" w:hAnsi="Calibri"/>
                <w:noProof/>
              </w:rPr>
              <w:t>3.</w:t>
            </w:r>
            <w:r w:rsidR="0057207B" w:rsidRPr="002815F4">
              <w:rPr>
                <w:rFonts w:ascii="Calibri" w:eastAsiaTheme="minorEastAsia" w:hAnsi="Calibri" w:cstheme="minorBidi"/>
                <w:noProof/>
              </w:rPr>
              <w:tab/>
            </w:r>
            <w:r w:rsidR="0057207B" w:rsidRPr="002815F4">
              <w:rPr>
                <w:rStyle w:val="Hyperlink"/>
                <w:rFonts w:ascii="Calibri" w:hAnsi="Calibri"/>
                <w:noProof/>
              </w:rPr>
              <w:t>Monitoring and production</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_Toc462149186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54</w:t>
            </w:r>
            <w:r w:rsidR="0057207B" w:rsidRPr="002815F4">
              <w:rPr>
                <w:rFonts w:ascii="Calibri" w:hAnsi="Calibri"/>
                <w:noProof/>
                <w:webHidden/>
              </w:rPr>
              <w:fldChar w:fldCharType="end"/>
            </w:r>
          </w:hyperlink>
        </w:p>
        <w:p w14:paraId="0011694E" w14:textId="355F0C2C" w:rsidR="0057207B" w:rsidRPr="002815F4" w:rsidRDefault="0002611B" w:rsidP="009A34B5">
          <w:pPr>
            <w:pStyle w:val="TOC3"/>
            <w:tabs>
              <w:tab w:val="right" w:pos="9495"/>
            </w:tabs>
            <w:rPr>
              <w:rFonts w:ascii="Calibri" w:eastAsiaTheme="minorEastAsia" w:hAnsi="Calibri" w:cstheme="minorBidi"/>
              <w:i/>
              <w:iCs/>
              <w:noProof/>
            </w:rPr>
          </w:pPr>
          <w:hyperlink w:anchor="_Toc462149187" w:history="1">
            <w:r w:rsidR="0057207B" w:rsidRPr="002815F4">
              <w:rPr>
                <w:rStyle w:val="Hyperlink"/>
                <w:rFonts w:ascii="Calibri" w:hAnsi="Calibri"/>
                <w:noProof/>
              </w:rPr>
              <w:t>Overview of the extractive sector, including exploration activities (#3.1)</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_Toc462149187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54</w:t>
            </w:r>
            <w:r w:rsidR="0057207B" w:rsidRPr="002815F4">
              <w:rPr>
                <w:rFonts w:ascii="Calibri" w:hAnsi="Calibri"/>
                <w:noProof/>
                <w:webHidden/>
              </w:rPr>
              <w:fldChar w:fldCharType="end"/>
            </w:r>
          </w:hyperlink>
        </w:p>
        <w:p w14:paraId="370188AA" w14:textId="1A62D4DF" w:rsidR="0057207B" w:rsidRPr="002815F4" w:rsidRDefault="0002611B" w:rsidP="009A34B5">
          <w:pPr>
            <w:pStyle w:val="TOC3"/>
            <w:tabs>
              <w:tab w:val="right" w:pos="9495"/>
            </w:tabs>
            <w:rPr>
              <w:rFonts w:ascii="Calibri" w:eastAsiaTheme="minorEastAsia" w:hAnsi="Calibri" w:cstheme="minorBidi"/>
              <w:i/>
              <w:iCs/>
              <w:noProof/>
            </w:rPr>
          </w:pPr>
          <w:hyperlink w:anchor="_Toc462149188" w:history="1">
            <w:r w:rsidR="0057207B" w:rsidRPr="002815F4">
              <w:rPr>
                <w:rStyle w:val="Hyperlink"/>
                <w:rFonts w:ascii="Calibri" w:hAnsi="Calibri"/>
                <w:noProof/>
              </w:rPr>
              <w:t>Export data (#3.3)</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_Toc462149188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56</w:t>
            </w:r>
            <w:r w:rsidR="0057207B" w:rsidRPr="002815F4">
              <w:rPr>
                <w:rFonts w:ascii="Calibri" w:hAnsi="Calibri"/>
                <w:noProof/>
                <w:webHidden/>
              </w:rPr>
              <w:fldChar w:fldCharType="end"/>
            </w:r>
          </w:hyperlink>
        </w:p>
        <w:p w14:paraId="50E4A57E" w14:textId="5C8D1D2B" w:rsidR="0057207B" w:rsidRPr="002815F4" w:rsidRDefault="0002611B" w:rsidP="009A34B5">
          <w:pPr>
            <w:pStyle w:val="TOC2"/>
            <w:tabs>
              <w:tab w:val="left" w:pos="660"/>
              <w:tab w:val="right" w:pos="9495"/>
            </w:tabs>
            <w:rPr>
              <w:rFonts w:ascii="Calibri" w:eastAsiaTheme="minorEastAsia" w:hAnsi="Calibri" w:cstheme="minorBidi"/>
              <w:noProof/>
            </w:rPr>
          </w:pPr>
          <w:hyperlink w:anchor="_Toc462149189" w:history="1">
            <w:r w:rsidR="0057207B" w:rsidRPr="002815F4">
              <w:rPr>
                <w:rStyle w:val="Hyperlink"/>
                <w:rFonts w:ascii="Calibri" w:hAnsi="Calibri"/>
                <w:noProof/>
              </w:rPr>
              <w:t xml:space="preserve">4. </w:t>
            </w:r>
            <w:r w:rsidR="0057207B" w:rsidRPr="002815F4">
              <w:rPr>
                <w:rFonts w:ascii="Calibri" w:eastAsiaTheme="minorEastAsia" w:hAnsi="Calibri" w:cstheme="minorBidi"/>
                <w:noProof/>
              </w:rPr>
              <w:tab/>
            </w:r>
            <w:r w:rsidR="0057207B" w:rsidRPr="002815F4">
              <w:rPr>
                <w:rStyle w:val="Hyperlink"/>
                <w:rFonts w:ascii="Calibri" w:hAnsi="Calibri"/>
                <w:noProof/>
              </w:rPr>
              <w:t>Revenue collection</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_Toc462149189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58</w:t>
            </w:r>
            <w:r w:rsidR="0057207B" w:rsidRPr="002815F4">
              <w:rPr>
                <w:rFonts w:ascii="Calibri" w:hAnsi="Calibri"/>
                <w:noProof/>
                <w:webHidden/>
              </w:rPr>
              <w:fldChar w:fldCharType="end"/>
            </w:r>
          </w:hyperlink>
        </w:p>
        <w:p w14:paraId="6EADC20A" w14:textId="2CA4D044" w:rsidR="0057207B" w:rsidRPr="002815F4" w:rsidRDefault="0002611B" w:rsidP="009A34B5">
          <w:pPr>
            <w:pStyle w:val="TOC3"/>
            <w:tabs>
              <w:tab w:val="right" w:pos="9495"/>
            </w:tabs>
            <w:rPr>
              <w:rFonts w:ascii="Calibri" w:eastAsiaTheme="minorEastAsia" w:hAnsi="Calibri" w:cstheme="minorBidi"/>
              <w:i/>
              <w:iCs/>
              <w:noProof/>
            </w:rPr>
          </w:pPr>
          <w:hyperlink w:anchor="_Toc462149190" w:history="1">
            <w:r w:rsidR="0057207B" w:rsidRPr="002815F4">
              <w:rPr>
                <w:rStyle w:val="Hyperlink"/>
                <w:rFonts w:ascii="Calibri" w:hAnsi="Calibri"/>
                <w:noProof/>
              </w:rPr>
              <w:t>Materiality (#4.1)</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_Toc462149190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58</w:t>
            </w:r>
            <w:r w:rsidR="0057207B" w:rsidRPr="002815F4">
              <w:rPr>
                <w:rFonts w:ascii="Calibri" w:hAnsi="Calibri"/>
                <w:noProof/>
                <w:webHidden/>
              </w:rPr>
              <w:fldChar w:fldCharType="end"/>
            </w:r>
          </w:hyperlink>
        </w:p>
        <w:p w14:paraId="1AF9EFB9" w14:textId="49D68BC8" w:rsidR="0057207B" w:rsidRPr="002815F4" w:rsidRDefault="0002611B" w:rsidP="009A34B5">
          <w:pPr>
            <w:pStyle w:val="TOC3"/>
            <w:tabs>
              <w:tab w:val="right" w:pos="9495"/>
            </w:tabs>
            <w:rPr>
              <w:rFonts w:ascii="Calibri" w:eastAsiaTheme="minorEastAsia" w:hAnsi="Calibri" w:cstheme="minorBidi"/>
              <w:i/>
              <w:iCs/>
              <w:noProof/>
            </w:rPr>
          </w:pPr>
          <w:hyperlink w:anchor="_Toc462149191" w:history="1">
            <w:r w:rsidR="0057207B" w:rsidRPr="002815F4">
              <w:rPr>
                <w:rStyle w:val="Hyperlink"/>
                <w:rFonts w:ascii="Calibri" w:hAnsi="Calibri"/>
                <w:noProof/>
              </w:rPr>
              <w:t>In-kind revenues (#4.2)</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_Toc462149191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62</w:t>
            </w:r>
            <w:r w:rsidR="0057207B" w:rsidRPr="002815F4">
              <w:rPr>
                <w:rFonts w:ascii="Calibri" w:hAnsi="Calibri"/>
                <w:noProof/>
                <w:webHidden/>
              </w:rPr>
              <w:fldChar w:fldCharType="end"/>
            </w:r>
          </w:hyperlink>
        </w:p>
        <w:p w14:paraId="016E49E1" w14:textId="46BD51A5" w:rsidR="0057207B" w:rsidRPr="002815F4" w:rsidRDefault="0002611B" w:rsidP="009A34B5">
          <w:pPr>
            <w:pStyle w:val="TOC3"/>
            <w:tabs>
              <w:tab w:val="right" w:pos="9495"/>
            </w:tabs>
            <w:rPr>
              <w:rFonts w:ascii="Calibri" w:eastAsiaTheme="minorEastAsia" w:hAnsi="Calibri" w:cstheme="minorBidi"/>
              <w:i/>
              <w:iCs/>
              <w:noProof/>
            </w:rPr>
          </w:pPr>
          <w:hyperlink w:anchor="_Toc462149192" w:history="1">
            <w:r w:rsidR="0057207B" w:rsidRPr="002815F4">
              <w:rPr>
                <w:rStyle w:val="Hyperlink"/>
                <w:rFonts w:ascii="Calibri" w:hAnsi="Calibri"/>
                <w:noProof/>
              </w:rPr>
              <w:t>Barter and infrastructure transactions (#4.3)</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_Toc462149192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62</w:t>
            </w:r>
            <w:r w:rsidR="0057207B" w:rsidRPr="002815F4">
              <w:rPr>
                <w:rFonts w:ascii="Calibri" w:hAnsi="Calibri"/>
                <w:noProof/>
                <w:webHidden/>
              </w:rPr>
              <w:fldChar w:fldCharType="end"/>
            </w:r>
          </w:hyperlink>
        </w:p>
        <w:p w14:paraId="7F14DCA7" w14:textId="67F2068C" w:rsidR="0057207B" w:rsidRPr="002815F4" w:rsidRDefault="0002611B" w:rsidP="009A34B5">
          <w:pPr>
            <w:pStyle w:val="TOC3"/>
            <w:tabs>
              <w:tab w:val="right" w:pos="9495"/>
            </w:tabs>
            <w:rPr>
              <w:rFonts w:ascii="Calibri" w:eastAsiaTheme="minorEastAsia" w:hAnsi="Calibri" w:cstheme="minorBidi"/>
              <w:i/>
              <w:iCs/>
              <w:noProof/>
            </w:rPr>
          </w:pPr>
          <w:hyperlink w:anchor="_Toc462149193" w:history="1">
            <w:r w:rsidR="0057207B" w:rsidRPr="002815F4">
              <w:rPr>
                <w:rStyle w:val="Hyperlink"/>
                <w:rFonts w:ascii="Calibri" w:hAnsi="Calibri"/>
                <w:noProof/>
              </w:rPr>
              <w:t>Transport revenues (#4.4)</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_Toc462149193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64</w:t>
            </w:r>
            <w:r w:rsidR="0057207B" w:rsidRPr="002815F4">
              <w:rPr>
                <w:rFonts w:ascii="Calibri" w:hAnsi="Calibri"/>
                <w:noProof/>
                <w:webHidden/>
              </w:rPr>
              <w:fldChar w:fldCharType="end"/>
            </w:r>
          </w:hyperlink>
        </w:p>
        <w:p w14:paraId="5E620168" w14:textId="4AF2205F" w:rsidR="0057207B" w:rsidRPr="002815F4" w:rsidRDefault="0002611B" w:rsidP="009A34B5">
          <w:pPr>
            <w:pStyle w:val="TOC3"/>
            <w:tabs>
              <w:tab w:val="right" w:pos="9495"/>
            </w:tabs>
            <w:rPr>
              <w:rFonts w:ascii="Calibri" w:eastAsiaTheme="minorEastAsia" w:hAnsi="Calibri" w:cstheme="minorBidi"/>
              <w:i/>
              <w:iCs/>
              <w:noProof/>
            </w:rPr>
          </w:pPr>
          <w:hyperlink w:anchor="_Toc462149194" w:history="1">
            <w:r w:rsidR="0057207B" w:rsidRPr="002815F4">
              <w:rPr>
                <w:rStyle w:val="Hyperlink"/>
                <w:rFonts w:ascii="Calibri" w:hAnsi="Calibri"/>
                <w:noProof/>
              </w:rPr>
              <w:t>Transactions between SOEs and government (#4.5)</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_Toc462149194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66</w:t>
            </w:r>
            <w:r w:rsidR="0057207B" w:rsidRPr="002815F4">
              <w:rPr>
                <w:rFonts w:ascii="Calibri" w:hAnsi="Calibri"/>
                <w:noProof/>
                <w:webHidden/>
              </w:rPr>
              <w:fldChar w:fldCharType="end"/>
            </w:r>
          </w:hyperlink>
        </w:p>
        <w:p w14:paraId="70DCD935" w14:textId="45D0AB7C" w:rsidR="0057207B" w:rsidRPr="002815F4" w:rsidRDefault="0002611B" w:rsidP="009A34B5">
          <w:pPr>
            <w:pStyle w:val="TOC3"/>
            <w:tabs>
              <w:tab w:val="right" w:pos="9495"/>
            </w:tabs>
            <w:rPr>
              <w:rFonts w:ascii="Calibri" w:eastAsiaTheme="minorEastAsia" w:hAnsi="Calibri" w:cstheme="minorBidi"/>
              <w:i/>
              <w:iCs/>
              <w:noProof/>
            </w:rPr>
          </w:pPr>
          <w:hyperlink w:anchor="_Toc462149195" w:history="1">
            <w:r w:rsidR="0057207B" w:rsidRPr="002815F4">
              <w:rPr>
                <w:rStyle w:val="Hyperlink"/>
                <w:rFonts w:ascii="Calibri" w:hAnsi="Calibri"/>
                <w:noProof/>
              </w:rPr>
              <w:t>Level of disaggregation (#4.7)</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_Toc462149195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67</w:t>
            </w:r>
            <w:r w:rsidR="0057207B" w:rsidRPr="002815F4">
              <w:rPr>
                <w:rFonts w:ascii="Calibri" w:hAnsi="Calibri"/>
                <w:noProof/>
                <w:webHidden/>
              </w:rPr>
              <w:fldChar w:fldCharType="end"/>
            </w:r>
          </w:hyperlink>
        </w:p>
        <w:p w14:paraId="6385ABB4" w14:textId="714F9F1E" w:rsidR="0057207B" w:rsidRPr="002815F4" w:rsidRDefault="0002611B" w:rsidP="009A34B5">
          <w:pPr>
            <w:pStyle w:val="TOC3"/>
            <w:tabs>
              <w:tab w:val="right" w:pos="9495"/>
            </w:tabs>
            <w:rPr>
              <w:rFonts w:ascii="Calibri" w:eastAsiaTheme="minorEastAsia" w:hAnsi="Calibri" w:cstheme="minorBidi"/>
              <w:i/>
              <w:iCs/>
              <w:noProof/>
            </w:rPr>
          </w:pPr>
          <w:hyperlink w:anchor="_Toc462149196" w:history="1">
            <w:r w:rsidR="0057207B" w:rsidRPr="002815F4">
              <w:rPr>
                <w:rStyle w:val="Hyperlink"/>
                <w:rFonts w:ascii="Calibri" w:hAnsi="Calibri"/>
                <w:noProof/>
              </w:rPr>
              <w:t>Data timeliness (#4.8)</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_Toc462149196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68</w:t>
            </w:r>
            <w:r w:rsidR="0057207B" w:rsidRPr="002815F4">
              <w:rPr>
                <w:rFonts w:ascii="Calibri" w:hAnsi="Calibri"/>
                <w:noProof/>
                <w:webHidden/>
              </w:rPr>
              <w:fldChar w:fldCharType="end"/>
            </w:r>
          </w:hyperlink>
        </w:p>
        <w:p w14:paraId="1A19167F" w14:textId="16983165" w:rsidR="0057207B" w:rsidRPr="002815F4" w:rsidRDefault="0002611B" w:rsidP="009A34B5">
          <w:pPr>
            <w:pStyle w:val="TOC3"/>
            <w:tabs>
              <w:tab w:val="right" w:pos="9495"/>
            </w:tabs>
            <w:rPr>
              <w:rFonts w:ascii="Calibri" w:eastAsiaTheme="minorEastAsia" w:hAnsi="Calibri" w:cstheme="minorBidi"/>
              <w:i/>
              <w:iCs/>
              <w:noProof/>
            </w:rPr>
          </w:pPr>
          <w:hyperlink w:anchor="_Toc462149197" w:history="1">
            <w:r w:rsidR="0057207B" w:rsidRPr="002815F4">
              <w:rPr>
                <w:rStyle w:val="Hyperlink"/>
                <w:rFonts w:ascii="Calibri" w:hAnsi="Calibri"/>
                <w:noProof/>
              </w:rPr>
              <w:t>Data quality (#4.9)</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_Toc462149197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69</w:t>
            </w:r>
            <w:r w:rsidR="0057207B" w:rsidRPr="002815F4">
              <w:rPr>
                <w:rFonts w:ascii="Calibri" w:hAnsi="Calibri"/>
                <w:noProof/>
                <w:webHidden/>
              </w:rPr>
              <w:fldChar w:fldCharType="end"/>
            </w:r>
          </w:hyperlink>
        </w:p>
        <w:p w14:paraId="4F80D483" w14:textId="67ABADF4" w:rsidR="0057207B" w:rsidRPr="002815F4" w:rsidRDefault="0002611B" w:rsidP="009A34B5">
          <w:pPr>
            <w:pStyle w:val="TOC2"/>
            <w:tabs>
              <w:tab w:val="left" w:pos="440"/>
              <w:tab w:val="right" w:pos="9495"/>
            </w:tabs>
            <w:rPr>
              <w:rFonts w:ascii="Calibri" w:eastAsiaTheme="minorEastAsia" w:hAnsi="Calibri" w:cstheme="minorBidi"/>
              <w:noProof/>
            </w:rPr>
          </w:pPr>
          <w:hyperlink w:anchor="_Toc462149198" w:history="1">
            <w:r w:rsidR="0057207B" w:rsidRPr="002815F4">
              <w:rPr>
                <w:rStyle w:val="Hyperlink"/>
                <w:rFonts w:ascii="Calibri" w:hAnsi="Calibri"/>
                <w:noProof/>
              </w:rPr>
              <w:t>5.</w:t>
            </w:r>
            <w:r w:rsidR="0057207B" w:rsidRPr="002815F4">
              <w:rPr>
                <w:rFonts w:ascii="Calibri" w:eastAsiaTheme="minorEastAsia" w:hAnsi="Calibri" w:cstheme="minorBidi"/>
                <w:noProof/>
              </w:rPr>
              <w:tab/>
            </w:r>
            <w:r w:rsidR="0057207B" w:rsidRPr="002815F4">
              <w:rPr>
                <w:rStyle w:val="Hyperlink"/>
                <w:rFonts w:ascii="Calibri" w:hAnsi="Calibri"/>
                <w:noProof/>
              </w:rPr>
              <w:t>Revenue management and distribution</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_Toc462149198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80</w:t>
            </w:r>
            <w:r w:rsidR="0057207B" w:rsidRPr="002815F4">
              <w:rPr>
                <w:rFonts w:ascii="Calibri" w:hAnsi="Calibri"/>
                <w:noProof/>
                <w:webHidden/>
              </w:rPr>
              <w:fldChar w:fldCharType="end"/>
            </w:r>
          </w:hyperlink>
        </w:p>
        <w:p w14:paraId="1C657F48" w14:textId="403D67AC" w:rsidR="0057207B" w:rsidRPr="002815F4" w:rsidRDefault="0002611B" w:rsidP="009A34B5">
          <w:pPr>
            <w:pStyle w:val="TOC3"/>
            <w:tabs>
              <w:tab w:val="right" w:pos="9495"/>
            </w:tabs>
            <w:rPr>
              <w:rFonts w:ascii="Calibri" w:eastAsiaTheme="minorEastAsia" w:hAnsi="Calibri" w:cstheme="minorBidi"/>
              <w:i/>
              <w:iCs/>
              <w:noProof/>
            </w:rPr>
          </w:pPr>
          <w:hyperlink w:anchor="_Toc462149199" w:history="1">
            <w:r w:rsidR="0057207B" w:rsidRPr="002815F4">
              <w:rPr>
                <w:rStyle w:val="Hyperlink"/>
                <w:rFonts w:ascii="Calibri" w:hAnsi="Calibri"/>
                <w:noProof/>
              </w:rPr>
              <w:t>Distribution of revenues (#5.1)</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_Toc462149199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80</w:t>
            </w:r>
            <w:r w:rsidR="0057207B" w:rsidRPr="002815F4">
              <w:rPr>
                <w:rFonts w:ascii="Calibri" w:hAnsi="Calibri"/>
                <w:noProof/>
                <w:webHidden/>
              </w:rPr>
              <w:fldChar w:fldCharType="end"/>
            </w:r>
          </w:hyperlink>
        </w:p>
        <w:p w14:paraId="7CD0B0E3" w14:textId="0EBEF8E5" w:rsidR="0057207B" w:rsidRPr="002815F4" w:rsidRDefault="0002611B" w:rsidP="009A34B5">
          <w:pPr>
            <w:pStyle w:val="TOC3"/>
            <w:tabs>
              <w:tab w:val="right" w:pos="9495"/>
            </w:tabs>
            <w:rPr>
              <w:rFonts w:ascii="Calibri" w:eastAsiaTheme="minorEastAsia" w:hAnsi="Calibri" w:cstheme="minorBidi"/>
              <w:i/>
              <w:iCs/>
              <w:noProof/>
            </w:rPr>
          </w:pPr>
          <w:hyperlink w:anchor="_Toc462149200" w:history="1">
            <w:r w:rsidR="0057207B" w:rsidRPr="002815F4">
              <w:rPr>
                <w:rStyle w:val="Hyperlink"/>
                <w:rFonts w:ascii="Calibri" w:hAnsi="Calibri"/>
                <w:noProof/>
              </w:rPr>
              <w:t>Sub-national transfers (#5.2)</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_Toc462149200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81</w:t>
            </w:r>
            <w:r w:rsidR="0057207B" w:rsidRPr="002815F4">
              <w:rPr>
                <w:rFonts w:ascii="Calibri" w:hAnsi="Calibri"/>
                <w:noProof/>
                <w:webHidden/>
              </w:rPr>
              <w:fldChar w:fldCharType="end"/>
            </w:r>
          </w:hyperlink>
        </w:p>
        <w:p w14:paraId="6D1EFC75" w14:textId="4F5F20A3" w:rsidR="0057207B" w:rsidRPr="002815F4" w:rsidRDefault="0002611B" w:rsidP="009A34B5">
          <w:pPr>
            <w:pStyle w:val="TOC3"/>
            <w:tabs>
              <w:tab w:val="right" w:pos="9495"/>
            </w:tabs>
            <w:rPr>
              <w:rFonts w:ascii="Calibri" w:eastAsiaTheme="minorEastAsia" w:hAnsi="Calibri" w:cstheme="minorBidi"/>
              <w:i/>
              <w:iCs/>
              <w:noProof/>
            </w:rPr>
          </w:pPr>
          <w:hyperlink w:anchor="_Toc462149201" w:history="1">
            <w:r w:rsidR="0057207B" w:rsidRPr="002815F4">
              <w:rPr>
                <w:rStyle w:val="Hyperlink"/>
                <w:rFonts w:ascii="Calibri" w:hAnsi="Calibri"/>
                <w:noProof/>
              </w:rPr>
              <w:t>Additional information on revenue management and expenditures (#5.3)</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_Toc462149201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82</w:t>
            </w:r>
            <w:r w:rsidR="0057207B" w:rsidRPr="002815F4">
              <w:rPr>
                <w:rFonts w:ascii="Calibri" w:hAnsi="Calibri"/>
                <w:noProof/>
                <w:webHidden/>
              </w:rPr>
              <w:fldChar w:fldCharType="end"/>
            </w:r>
          </w:hyperlink>
        </w:p>
        <w:p w14:paraId="58C8086B" w14:textId="0F73F6F1" w:rsidR="0057207B" w:rsidRPr="002815F4" w:rsidRDefault="0002611B" w:rsidP="009A34B5">
          <w:pPr>
            <w:pStyle w:val="TOC2"/>
            <w:tabs>
              <w:tab w:val="left" w:pos="440"/>
              <w:tab w:val="right" w:pos="9495"/>
            </w:tabs>
            <w:rPr>
              <w:rFonts w:ascii="Calibri" w:eastAsiaTheme="minorEastAsia" w:hAnsi="Calibri" w:cstheme="minorBidi"/>
              <w:noProof/>
            </w:rPr>
          </w:pPr>
          <w:hyperlink w:anchor="_Toc462149202" w:history="1">
            <w:r w:rsidR="0057207B" w:rsidRPr="002815F4">
              <w:rPr>
                <w:rStyle w:val="Hyperlink"/>
                <w:rFonts w:ascii="Calibri" w:hAnsi="Calibri"/>
                <w:noProof/>
              </w:rPr>
              <w:t>6.</w:t>
            </w:r>
            <w:r w:rsidR="0057207B" w:rsidRPr="002815F4">
              <w:rPr>
                <w:rFonts w:ascii="Calibri" w:eastAsiaTheme="minorEastAsia" w:hAnsi="Calibri" w:cstheme="minorBidi"/>
                <w:noProof/>
              </w:rPr>
              <w:tab/>
            </w:r>
            <w:r w:rsidR="0057207B" w:rsidRPr="002815F4">
              <w:rPr>
                <w:rStyle w:val="Hyperlink"/>
                <w:rFonts w:ascii="Calibri" w:hAnsi="Calibri"/>
                <w:noProof/>
              </w:rPr>
              <w:t>Social and economic spending</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_Toc462149202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85</w:t>
            </w:r>
            <w:r w:rsidR="0057207B" w:rsidRPr="002815F4">
              <w:rPr>
                <w:rFonts w:ascii="Calibri" w:hAnsi="Calibri"/>
                <w:noProof/>
                <w:webHidden/>
              </w:rPr>
              <w:fldChar w:fldCharType="end"/>
            </w:r>
          </w:hyperlink>
        </w:p>
        <w:p w14:paraId="0CF7CAB7" w14:textId="6ED53A57" w:rsidR="0057207B" w:rsidRPr="002815F4" w:rsidRDefault="0002611B" w:rsidP="009A34B5">
          <w:pPr>
            <w:pStyle w:val="TOC3"/>
            <w:tabs>
              <w:tab w:val="right" w:pos="9495"/>
            </w:tabs>
            <w:rPr>
              <w:rFonts w:ascii="Calibri" w:eastAsiaTheme="minorEastAsia" w:hAnsi="Calibri" w:cstheme="minorBidi"/>
              <w:i/>
              <w:iCs/>
              <w:noProof/>
            </w:rPr>
          </w:pPr>
          <w:hyperlink w:anchor="_Toc462149203" w:history="1">
            <w:r w:rsidR="0057207B" w:rsidRPr="002815F4">
              <w:rPr>
                <w:rStyle w:val="Hyperlink"/>
                <w:rFonts w:ascii="Calibri" w:hAnsi="Calibri"/>
                <w:noProof/>
              </w:rPr>
              <w:t>Social expenditures (#6.1)</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_Toc462149203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85</w:t>
            </w:r>
            <w:r w:rsidR="0057207B" w:rsidRPr="002815F4">
              <w:rPr>
                <w:rFonts w:ascii="Calibri" w:hAnsi="Calibri"/>
                <w:noProof/>
                <w:webHidden/>
              </w:rPr>
              <w:fldChar w:fldCharType="end"/>
            </w:r>
          </w:hyperlink>
        </w:p>
        <w:p w14:paraId="192879CB" w14:textId="052BFDB1" w:rsidR="0057207B" w:rsidRPr="002815F4" w:rsidRDefault="0002611B" w:rsidP="009A34B5">
          <w:pPr>
            <w:pStyle w:val="TOC3"/>
            <w:tabs>
              <w:tab w:val="right" w:pos="9495"/>
            </w:tabs>
            <w:rPr>
              <w:rFonts w:ascii="Calibri" w:eastAsiaTheme="minorEastAsia" w:hAnsi="Calibri" w:cstheme="minorBidi"/>
              <w:i/>
              <w:iCs/>
              <w:noProof/>
            </w:rPr>
          </w:pPr>
          <w:hyperlink w:anchor="_Toc462149204" w:history="1">
            <w:r w:rsidR="0057207B" w:rsidRPr="002815F4">
              <w:rPr>
                <w:rStyle w:val="Hyperlink"/>
                <w:rFonts w:ascii="Calibri" w:hAnsi="Calibri"/>
                <w:noProof/>
              </w:rPr>
              <w:t>SOE quasi fiscal expenditures (#6.2)</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_Toc462149204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86</w:t>
            </w:r>
            <w:r w:rsidR="0057207B" w:rsidRPr="002815F4">
              <w:rPr>
                <w:rFonts w:ascii="Calibri" w:hAnsi="Calibri"/>
                <w:noProof/>
                <w:webHidden/>
              </w:rPr>
              <w:fldChar w:fldCharType="end"/>
            </w:r>
          </w:hyperlink>
        </w:p>
        <w:p w14:paraId="40D513C6" w14:textId="03B019F0" w:rsidR="0057207B" w:rsidRPr="002815F4" w:rsidRDefault="0002611B" w:rsidP="009A34B5">
          <w:pPr>
            <w:pStyle w:val="TOC3"/>
            <w:tabs>
              <w:tab w:val="right" w:pos="9495"/>
            </w:tabs>
            <w:rPr>
              <w:rFonts w:ascii="Calibri" w:eastAsiaTheme="minorEastAsia" w:hAnsi="Calibri" w:cstheme="minorBidi"/>
              <w:i/>
              <w:iCs/>
              <w:noProof/>
            </w:rPr>
          </w:pPr>
          <w:hyperlink w:anchor="_Toc462149205" w:history="1">
            <w:r w:rsidR="0057207B" w:rsidRPr="002815F4">
              <w:rPr>
                <w:rStyle w:val="Hyperlink"/>
                <w:rFonts w:ascii="Calibri" w:hAnsi="Calibri"/>
                <w:noProof/>
              </w:rPr>
              <w:t>Contribution of the extractive sector to the economy (#6.3)</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_Toc462149205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87</w:t>
            </w:r>
            <w:r w:rsidR="0057207B" w:rsidRPr="002815F4">
              <w:rPr>
                <w:rFonts w:ascii="Calibri" w:hAnsi="Calibri"/>
                <w:noProof/>
                <w:webHidden/>
              </w:rPr>
              <w:fldChar w:fldCharType="end"/>
            </w:r>
          </w:hyperlink>
        </w:p>
        <w:p w14:paraId="49646128" w14:textId="15DFCD3A" w:rsidR="0057207B" w:rsidRPr="002815F4" w:rsidRDefault="0002611B" w:rsidP="00E02D8A">
          <w:pPr>
            <w:pStyle w:val="TOC1"/>
            <w:tabs>
              <w:tab w:val="right" w:pos="9495"/>
            </w:tabs>
            <w:rPr>
              <w:rFonts w:ascii="Calibri" w:eastAsiaTheme="minorEastAsia" w:hAnsi="Calibri" w:cstheme="minorBidi"/>
              <w:noProof/>
            </w:rPr>
          </w:pPr>
          <w:hyperlink w:anchor="_Toc462149206" w:history="1">
            <w:r w:rsidR="0057207B" w:rsidRPr="002815F4">
              <w:rPr>
                <w:rStyle w:val="Hyperlink"/>
                <w:rFonts w:ascii="Calibri" w:hAnsi="Calibri"/>
                <w:noProof/>
                <w:sz w:val="22"/>
                <w:szCs w:val="22"/>
              </w:rPr>
              <w:t>Part III – Outcomes and Impact</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_Toc462149206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89</w:t>
            </w:r>
            <w:r w:rsidR="0057207B" w:rsidRPr="002815F4">
              <w:rPr>
                <w:rFonts w:ascii="Calibri" w:hAnsi="Calibri"/>
                <w:noProof/>
                <w:webHidden/>
              </w:rPr>
              <w:fldChar w:fldCharType="end"/>
            </w:r>
          </w:hyperlink>
        </w:p>
        <w:p w14:paraId="2AF00749" w14:textId="45D0F706" w:rsidR="0057207B" w:rsidRPr="002815F4" w:rsidRDefault="0002611B" w:rsidP="009A34B5">
          <w:pPr>
            <w:pStyle w:val="TOC2"/>
            <w:tabs>
              <w:tab w:val="left" w:pos="440"/>
              <w:tab w:val="right" w:pos="9495"/>
            </w:tabs>
            <w:rPr>
              <w:rFonts w:ascii="Calibri" w:eastAsiaTheme="minorEastAsia" w:hAnsi="Calibri" w:cstheme="minorBidi"/>
              <w:noProof/>
            </w:rPr>
          </w:pPr>
          <w:hyperlink w:anchor="_Toc462149207" w:history="1">
            <w:r w:rsidR="0057207B" w:rsidRPr="002815F4">
              <w:rPr>
                <w:rStyle w:val="Hyperlink"/>
                <w:rFonts w:ascii="Calibri" w:hAnsi="Calibri"/>
                <w:noProof/>
              </w:rPr>
              <w:t>7.</w:t>
            </w:r>
            <w:r w:rsidR="0057207B" w:rsidRPr="002815F4">
              <w:rPr>
                <w:rFonts w:ascii="Calibri" w:eastAsiaTheme="minorEastAsia" w:hAnsi="Calibri" w:cstheme="minorBidi"/>
                <w:noProof/>
              </w:rPr>
              <w:tab/>
            </w:r>
            <w:r w:rsidR="0057207B" w:rsidRPr="002815F4">
              <w:rPr>
                <w:rStyle w:val="Hyperlink"/>
                <w:rFonts w:ascii="Calibri" w:hAnsi="Calibri"/>
                <w:noProof/>
              </w:rPr>
              <w:t>Outcomes and Impact</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_Toc462149207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90</w:t>
            </w:r>
            <w:r w:rsidR="0057207B" w:rsidRPr="002815F4">
              <w:rPr>
                <w:rFonts w:ascii="Calibri" w:hAnsi="Calibri"/>
                <w:noProof/>
                <w:webHidden/>
              </w:rPr>
              <w:fldChar w:fldCharType="end"/>
            </w:r>
          </w:hyperlink>
        </w:p>
        <w:p w14:paraId="5554477F" w14:textId="7CA1698F" w:rsidR="0057207B" w:rsidRPr="002815F4" w:rsidRDefault="0002611B" w:rsidP="009A34B5">
          <w:pPr>
            <w:pStyle w:val="TOC3"/>
            <w:tabs>
              <w:tab w:val="right" w:pos="9495"/>
            </w:tabs>
            <w:rPr>
              <w:rFonts w:ascii="Calibri" w:eastAsiaTheme="minorEastAsia" w:hAnsi="Calibri" w:cstheme="minorBidi"/>
              <w:i/>
              <w:iCs/>
              <w:noProof/>
            </w:rPr>
          </w:pPr>
          <w:hyperlink w:anchor="_Toc462149208" w:history="1">
            <w:r w:rsidR="0057207B" w:rsidRPr="002815F4">
              <w:rPr>
                <w:rStyle w:val="Hyperlink"/>
                <w:rFonts w:ascii="Calibri" w:hAnsi="Calibri"/>
                <w:noProof/>
              </w:rPr>
              <w:t>Public debate (#7.1)</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_Toc462149208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90</w:t>
            </w:r>
            <w:r w:rsidR="0057207B" w:rsidRPr="002815F4">
              <w:rPr>
                <w:rFonts w:ascii="Calibri" w:hAnsi="Calibri"/>
                <w:noProof/>
                <w:webHidden/>
              </w:rPr>
              <w:fldChar w:fldCharType="end"/>
            </w:r>
          </w:hyperlink>
        </w:p>
        <w:p w14:paraId="1D47B405" w14:textId="575B7E9F" w:rsidR="0057207B" w:rsidRPr="002815F4" w:rsidRDefault="0002611B" w:rsidP="009A34B5">
          <w:pPr>
            <w:pStyle w:val="TOC3"/>
            <w:tabs>
              <w:tab w:val="right" w:pos="9495"/>
            </w:tabs>
            <w:rPr>
              <w:rFonts w:ascii="Calibri" w:eastAsiaTheme="minorEastAsia" w:hAnsi="Calibri" w:cstheme="minorBidi"/>
              <w:i/>
              <w:iCs/>
              <w:noProof/>
            </w:rPr>
          </w:pPr>
          <w:hyperlink w:anchor="_Toc462149209" w:history="1">
            <w:r w:rsidR="0057207B" w:rsidRPr="002815F4">
              <w:rPr>
                <w:rStyle w:val="Hyperlink"/>
                <w:rFonts w:ascii="Calibri" w:hAnsi="Calibri"/>
                <w:noProof/>
              </w:rPr>
              <w:t>Data Accessibility (#7.2)</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_Toc462149209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95</w:t>
            </w:r>
            <w:r w:rsidR="0057207B" w:rsidRPr="002815F4">
              <w:rPr>
                <w:rFonts w:ascii="Calibri" w:hAnsi="Calibri"/>
                <w:noProof/>
                <w:webHidden/>
              </w:rPr>
              <w:fldChar w:fldCharType="end"/>
            </w:r>
          </w:hyperlink>
        </w:p>
        <w:p w14:paraId="62D1F855" w14:textId="6C157459" w:rsidR="0057207B" w:rsidRPr="002815F4" w:rsidRDefault="0002611B" w:rsidP="009A34B5">
          <w:pPr>
            <w:pStyle w:val="TOC3"/>
            <w:tabs>
              <w:tab w:val="right" w:pos="9495"/>
            </w:tabs>
            <w:rPr>
              <w:rFonts w:ascii="Calibri" w:eastAsiaTheme="minorEastAsia" w:hAnsi="Calibri" w:cstheme="minorBidi"/>
              <w:i/>
              <w:iCs/>
              <w:noProof/>
            </w:rPr>
          </w:pPr>
          <w:hyperlink w:anchor="_Toc462149210" w:history="1">
            <w:r w:rsidR="0057207B" w:rsidRPr="002815F4">
              <w:rPr>
                <w:rStyle w:val="Hyperlink"/>
                <w:rFonts w:ascii="Calibri" w:hAnsi="Calibri"/>
                <w:noProof/>
              </w:rPr>
              <w:t>Lessons Learned and follow-up on recommendations (#7.3)</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_Toc462149210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96</w:t>
            </w:r>
            <w:r w:rsidR="0057207B" w:rsidRPr="002815F4">
              <w:rPr>
                <w:rFonts w:ascii="Calibri" w:hAnsi="Calibri"/>
                <w:noProof/>
                <w:webHidden/>
              </w:rPr>
              <w:fldChar w:fldCharType="end"/>
            </w:r>
          </w:hyperlink>
        </w:p>
        <w:p w14:paraId="2C30D0E3" w14:textId="0E1D6B54" w:rsidR="0057207B" w:rsidRPr="002815F4" w:rsidRDefault="0002611B" w:rsidP="009A34B5">
          <w:pPr>
            <w:pStyle w:val="TOC3"/>
            <w:tabs>
              <w:tab w:val="right" w:pos="9495"/>
            </w:tabs>
            <w:rPr>
              <w:rFonts w:ascii="Calibri" w:eastAsiaTheme="minorEastAsia" w:hAnsi="Calibri" w:cstheme="minorBidi"/>
              <w:i/>
              <w:iCs/>
              <w:noProof/>
            </w:rPr>
          </w:pPr>
          <w:hyperlink w:anchor="_Toc462149211" w:history="1">
            <w:r w:rsidR="0057207B" w:rsidRPr="002815F4">
              <w:rPr>
                <w:rStyle w:val="Hyperlink"/>
                <w:rFonts w:ascii="Calibri" w:hAnsi="Calibri"/>
                <w:noProof/>
              </w:rPr>
              <w:t>Outcomes and impact of implementation (#7.4)</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_Toc462149211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99</w:t>
            </w:r>
            <w:r w:rsidR="0057207B" w:rsidRPr="002815F4">
              <w:rPr>
                <w:rFonts w:ascii="Calibri" w:hAnsi="Calibri"/>
                <w:noProof/>
                <w:webHidden/>
              </w:rPr>
              <w:fldChar w:fldCharType="end"/>
            </w:r>
          </w:hyperlink>
        </w:p>
        <w:p w14:paraId="67CA5F8A" w14:textId="19AB25B2" w:rsidR="0057207B" w:rsidRPr="002815F4" w:rsidRDefault="0002611B" w:rsidP="009A34B5">
          <w:pPr>
            <w:pStyle w:val="TOC2"/>
            <w:tabs>
              <w:tab w:val="left" w:pos="440"/>
              <w:tab w:val="right" w:pos="9495"/>
            </w:tabs>
            <w:rPr>
              <w:rFonts w:ascii="Calibri" w:eastAsiaTheme="minorEastAsia" w:hAnsi="Calibri" w:cstheme="minorBidi"/>
              <w:noProof/>
            </w:rPr>
          </w:pPr>
          <w:hyperlink w:anchor="_Toc462149212" w:history="1">
            <w:r w:rsidR="0057207B" w:rsidRPr="002815F4">
              <w:rPr>
                <w:rStyle w:val="Hyperlink"/>
                <w:rFonts w:ascii="Calibri" w:hAnsi="Calibri"/>
                <w:noProof/>
              </w:rPr>
              <w:t>8.</w:t>
            </w:r>
            <w:r w:rsidR="0057207B" w:rsidRPr="002815F4">
              <w:rPr>
                <w:rFonts w:ascii="Calibri" w:eastAsiaTheme="minorEastAsia" w:hAnsi="Calibri" w:cstheme="minorBidi"/>
                <w:noProof/>
              </w:rPr>
              <w:tab/>
            </w:r>
            <w:r w:rsidR="0057207B" w:rsidRPr="002815F4">
              <w:rPr>
                <w:rStyle w:val="Hyperlink"/>
                <w:rFonts w:ascii="Calibri" w:hAnsi="Calibri"/>
                <w:noProof/>
              </w:rPr>
              <w:t>Impact analysis (not to be considered in assessing compliance with the EITI provisions)</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_Toc462149212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104</w:t>
            </w:r>
            <w:r w:rsidR="0057207B" w:rsidRPr="002815F4">
              <w:rPr>
                <w:rFonts w:ascii="Calibri" w:hAnsi="Calibri"/>
                <w:noProof/>
                <w:webHidden/>
              </w:rPr>
              <w:fldChar w:fldCharType="end"/>
            </w:r>
          </w:hyperlink>
        </w:p>
        <w:p w14:paraId="59C0317C" w14:textId="55D1EFA2" w:rsidR="0057207B" w:rsidRPr="002815F4" w:rsidRDefault="0002611B" w:rsidP="00E02D8A">
          <w:pPr>
            <w:pStyle w:val="TOC1"/>
            <w:tabs>
              <w:tab w:val="right" w:pos="9495"/>
            </w:tabs>
            <w:rPr>
              <w:rFonts w:ascii="Calibri" w:eastAsiaTheme="minorEastAsia" w:hAnsi="Calibri" w:cstheme="minorBidi"/>
              <w:noProof/>
            </w:rPr>
          </w:pPr>
          <w:hyperlink w:anchor="_Toc462149213" w:history="1">
            <w:r w:rsidR="0057207B" w:rsidRPr="002815F4">
              <w:rPr>
                <w:rStyle w:val="Hyperlink"/>
                <w:rFonts w:ascii="Calibri" w:hAnsi="Calibri"/>
                <w:noProof/>
                <w:sz w:val="22"/>
                <w:szCs w:val="22"/>
              </w:rPr>
              <w:t>Annexes</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_Toc462149213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109</w:t>
            </w:r>
            <w:r w:rsidR="0057207B" w:rsidRPr="002815F4">
              <w:rPr>
                <w:rFonts w:ascii="Calibri" w:hAnsi="Calibri"/>
                <w:noProof/>
                <w:webHidden/>
              </w:rPr>
              <w:fldChar w:fldCharType="end"/>
            </w:r>
          </w:hyperlink>
        </w:p>
        <w:p w14:paraId="3D3741A8" w14:textId="71E30F1D" w:rsidR="0057207B" w:rsidRPr="002815F4" w:rsidRDefault="0002611B" w:rsidP="009A34B5">
          <w:pPr>
            <w:pStyle w:val="TOC2"/>
            <w:tabs>
              <w:tab w:val="right" w:pos="9495"/>
            </w:tabs>
            <w:rPr>
              <w:rFonts w:ascii="Calibri" w:eastAsiaTheme="minorEastAsia" w:hAnsi="Calibri" w:cstheme="minorBidi"/>
              <w:noProof/>
            </w:rPr>
          </w:pPr>
          <w:hyperlink w:anchor="_Toc462149214" w:history="1">
            <w:r w:rsidR="0057207B" w:rsidRPr="002815F4">
              <w:rPr>
                <w:rStyle w:val="Hyperlink"/>
                <w:rFonts w:ascii="Calibri" w:hAnsi="Calibri"/>
                <w:noProof/>
              </w:rPr>
              <w:t>Annex A - List of MSG members and contact details</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_Toc462149214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109</w:t>
            </w:r>
            <w:r w:rsidR="0057207B" w:rsidRPr="002815F4">
              <w:rPr>
                <w:rFonts w:ascii="Calibri" w:hAnsi="Calibri"/>
                <w:noProof/>
                <w:webHidden/>
              </w:rPr>
              <w:fldChar w:fldCharType="end"/>
            </w:r>
          </w:hyperlink>
        </w:p>
        <w:p w14:paraId="0BDE9B2F" w14:textId="2EC7AFA4" w:rsidR="0057207B" w:rsidRPr="002815F4" w:rsidRDefault="0002611B" w:rsidP="009A34B5">
          <w:pPr>
            <w:pStyle w:val="TOC2"/>
            <w:tabs>
              <w:tab w:val="right" w:pos="9495"/>
            </w:tabs>
            <w:rPr>
              <w:rFonts w:ascii="Calibri" w:eastAsiaTheme="minorEastAsia" w:hAnsi="Calibri" w:cstheme="minorBidi"/>
              <w:noProof/>
            </w:rPr>
          </w:pPr>
          <w:hyperlink w:anchor="_Toc462149215" w:history="1">
            <w:r w:rsidR="0057207B" w:rsidRPr="002815F4">
              <w:rPr>
                <w:rStyle w:val="Hyperlink"/>
                <w:rFonts w:ascii="Calibri" w:hAnsi="Calibri"/>
                <w:noProof/>
              </w:rPr>
              <w:t>Annex B – MSG meeting attendance</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_Toc462149215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110</w:t>
            </w:r>
            <w:r w:rsidR="0057207B" w:rsidRPr="002815F4">
              <w:rPr>
                <w:rFonts w:ascii="Calibri" w:hAnsi="Calibri"/>
                <w:noProof/>
                <w:webHidden/>
              </w:rPr>
              <w:fldChar w:fldCharType="end"/>
            </w:r>
          </w:hyperlink>
        </w:p>
        <w:p w14:paraId="75F402AF" w14:textId="3DA9F3D4" w:rsidR="0057207B" w:rsidRPr="002815F4" w:rsidRDefault="0002611B" w:rsidP="009A34B5">
          <w:pPr>
            <w:pStyle w:val="TOC2"/>
            <w:tabs>
              <w:tab w:val="right" w:pos="9495"/>
            </w:tabs>
            <w:rPr>
              <w:rFonts w:ascii="Calibri" w:eastAsiaTheme="minorEastAsia" w:hAnsi="Calibri" w:cstheme="minorBidi"/>
              <w:noProof/>
            </w:rPr>
          </w:pPr>
          <w:hyperlink w:anchor="_Toc462149216" w:history="1">
            <w:r w:rsidR="0057207B" w:rsidRPr="002815F4">
              <w:rPr>
                <w:rStyle w:val="Hyperlink"/>
                <w:rFonts w:ascii="Calibri" w:hAnsi="Calibri"/>
                <w:noProof/>
              </w:rPr>
              <w:t>Annex C – Cost of EITI Reports</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_Toc462149216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111</w:t>
            </w:r>
            <w:r w:rsidR="0057207B" w:rsidRPr="002815F4">
              <w:rPr>
                <w:rFonts w:ascii="Calibri" w:hAnsi="Calibri"/>
                <w:noProof/>
                <w:webHidden/>
              </w:rPr>
              <w:fldChar w:fldCharType="end"/>
            </w:r>
          </w:hyperlink>
        </w:p>
        <w:p w14:paraId="2D17DEA6" w14:textId="3BFBF045" w:rsidR="0057207B" w:rsidRPr="002815F4" w:rsidRDefault="0002611B" w:rsidP="009A34B5">
          <w:pPr>
            <w:pStyle w:val="TOC2"/>
            <w:tabs>
              <w:tab w:val="right" w:pos="9495"/>
            </w:tabs>
            <w:rPr>
              <w:rFonts w:ascii="Calibri" w:eastAsiaTheme="minorEastAsia" w:hAnsi="Calibri" w:cstheme="minorBidi"/>
              <w:noProof/>
            </w:rPr>
          </w:pPr>
          <w:hyperlink w:anchor="_Toc462149217" w:history="1">
            <w:r w:rsidR="0057207B" w:rsidRPr="002815F4">
              <w:rPr>
                <w:rStyle w:val="Hyperlink"/>
                <w:rFonts w:ascii="Calibri" w:hAnsi="Calibri"/>
                <w:noProof/>
              </w:rPr>
              <w:t>Annex D - List of stakeholders consulted</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_Toc462149217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112</w:t>
            </w:r>
            <w:r w:rsidR="0057207B" w:rsidRPr="002815F4">
              <w:rPr>
                <w:rFonts w:ascii="Calibri" w:hAnsi="Calibri"/>
                <w:noProof/>
                <w:webHidden/>
              </w:rPr>
              <w:fldChar w:fldCharType="end"/>
            </w:r>
          </w:hyperlink>
        </w:p>
        <w:p w14:paraId="07C54F83" w14:textId="4B3D6241" w:rsidR="0057207B" w:rsidRPr="002815F4" w:rsidRDefault="0002611B" w:rsidP="009A34B5">
          <w:pPr>
            <w:pStyle w:val="TOC2"/>
            <w:tabs>
              <w:tab w:val="right" w:pos="9495"/>
            </w:tabs>
            <w:rPr>
              <w:rFonts w:ascii="Calibri" w:eastAsiaTheme="minorEastAsia" w:hAnsi="Calibri" w:cstheme="minorBidi"/>
              <w:noProof/>
            </w:rPr>
          </w:pPr>
          <w:hyperlink w:anchor="_Toc462149218" w:history="1">
            <w:r w:rsidR="0057207B" w:rsidRPr="002815F4">
              <w:rPr>
                <w:rStyle w:val="Hyperlink"/>
                <w:rFonts w:ascii="Calibri" w:hAnsi="Calibri"/>
                <w:noProof/>
              </w:rPr>
              <w:t>Annex E - List of reference documents</w:t>
            </w:r>
            <w:r w:rsidR="0057207B" w:rsidRPr="002815F4">
              <w:rPr>
                <w:rFonts w:ascii="Calibri" w:hAnsi="Calibri"/>
                <w:noProof/>
                <w:webHidden/>
              </w:rPr>
              <w:tab/>
            </w:r>
            <w:r w:rsidR="0057207B" w:rsidRPr="002815F4">
              <w:rPr>
                <w:rFonts w:ascii="Calibri" w:hAnsi="Calibri"/>
                <w:noProof/>
                <w:webHidden/>
              </w:rPr>
              <w:fldChar w:fldCharType="begin"/>
            </w:r>
            <w:r w:rsidR="0057207B" w:rsidRPr="002815F4">
              <w:rPr>
                <w:rFonts w:ascii="Calibri" w:hAnsi="Calibri"/>
                <w:noProof/>
                <w:webHidden/>
              </w:rPr>
              <w:instrText xml:space="preserve"> PAGEREF _Toc462149218 \h </w:instrText>
            </w:r>
            <w:r w:rsidR="0057207B" w:rsidRPr="002815F4">
              <w:rPr>
                <w:rFonts w:ascii="Calibri" w:hAnsi="Calibri"/>
                <w:noProof/>
                <w:webHidden/>
              </w:rPr>
            </w:r>
            <w:r w:rsidR="0057207B" w:rsidRPr="002815F4">
              <w:rPr>
                <w:rFonts w:ascii="Calibri" w:hAnsi="Calibri"/>
                <w:noProof/>
                <w:webHidden/>
              </w:rPr>
              <w:fldChar w:fldCharType="separate"/>
            </w:r>
            <w:r w:rsidR="00EB7029">
              <w:rPr>
                <w:rFonts w:ascii="Calibri" w:hAnsi="Calibri"/>
                <w:noProof/>
                <w:webHidden/>
              </w:rPr>
              <w:t>115</w:t>
            </w:r>
            <w:r w:rsidR="0057207B" w:rsidRPr="002815F4">
              <w:rPr>
                <w:rFonts w:ascii="Calibri" w:hAnsi="Calibri"/>
                <w:noProof/>
                <w:webHidden/>
              </w:rPr>
              <w:fldChar w:fldCharType="end"/>
            </w:r>
          </w:hyperlink>
        </w:p>
        <w:p w14:paraId="29B94833" w14:textId="248CC9CE" w:rsidR="009A34B5" w:rsidRPr="002815F4" w:rsidRDefault="007B124A" w:rsidP="00E02D8A">
          <w:pPr>
            <w:tabs>
              <w:tab w:val="right" w:pos="9495"/>
            </w:tabs>
          </w:pPr>
          <w:r w:rsidRPr="002815F4">
            <w:rPr>
              <w:rFonts w:ascii="Calibri" w:hAnsi="Calibri"/>
              <w:b/>
              <w:color w:val="548DD4"/>
            </w:rPr>
            <w:fldChar w:fldCharType="end"/>
          </w:r>
        </w:p>
      </w:sdtContent>
    </w:sdt>
    <w:p w14:paraId="67438DEF" w14:textId="678FB699" w:rsidR="00B33EAB" w:rsidRPr="002815F4" w:rsidRDefault="000E06FA" w:rsidP="003D1975">
      <w:pPr>
        <w:pStyle w:val="TOCHeading"/>
      </w:pPr>
      <w:r w:rsidRPr="002815F4">
        <w:t>Index of f</w:t>
      </w:r>
      <w:r w:rsidR="00B33EAB" w:rsidRPr="002815F4">
        <w:t>igures and tables</w:t>
      </w:r>
    </w:p>
    <w:p w14:paraId="5C8E92C8" w14:textId="1DD3FA18" w:rsidR="00B33EAB" w:rsidRPr="002815F4" w:rsidRDefault="0002611B" w:rsidP="0083320D">
      <w:pPr>
        <w:pStyle w:val="TableofFigures"/>
        <w:tabs>
          <w:tab w:val="right" w:leader="dot" w:pos="9485"/>
        </w:tabs>
        <w:spacing w:after="0"/>
        <w:ind w:left="442" w:hanging="442"/>
      </w:pPr>
      <w:r>
        <w:fldChar w:fldCharType="begin"/>
      </w:r>
      <w:r>
        <w:instrText xml:space="preserve"> TOC \c "Figure" </w:instrText>
      </w:r>
      <w:r>
        <w:fldChar w:fldCharType="separate"/>
      </w:r>
      <w:r w:rsidR="00B33EAB" w:rsidRPr="002815F4">
        <w:rPr>
          <w:noProof/>
          <w:lang w:bidi="en-US"/>
        </w:rPr>
        <w:t>Figure 1</w:t>
      </w:r>
      <w:r w:rsidR="00B33EAB" w:rsidRPr="002815F4">
        <w:rPr>
          <w:rFonts w:eastAsia="Calibri"/>
          <w:noProof/>
          <w:lang w:bidi="en-US"/>
        </w:rPr>
        <w:t>– initial assessment card</w:t>
      </w:r>
      <w:r w:rsidR="00B33EAB" w:rsidRPr="002815F4">
        <w:rPr>
          <w:noProof/>
        </w:rPr>
        <w:tab/>
      </w:r>
      <w:r w:rsidR="00B33EAB" w:rsidRPr="002815F4">
        <w:rPr>
          <w:noProof/>
        </w:rPr>
        <w:fldChar w:fldCharType="begin"/>
      </w:r>
      <w:r w:rsidR="00B33EAB" w:rsidRPr="002815F4">
        <w:rPr>
          <w:noProof/>
        </w:rPr>
        <w:instrText xml:space="preserve"> PAGEREF _Toc463528548 \h </w:instrText>
      </w:r>
      <w:r w:rsidR="00B33EAB" w:rsidRPr="002815F4">
        <w:rPr>
          <w:noProof/>
        </w:rPr>
      </w:r>
      <w:r w:rsidR="00B33EAB" w:rsidRPr="002815F4">
        <w:rPr>
          <w:noProof/>
        </w:rPr>
        <w:fldChar w:fldCharType="separate"/>
      </w:r>
      <w:r w:rsidR="00E72A69">
        <w:rPr>
          <w:noProof/>
        </w:rPr>
        <w:t>9</w:t>
      </w:r>
      <w:r w:rsidR="00B33EAB" w:rsidRPr="002815F4">
        <w:rPr>
          <w:noProof/>
        </w:rPr>
        <w:fldChar w:fldCharType="end"/>
      </w:r>
      <w:r>
        <w:rPr>
          <w:noProof/>
        </w:rPr>
        <w:fldChar w:fldCharType="end"/>
      </w:r>
    </w:p>
    <w:p w14:paraId="06E9AECD" w14:textId="438B81AF" w:rsidR="00764C60" w:rsidRPr="002815F4" w:rsidRDefault="000E06FA" w:rsidP="00E02D8A">
      <w:pPr>
        <w:pStyle w:val="TableofFigures"/>
        <w:tabs>
          <w:tab w:val="right" w:leader="dot" w:pos="9485"/>
        </w:tabs>
        <w:spacing w:after="0"/>
        <w:rPr>
          <w:rFonts w:asciiTheme="minorHAnsi" w:eastAsiaTheme="minorEastAsia" w:hAnsiTheme="minorHAnsi" w:cstheme="minorBidi"/>
          <w:noProof/>
          <w:lang w:eastAsia="nb-NO"/>
        </w:rPr>
      </w:pPr>
      <w:r w:rsidRPr="002815F4">
        <w:fldChar w:fldCharType="begin"/>
      </w:r>
      <w:r w:rsidRPr="002815F4">
        <w:instrText xml:space="preserve"> TOC \f t \t "Abbreviations;1" \c "Table" </w:instrText>
      </w:r>
      <w:r w:rsidRPr="002815F4">
        <w:fldChar w:fldCharType="separate"/>
      </w:r>
      <w:r w:rsidR="00764C60" w:rsidRPr="002815F4">
        <w:rPr>
          <w:noProof/>
          <w:lang w:bidi="en-US"/>
        </w:rPr>
        <w:t>Table 1</w:t>
      </w:r>
      <w:r w:rsidR="00764C60" w:rsidRPr="002815F4">
        <w:rPr>
          <w:noProof/>
          <w:color w:val="000000"/>
          <w:lang w:bidi="en-US"/>
        </w:rPr>
        <w:t xml:space="preserve"> – </w:t>
      </w:r>
      <w:r w:rsidR="00764C60" w:rsidRPr="002815F4">
        <w:rPr>
          <w:rFonts w:eastAsia="Calibri"/>
          <w:noProof/>
          <w:lang w:bidi="en-US"/>
        </w:rPr>
        <w:t>Summary initial assessment table: MSG oversight</w:t>
      </w:r>
      <w:r w:rsidR="00764C60" w:rsidRPr="002815F4">
        <w:rPr>
          <w:noProof/>
        </w:rPr>
        <w:tab/>
      </w:r>
      <w:r w:rsidR="00764C60" w:rsidRPr="002815F4">
        <w:rPr>
          <w:noProof/>
        </w:rPr>
        <w:fldChar w:fldCharType="begin"/>
      </w:r>
      <w:r w:rsidR="00764C60" w:rsidRPr="002815F4">
        <w:rPr>
          <w:noProof/>
        </w:rPr>
        <w:instrText xml:space="preserve"> PAGEREF _Toc485385502 \h </w:instrText>
      </w:r>
      <w:r w:rsidR="00764C60" w:rsidRPr="002815F4">
        <w:rPr>
          <w:noProof/>
        </w:rPr>
      </w:r>
      <w:r w:rsidR="00764C60" w:rsidRPr="002815F4">
        <w:rPr>
          <w:noProof/>
        </w:rPr>
        <w:fldChar w:fldCharType="separate"/>
      </w:r>
      <w:r w:rsidR="00E72A69">
        <w:rPr>
          <w:noProof/>
        </w:rPr>
        <w:t>33</w:t>
      </w:r>
      <w:r w:rsidR="00764C60" w:rsidRPr="002815F4">
        <w:rPr>
          <w:noProof/>
        </w:rPr>
        <w:fldChar w:fldCharType="end"/>
      </w:r>
    </w:p>
    <w:p w14:paraId="4DE3A0B6" w14:textId="59FAE120" w:rsidR="00764C60" w:rsidRPr="002815F4" w:rsidRDefault="00764C60" w:rsidP="00E02D8A">
      <w:pPr>
        <w:pStyle w:val="TableofFigures"/>
        <w:tabs>
          <w:tab w:val="right" w:leader="dot" w:pos="9485"/>
        </w:tabs>
        <w:spacing w:after="0"/>
        <w:rPr>
          <w:rFonts w:asciiTheme="minorHAnsi" w:eastAsiaTheme="minorEastAsia" w:hAnsiTheme="minorHAnsi" w:cstheme="minorBidi"/>
          <w:noProof/>
          <w:lang w:eastAsia="nb-NO"/>
        </w:rPr>
      </w:pPr>
      <w:r w:rsidRPr="002815F4">
        <w:rPr>
          <w:noProof/>
          <w:lang w:bidi="en-US"/>
        </w:rPr>
        <w:t>Table 2</w:t>
      </w:r>
      <w:r w:rsidRPr="002815F4">
        <w:rPr>
          <w:noProof/>
          <w:color w:val="000000"/>
          <w:lang w:bidi="en-US"/>
        </w:rPr>
        <w:t xml:space="preserve">- </w:t>
      </w:r>
      <w:r w:rsidRPr="002815F4">
        <w:rPr>
          <w:rFonts w:eastAsia="Calibri"/>
          <w:noProof/>
          <w:lang w:bidi="en-US"/>
        </w:rPr>
        <w:t>Summary initial assessment table: Award of contracts and licenses</w:t>
      </w:r>
      <w:r w:rsidRPr="002815F4">
        <w:rPr>
          <w:noProof/>
        </w:rPr>
        <w:tab/>
      </w:r>
      <w:r w:rsidRPr="002815F4">
        <w:rPr>
          <w:noProof/>
        </w:rPr>
        <w:fldChar w:fldCharType="begin"/>
      </w:r>
      <w:r w:rsidRPr="002815F4">
        <w:rPr>
          <w:noProof/>
        </w:rPr>
        <w:instrText xml:space="preserve"> PAGEREF _Toc485385503 \h </w:instrText>
      </w:r>
      <w:r w:rsidRPr="002815F4">
        <w:rPr>
          <w:noProof/>
        </w:rPr>
      </w:r>
      <w:r w:rsidRPr="002815F4">
        <w:rPr>
          <w:noProof/>
        </w:rPr>
        <w:fldChar w:fldCharType="separate"/>
      </w:r>
      <w:r w:rsidR="00E72A69">
        <w:rPr>
          <w:noProof/>
        </w:rPr>
        <w:t>51</w:t>
      </w:r>
      <w:r w:rsidRPr="002815F4">
        <w:rPr>
          <w:noProof/>
        </w:rPr>
        <w:fldChar w:fldCharType="end"/>
      </w:r>
    </w:p>
    <w:p w14:paraId="30994B16" w14:textId="089B7E91" w:rsidR="00764C60" w:rsidRPr="002815F4" w:rsidRDefault="00764C60" w:rsidP="00E02D8A">
      <w:pPr>
        <w:pStyle w:val="TableofFigures"/>
        <w:tabs>
          <w:tab w:val="right" w:leader="dot" w:pos="9485"/>
        </w:tabs>
        <w:spacing w:after="0"/>
        <w:rPr>
          <w:rFonts w:asciiTheme="minorHAnsi" w:eastAsiaTheme="minorEastAsia" w:hAnsiTheme="minorHAnsi" w:cstheme="minorBidi"/>
          <w:noProof/>
          <w:lang w:eastAsia="nb-NO"/>
        </w:rPr>
      </w:pPr>
      <w:r w:rsidRPr="002815F4">
        <w:rPr>
          <w:noProof/>
          <w:lang w:bidi="en-US"/>
        </w:rPr>
        <w:t xml:space="preserve">Table 3- </w:t>
      </w:r>
      <w:r w:rsidRPr="002815F4">
        <w:rPr>
          <w:noProof/>
          <w:color w:val="000000"/>
          <w:lang w:bidi="en-US"/>
        </w:rPr>
        <w:t xml:space="preserve"> </w:t>
      </w:r>
      <w:r w:rsidRPr="002815F4">
        <w:rPr>
          <w:rFonts w:eastAsia="Calibri"/>
          <w:noProof/>
          <w:lang w:bidi="en-US"/>
        </w:rPr>
        <w:t>Summary initial assessment table: Monitoring and production</w:t>
      </w:r>
      <w:r w:rsidRPr="002815F4">
        <w:rPr>
          <w:noProof/>
        </w:rPr>
        <w:tab/>
      </w:r>
      <w:r w:rsidRPr="002815F4">
        <w:rPr>
          <w:noProof/>
        </w:rPr>
        <w:fldChar w:fldCharType="begin"/>
      </w:r>
      <w:r w:rsidRPr="002815F4">
        <w:rPr>
          <w:noProof/>
        </w:rPr>
        <w:instrText xml:space="preserve"> PAGEREF _Toc485385504 \h </w:instrText>
      </w:r>
      <w:r w:rsidRPr="002815F4">
        <w:rPr>
          <w:noProof/>
        </w:rPr>
      </w:r>
      <w:r w:rsidRPr="002815F4">
        <w:rPr>
          <w:noProof/>
        </w:rPr>
        <w:fldChar w:fldCharType="separate"/>
      </w:r>
      <w:r w:rsidR="00E72A69">
        <w:rPr>
          <w:noProof/>
        </w:rPr>
        <w:t>57</w:t>
      </w:r>
      <w:r w:rsidRPr="002815F4">
        <w:rPr>
          <w:noProof/>
        </w:rPr>
        <w:fldChar w:fldCharType="end"/>
      </w:r>
    </w:p>
    <w:p w14:paraId="03E24870" w14:textId="50533068" w:rsidR="00764C60" w:rsidRPr="002815F4" w:rsidRDefault="00764C60" w:rsidP="00E02D8A">
      <w:pPr>
        <w:pStyle w:val="TableofFigures"/>
        <w:tabs>
          <w:tab w:val="right" w:leader="dot" w:pos="9485"/>
        </w:tabs>
        <w:spacing w:after="0"/>
        <w:rPr>
          <w:rFonts w:asciiTheme="minorHAnsi" w:eastAsiaTheme="minorEastAsia" w:hAnsiTheme="minorHAnsi" w:cstheme="minorBidi"/>
          <w:noProof/>
          <w:lang w:eastAsia="nb-NO"/>
        </w:rPr>
      </w:pPr>
      <w:r w:rsidRPr="002815F4">
        <w:rPr>
          <w:noProof/>
          <w:lang w:bidi="en-US"/>
        </w:rPr>
        <w:t>Table 4</w:t>
      </w:r>
      <w:r w:rsidRPr="002815F4">
        <w:rPr>
          <w:noProof/>
          <w:color w:val="000000"/>
          <w:lang w:bidi="en-US"/>
        </w:rPr>
        <w:t xml:space="preserve">- </w:t>
      </w:r>
      <w:r w:rsidRPr="002815F4">
        <w:rPr>
          <w:rFonts w:eastAsia="Calibri"/>
          <w:noProof/>
          <w:lang w:bidi="en-US"/>
        </w:rPr>
        <w:t>Summary initial assessment table: Revenue collection</w:t>
      </w:r>
      <w:r w:rsidRPr="002815F4">
        <w:rPr>
          <w:noProof/>
        </w:rPr>
        <w:tab/>
      </w:r>
      <w:r w:rsidRPr="002815F4">
        <w:rPr>
          <w:noProof/>
        </w:rPr>
        <w:fldChar w:fldCharType="begin"/>
      </w:r>
      <w:r w:rsidRPr="002815F4">
        <w:rPr>
          <w:noProof/>
        </w:rPr>
        <w:instrText xml:space="preserve"> PAGEREF _Toc485385505 \h </w:instrText>
      </w:r>
      <w:r w:rsidRPr="002815F4">
        <w:rPr>
          <w:noProof/>
        </w:rPr>
      </w:r>
      <w:r w:rsidRPr="002815F4">
        <w:rPr>
          <w:noProof/>
        </w:rPr>
        <w:fldChar w:fldCharType="separate"/>
      </w:r>
      <w:r w:rsidR="00E72A69">
        <w:rPr>
          <w:noProof/>
        </w:rPr>
        <w:t>76</w:t>
      </w:r>
      <w:r w:rsidRPr="002815F4">
        <w:rPr>
          <w:noProof/>
        </w:rPr>
        <w:fldChar w:fldCharType="end"/>
      </w:r>
    </w:p>
    <w:p w14:paraId="1B01A211" w14:textId="2274D44F" w:rsidR="00764C60" w:rsidRPr="002815F4" w:rsidRDefault="00764C60" w:rsidP="00E02D8A">
      <w:pPr>
        <w:pStyle w:val="TableofFigures"/>
        <w:tabs>
          <w:tab w:val="right" w:leader="dot" w:pos="9485"/>
        </w:tabs>
        <w:spacing w:after="0"/>
        <w:rPr>
          <w:rFonts w:asciiTheme="minorHAnsi" w:eastAsiaTheme="minorEastAsia" w:hAnsiTheme="minorHAnsi" w:cstheme="minorBidi"/>
          <w:noProof/>
          <w:lang w:eastAsia="nb-NO"/>
        </w:rPr>
      </w:pPr>
      <w:r w:rsidRPr="002815F4">
        <w:rPr>
          <w:noProof/>
          <w:lang w:bidi="en-US"/>
        </w:rPr>
        <w:t xml:space="preserve">Table 5 </w:t>
      </w:r>
      <w:r w:rsidRPr="002815F4">
        <w:rPr>
          <w:noProof/>
          <w:color w:val="000000"/>
          <w:lang w:bidi="en-US"/>
        </w:rPr>
        <w:t xml:space="preserve"> - </w:t>
      </w:r>
      <w:r w:rsidRPr="002815F4">
        <w:rPr>
          <w:rFonts w:eastAsia="Calibri"/>
          <w:noProof/>
          <w:lang w:bidi="en-US"/>
        </w:rPr>
        <w:t>Summary initial assessment table: Revenue management and distribution</w:t>
      </w:r>
      <w:r w:rsidRPr="002815F4">
        <w:rPr>
          <w:noProof/>
        </w:rPr>
        <w:tab/>
      </w:r>
      <w:r w:rsidRPr="002815F4">
        <w:rPr>
          <w:noProof/>
        </w:rPr>
        <w:fldChar w:fldCharType="begin"/>
      </w:r>
      <w:r w:rsidRPr="002815F4">
        <w:rPr>
          <w:noProof/>
        </w:rPr>
        <w:instrText xml:space="preserve"> PAGEREF _Toc485385506 \h </w:instrText>
      </w:r>
      <w:r w:rsidRPr="002815F4">
        <w:rPr>
          <w:noProof/>
        </w:rPr>
      </w:r>
      <w:r w:rsidRPr="002815F4">
        <w:rPr>
          <w:noProof/>
        </w:rPr>
        <w:fldChar w:fldCharType="separate"/>
      </w:r>
      <w:r w:rsidR="00E72A69">
        <w:rPr>
          <w:noProof/>
        </w:rPr>
        <w:t>84</w:t>
      </w:r>
      <w:r w:rsidRPr="002815F4">
        <w:rPr>
          <w:noProof/>
        </w:rPr>
        <w:fldChar w:fldCharType="end"/>
      </w:r>
    </w:p>
    <w:p w14:paraId="28B3348D" w14:textId="77019BF5" w:rsidR="00764C60" w:rsidRPr="002815F4" w:rsidRDefault="00764C60" w:rsidP="00E02D8A">
      <w:pPr>
        <w:pStyle w:val="TableofFigures"/>
        <w:tabs>
          <w:tab w:val="right" w:leader="dot" w:pos="9485"/>
        </w:tabs>
        <w:spacing w:after="0"/>
        <w:rPr>
          <w:rFonts w:asciiTheme="minorHAnsi" w:eastAsiaTheme="minorEastAsia" w:hAnsiTheme="minorHAnsi" w:cstheme="minorBidi"/>
          <w:noProof/>
          <w:lang w:eastAsia="nb-NO"/>
        </w:rPr>
      </w:pPr>
      <w:r w:rsidRPr="002815F4">
        <w:rPr>
          <w:noProof/>
          <w:lang w:bidi="en-US"/>
        </w:rPr>
        <w:t>Table 6</w:t>
      </w:r>
      <w:r w:rsidRPr="002815F4">
        <w:rPr>
          <w:noProof/>
          <w:color w:val="000000"/>
          <w:lang w:bidi="en-US"/>
        </w:rPr>
        <w:t xml:space="preserve">- </w:t>
      </w:r>
      <w:r w:rsidRPr="002815F4">
        <w:rPr>
          <w:rFonts w:eastAsia="Calibri"/>
          <w:noProof/>
          <w:lang w:bidi="en-US"/>
        </w:rPr>
        <w:t>Summary initial assessment table: Social and economic spending</w:t>
      </w:r>
      <w:r w:rsidRPr="002815F4">
        <w:rPr>
          <w:noProof/>
        </w:rPr>
        <w:tab/>
      </w:r>
      <w:r w:rsidRPr="002815F4">
        <w:rPr>
          <w:noProof/>
        </w:rPr>
        <w:fldChar w:fldCharType="begin"/>
      </w:r>
      <w:r w:rsidRPr="002815F4">
        <w:rPr>
          <w:noProof/>
        </w:rPr>
        <w:instrText xml:space="preserve"> PAGEREF _Toc485385507 \h </w:instrText>
      </w:r>
      <w:r w:rsidRPr="002815F4">
        <w:rPr>
          <w:noProof/>
        </w:rPr>
      </w:r>
      <w:r w:rsidRPr="002815F4">
        <w:rPr>
          <w:noProof/>
        </w:rPr>
        <w:fldChar w:fldCharType="separate"/>
      </w:r>
      <w:r w:rsidR="00E72A69">
        <w:rPr>
          <w:noProof/>
        </w:rPr>
        <w:t>88</w:t>
      </w:r>
      <w:r w:rsidRPr="002815F4">
        <w:rPr>
          <w:noProof/>
        </w:rPr>
        <w:fldChar w:fldCharType="end"/>
      </w:r>
    </w:p>
    <w:p w14:paraId="7DF3DEE9" w14:textId="13C90E3A" w:rsidR="00764C60" w:rsidRPr="002815F4" w:rsidRDefault="00764C60" w:rsidP="00E02D8A">
      <w:pPr>
        <w:pStyle w:val="TableofFigures"/>
        <w:tabs>
          <w:tab w:val="right" w:leader="dot" w:pos="9485"/>
        </w:tabs>
        <w:spacing w:after="0"/>
        <w:rPr>
          <w:rFonts w:asciiTheme="minorHAnsi" w:eastAsiaTheme="minorEastAsia" w:hAnsiTheme="minorHAnsi" w:cstheme="minorBidi"/>
          <w:noProof/>
          <w:lang w:eastAsia="nb-NO"/>
        </w:rPr>
      </w:pPr>
      <w:r w:rsidRPr="002815F4">
        <w:rPr>
          <w:noProof/>
          <w:lang w:bidi="en-US"/>
        </w:rPr>
        <w:t>Table 7</w:t>
      </w:r>
      <w:r w:rsidRPr="002815F4">
        <w:rPr>
          <w:noProof/>
          <w:color w:val="000000"/>
          <w:lang w:bidi="en-US"/>
        </w:rPr>
        <w:t xml:space="preserve"> - </w:t>
      </w:r>
      <w:r w:rsidRPr="002815F4">
        <w:rPr>
          <w:rFonts w:eastAsia="Calibri"/>
          <w:noProof/>
          <w:lang w:bidi="en-US"/>
        </w:rPr>
        <w:t>Summary initial assessment table: Outcomes and impact</w:t>
      </w:r>
      <w:r w:rsidRPr="002815F4">
        <w:rPr>
          <w:noProof/>
        </w:rPr>
        <w:tab/>
      </w:r>
      <w:r w:rsidRPr="002815F4">
        <w:rPr>
          <w:noProof/>
        </w:rPr>
        <w:fldChar w:fldCharType="begin"/>
      </w:r>
      <w:r w:rsidRPr="002815F4">
        <w:rPr>
          <w:noProof/>
        </w:rPr>
        <w:instrText xml:space="preserve"> PAGEREF _Toc485385508 \h </w:instrText>
      </w:r>
      <w:r w:rsidRPr="002815F4">
        <w:rPr>
          <w:noProof/>
        </w:rPr>
      </w:r>
      <w:r w:rsidRPr="002815F4">
        <w:rPr>
          <w:noProof/>
        </w:rPr>
        <w:fldChar w:fldCharType="separate"/>
      </w:r>
      <w:r w:rsidR="00E72A69">
        <w:rPr>
          <w:noProof/>
        </w:rPr>
        <w:t>102</w:t>
      </w:r>
      <w:r w:rsidRPr="002815F4">
        <w:rPr>
          <w:noProof/>
        </w:rPr>
        <w:fldChar w:fldCharType="end"/>
      </w:r>
    </w:p>
    <w:p w14:paraId="79DA3E5A" w14:textId="6A2EF743" w:rsidR="000E06FA" w:rsidRPr="002815F4" w:rsidRDefault="000E06FA" w:rsidP="00E02D8A">
      <w:pPr>
        <w:pStyle w:val="TableofFigures"/>
        <w:spacing w:after="0"/>
        <w:ind w:left="442" w:hanging="442"/>
      </w:pPr>
      <w:r w:rsidRPr="002815F4">
        <w:fldChar w:fldCharType="end"/>
      </w:r>
    </w:p>
    <w:p w14:paraId="529989AD" w14:textId="4496FDF4" w:rsidR="00B33EAB" w:rsidRPr="002815F4" w:rsidRDefault="00B33EAB" w:rsidP="00B33EAB">
      <w:pPr>
        <w:widowControl/>
        <w:suppressAutoHyphens w:val="0"/>
        <w:spacing w:after="0" w:line="240" w:lineRule="auto"/>
        <w:rPr>
          <w:rFonts w:ascii="Calibri" w:hAnsi="Calibri"/>
          <w:b/>
          <w:bCs/>
          <w:color w:val="365F91"/>
        </w:rPr>
      </w:pPr>
    </w:p>
    <w:p w14:paraId="6875BDD4" w14:textId="77777777" w:rsidR="00AD33A3" w:rsidRPr="002815F4" w:rsidRDefault="00AD33A3" w:rsidP="00764C60">
      <w:pPr>
        <w:pStyle w:val="Heading1"/>
        <w:sectPr w:rsidR="00AD33A3" w:rsidRPr="002815F4" w:rsidSect="00505DFB">
          <w:headerReference w:type="default" r:id="rId17"/>
          <w:headerReference w:type="first" r:id="rId18"/>
          <w:pgSz w:w="11905" w:h="16837"/>
          <w:pgMar w:top="1175" w:right="1276" w:bottom="1418" w:left="1134" w:header="567" w:footer="364" w:gutter="0"/>
          <w:cols w:space="708"/>
          <w:titlePg/>
          <w:docGrid w:linePitch="326"/>
        </w:sectPr>
      </w:pPr>
      <w:bookmarkStart w:id="22" w:name="_Toc461803022"/>
      <w:bookmarkStart w:id="23" w:name="_Toc461787303"/>
      <w:bookmarkStart w:id="24" w:name="_Toc461795824"/>
      <w:bookmarkStart w:id="25" w:name="_Toc462149171"/>
    </w:p>
    <w:p w14:paraId="548FC528" w14:textId="48D73DB6" w:rsidR="00A9042C" w:rsidRPr="002815F4" w:rsidRDefault="00B517AB" w:rsidP="00764C60">
      <w:pPr>
        <w:pStyle w:val="Heading1"/>
      </w:pPr>
      <w:r w:rsidRPr="002815F4">
        <w:lastRenderedPageBreak/>
        <w:t>Executive Summary</w:t>
      </w:r>
      <w:bookmarkEnd w:id="22"/>
      <w:bookmarkEnd w:id="23"/>
      <w:bookmarkEnd w:id="24"/>
      <w:bookmarkEnd w:id="25"/>
    </w:p>
    <w:p w14:paraId="44431662" w14:textId="563C4AF8" w:rsidR="00692A05" w:rsidRPr="002815F4" w:rsidRDefault="00692A05" w:rsidP="006C70B3">
      <w:pPr>
        <w:rPr>
          <w:rFonts w:ascii="Calibri" w:hAnsi="Calibri"/>
        </w:rPr>
      </w:pPr>
      <w:bookmarkStart w:id="26" w:name="_Toc459105652"/>
      <w:r w:rsidRPr="002815F4">
        <w:rPr>
          <w:rFonts w:ascii="Calibri" w:hAnsi="Calibri"/>
        </w:rPr>
        <w:t xml:space="preserve">The Government of Senegal committed to implement the EITI </w:t>
      </w:r>
      <w:r w:rsidR="00BA693C">
        <w:rPr>
          <w:rFonts w:ascii="Calibri" w:hAnsi="Calibri"/>
        </w:rPr>
        <w:t>in</w:t>
      </w:r>
      <w:r w:rsidRPr="002815F4">
        <w:rPr>
          <w:rFonts w:ascii="Calibri" w:hAnsi="Calibri"/>
        </w:rPr>
        <w:t xml:space="preserve"> February 2012</w:t>
      </w:r>
      <w:r w:rsidR="00BA693C">
        <w:rPr>
          <w:rFonts w:ascii="Calibri" w:hAnsi="Calibri"/>
        </w:rPr>
        <w:t xml:space="preserve"> and</w:t>
      </w:r>
      <w:r w:rsidR="000818F0" w:rsidRPr="002815F4">
        <w:rPr>
          <w:rFonts w:ascii="Calibri" w:hAnsi="Calibri"/>
        </w:rPr>
        <w:t xml:space="preserve"> was accepted as an EITI Candidate on</w:t>
      </w:r>
      <w:r w:rsidR="004E6B07" w:rsidRPr="002815F4">
        <w:rPr>
          <w:rFonts w:ascii="Calibri" w:hAnsi="Calibri"/>
        </w:rPr>
        <w:t xml:space="preserve"> 17 Octob</w:t>
      </w:r>
      <w:r w:rsidR="000818F0" w:rsidRPr="002815F4">
        <w:rPr>
          <w:rFonts w:ascii="Calibri" w:hAnsi="Calibri"/>
        </w:rPr>
        <w:t xml:space="preserve">er 2013. </w:t>
      </w:r>
      <w:r w:rsidR="004E6B07" w:rsidRPr="002815F4">
        <w:rPr>
          <w:rFonts w:ascii="Calibri" w:hAnsi="Calibri"/>
        </w:rPr>
        <w:t>On 25 October 2016, the Board agreed that the Senegal’s Validation under the 2016 EITI Standard would commence on 1 July 2017.</w:t>
      </w:r>
      <w:r w:rsidR="004E6B07" w:rsidRPr="002815F4">
        <w:rPr>
          <w:rFonts w:ascii="Calibri" w:hAnsi="Calibri"/>
          <w:vertAlign w:val="superscript"/>
        </w:rPr>
        <w:footnoteReference w:id="2"/>
      </w:r>
      <w:r w:rsidR="004E6B07" w:rsidRPr="002815F4">
        <w:rPr>
          <w:rFonts w:ascii="Calibri" w:hAnsi="Calibri"/>
        </w:rPr>
        <w:t xml:space="preserve"> This report presents the findings and initial assessment of the International Secretariat’s data gathering and stakeholder consultations. </w:t>
      </w:r>
      <w:r w:rsidR="004E6B07" w:rsidRPr="002815F4">
        <w:rPr>
          <w:rFonts w:ascii="Calibri" w:hAnsi="Calibri"/>
          <w:bCs/>
        </w:rPr>
        <w:t>The International Secretariat has followed the Validation Procedures</w:t>
      </w:r>
      <w:r w:rsidR="004E6B07" w:rsidRPr="002815F4">
        <w:rPr>
          <w:rFonts w:ascii="Calibri" w:hAnsi="Calibri"/>
          <w:bCs/>
          <w:vertAlign w:val="superscript"/>
        </w:rPr>
        <w:footnoteReference w:id="3"/>
      </w:r>
      <w:r w:rsidR="004E6B07" w:rsidRPr="002815F4">
        <w:rPr>
          <w:rFonts w:ascii="Calibri" w:hAnsi="Calibri"/>
          <w:bCs/>
        </w:rPr>
        <w:t xml:space="preserve"> and applied the Validation Guide</w:t>
      </w:r>
      <w:r w:rsidR="004E6B07" w:rsidRPr="002815F4">
        <w:rPr>
          <w:rFonts w:ascii="Calibri" w:hAnsi="Calibri"/>
          <w:bCs/>
          <w:vertAlign w:val="superscript"/>
        </w:rPr>
        <w:footnoteReference w:id="4"/>
      </w:r>
      <w:r w:rsidR="004E6B07" w:rsidRPr="002815F4">
        <w:rPr>
          <w:rFonts w:ascii="Calibri" w:hAnsi="Calibri"/>
          <w:bCs/>
        </w:rPr>
        <w:t xml:space="preserve"> in assessing Senegal’s progress with the EITI Standard. While the assessment has not yet been reviewed by the MSG or been quality assured, the Secretariat’s preliminary assessment is that </w:t>
      </w:r>
      <w:r w:rsidR="00F97CA1">
        <w:rPr>
          <w:rFonts w:ascii="Calibri" w:hAnsi="Calibri"/>
          <w:bCs/>
        </w:rPr>
        <w:t>two</w:t>
      </w:r>
      <w:r w:rsidR="00F97CA1" w:rsidRPr="002815F4">
        <w:rPr>
          <w:rFonts w:ascii="Calibri" w:hAnsi="Calibri"/>
          <w:bCs/>
        </w:rPr>
        <w:t xml:space="preserve"> </w:t>
      </w:r>
      <w:r w:rsidR="00C62E8E" w:rsidRPr="002815F4">
        <w:rPr>
          <w:rFonts w:ascii="Calibri" w:hAnsi="Calibri"/>
          <w:bCs/>
        </w:rPr>
        <w:t xml:space="preserve">of the requirements of the EITI Standard have not been fully addressed in Senegal. The recommendations and suggested corrective actions identified through this process relate to </w:t>
      </w:r>
      <w:r w:rsidR="00E10A07" w:rsidRPr="002815F4">
        <w:rPr>
          <w:rFonts w:ascii="Calibri" w:hAnsi="Calibri"/>
          <w:bCs/>
        </w:rPr>
        <w:t>state participation and production values</w:t>
      </w:r>
      <w:r w:rsidR="00C62E8E" w:rsidRPr="002815F4">
        <w:rPr>
          <w:rFonts w:ascii="Calibri" w:hAnsi="Calibri"/>
          <w:bCs/>
        </w:rPr>
        <w:t xml:space="preserve">. </w:t>
      </w:r>
      <w:r w:rsidR="00B6307F" w:rsidRPr="002815F4">
        <w:rPr>
          <w:rFonts w:ascii="Calibri" w:hAnsi="Calibri"/>
          <w:bCs/>
        </w:rPr>
        <w:t xml:space="preserve"> </w:t>
      </w:r>
      <w:r w:rsidR="000D51AB" w:rsidRPr="002815F4">
        <w:rPr>
          <w:rFonts w:ascii="Calibri" w:hAnsi="Calibri"/>
          <w:bCs/>
        </w:rPr>
        <w:t xml:space="preserve"> </w:t>
      </w:r>
    </w:p>
    <w:p w14:paraId="4CD076B8" w14:textId="2DCF1C47" w:rsidR="00B517AB" w:rsidRPr="002815F4" w:rsidRDefault="00B517AB" w:rsidP="009B3E66">
      <w:pPr>
        <w:pStyle w:val="Heading2"/>
      </w:pPr>
      <w:bookmarkStart w:id="27" w:name="_Toc461803023"/>
      <w:bookmarkStart w:id="28" w:name="_Toc461787304"/>
      <w:r w:rsidRPr="002815F4">
        <w:t>Overall conclusions</w:t>
      </w:r>
      <w:bookmarkEnd w:id="26"/>
      <w:bookmarkEnd w:id="27"/>
      <w:bookmarkEnd w:id="28"/>
    </w:p>
    <w:p w14:paraId="2ABDB341" w14:textId="4EA72D38" w:rsidR="00C62E8E" w:rsidRPr="002815F4" w:rsidRDefault="00C62E8E" w:rsidP="003C01D2">
      <w:pPr>
        <w:spacing w:before="120"/>
        <w:rPr>
          <w:rFonts w:ascii="Calibri" w:hAnsi="Calibri"/>
          <w:bCs/>
        </w:rPr>
      </w:pPr>
      <w:bookmarkStart w:id="29" w:name="_Hlk501609579"/>
      <w:r w:rsidRPr="002815F4">
        <w:rPr>
          <w:rFonts w:ascii="Calibri" w:hAnsi="Calibri"/>
          <w:bCs/>
        </w:rPr>
        <w:t>Senegal presents a dynamic and creative case of EITI implementation, with its fast-paced, innovative and engaged MSG undertaking both strategic discussions linking the EITI to national priorities for the extractive sector as well as the technical detail of reporting. Although the extractive industries account for only around 2% of GDP</w:t>
      </w:r>
      <w:r w:rsidR="008A0C83" w:rsidRPr="002815F4">
        <w:rPr>
          <w:rFonts w:ascii="Calibri" w:hAnsi="Calibri"/>
          <w:bCs/>
        </w:rPr>
        <w:t xml:space="preserve">, all three stakeholder groups have used the EITI to provide information on the mining sector that was previously unavailable and as a means of multi-stakeholder oversight of reforms ahead of sizeable oil and gas production expected to come onstream at the turn of the decade. Senegal’s mining sector has historically been controversial given host communities’ concerns about the economic and environmental impact of mining, while its nascent oil and gas industry has elicited a robust public debate in the past three years over licensing procedures, community engagement and fiscal management of the expected revenue windfall. Senegal has used implementation of the EITI as a means of disclosing most mining, oil and gas contracts, reforming its sector legislation (in the 2016 Mining Law and in planned reforms to the 1998 Petroleum Law), supporting implementation of subnational transfers and improving tracking of mandatory social expenditures, in addition to no-less tangible reforms in government agencies’ internal systems. </w:t>
      </w:r>
      <w:r w:rsidRPr="002815F4">
        <w:rPr>
          <w:rFonts w:ascii="Calibri" w:hAnsi="Calibri"/>
          <w:bCs/>
        </w:rPr>
        <w:t>The MSG’s engagement in formulating recommendations and actively following up on their implementation has ensured the EITI has had a tangible impact, particularly in terms of reform of government systems, from the first EITI Report.</w:t>
      </w:r>
    </w:p>
    <w:bookmarkEnd w:id="29"/>
    <w:p w14:paraId="541BEA77" w14:textId="62F99E33" w:rsidR="002A6EAD" w:rsidRPr="00FC405C" w:rsidRDefault="008A0C83" w:rsidP="00FC405C">
      <w:pPr>
        <w:spacing w:before="120"/>
        <w:rPr>
          <w:rFonts w:ascii="Calibri" w:hAnsi="Calibri"/>
          <w:bCs/>
        </w:rPr>
      </w:pPr>
      <w:r w:rsidRPr="002815F4">
        <w:rPr>
          <w:rFonts w:ascii="Calibri" w:hAnsi="Calibri"/>
          <w:bCs/>
        </w:rPr>
        <w:t xml:space="preserve">Key to Senegal’s successful use of the EITI as an instrument to drive reforms has been the strong engagement of all three main constituencies. Since the country became an EITI candidate in 2013, the government has supported the EITI through public statements, </w:t>
      </w:r>
      <w:r w:rsidR="00BA693C">
        <w:rPr>
          <w:rFonts w:ascii="Calibri" w:hAnsi="Calibri"/>
          <w:bCs/>
        </w:rPr>
        <w:t xml:space="preserve">an </w:t>
      </w:r>
      <w:r w:rsidRPr="002815F4">
        <w:rPr>
          <w:rFonts w:ascii="Calibri" w:hAnsi="Calibri"/>
          <w:bCs/>
        </w:rPr>
        <w:t xml:space="preserve">enabling legal </w:t>
      </w:r>
      <w:r w:rsidR="00BA693C">
        <w:rPr>
          <w:rFonts w:ascii="Calibri" w:hAnsi="Calibri"/>
          <w:bCs/>
        </w:rPr>
        <w:t>framework</w:t>
      </w:r>
      <w:r w:rsidR="00BA693C" w:rsidRPr="002815F4">
        <w:rPr>
          <w:rFonts w:ascii="Calibri" w:hAnsi="Calibri"/>
          <w:bCs/>
        </w:rPr>
        <w:t xml:space="preserve"> </w:t>
      </w:r>
      <w:r w:rsidRPr="002815F4">
        <w:rPr>
          <w:rFonts w:ascii="Calibri" w:hAnsi="Calibri"/>
          <w:bCs/>
        </w:rPr>
        <w:t xml:space="preserve">and funding for EITI. While nominations procedures within each constituency have remained somewhat informal, the dynamism of </w:t>
      </w:r>
      <w:r w:rsidR="00F701F9" w:rsidRPr="002815F4">
        <w:rPr>
          <w:rFonts w:ascii="Calibri" w:hAnsi="Calibri"/>
          <w:bCs/>
        </w:rPr>
        <w:t xml:space="preserve">Senegal EITI’s </w:t>
      </w:r>
      <w:r w:rsidRPr="002815F4">
        <w:rPr>
          <w:rFonts w:ascii="Calibri" w:hAnsi="Calibri"/>
          <w:bCs/>
        </w:rPr>
        <w:t xml:space="preserve">multi-stakeholder nature </w:t>
      </w:r>
      <w:r w:rsidR="00F701F9" w:rsidRPr="002815F4">
        <w:rPr>
          <w:rFonts w:ascii="Calibri" w:hAnsi="Calibri"/>
          <w:bCs/>
        </w:rPr>
        <w:t xml:space="preserve">is evident from the regular consultations by MSG members of their constituency and each constituency’s strong </w:t>
      </w:r>
      <w:r w:rsidR="00BA693C">
        <w:rPr>
          <w:rFonts w:ascii="Calibri" w:hAnsi="Calibri"/>
          <w:bCs/>
        </w:rPr>
        <w:t>engagement</w:t>
      </w:r>
      <w:r w:rsidR="00BA693C" w:rsidRPr="002815F4">
        <w:rPr>
          <w:rFonts w:ascii="Calibri" w:hAnsi="Calibri"/>
          <w:bCs/>
        </w:rPr>
        <w:t xml:space="preserve"> </w:t>
      </w:r>
      <w:r w:rsidR="00F701F9" w:rsidRPr="002815F4">
        <w:rPr>
          <w:rFonts w:ascii="Calibri" w:hAnsi="Calibri"/>
          <w:bCs/>
        </w:rPr>
        <w:t xml:space="preserve">in dissemination and outreach. Each constituency has been proactive in ensuring that a representative cross-section of their </w:t>
      </w:r>
      <w:r w:rsidR="00F701F9" w:rsidRPr="002815F4">
        <w:rPr>
          <w:rFonts w:ascii="Calibri" w:hAnsi="Calibri"/>
          <w:bCs/>
        </w:rPr>
        <w:lastRenderedPageBreak/>
        <w:t xml:space="preserve">constituencies </w:t>
      </w:r>
      <w:r w:rsidR="002815F4" w:rsidRPr="002815F4">
        <w:rPr>
          <w:rFonts w:ascii="Calibri" w:hAnsi="Calibri"/>
          <w:bCs/>
        </w:rPr>
        <w:t>is</w:t>
      </w:r>
      <w:r w:rsidR="00F701F9" w:rsidRPr="002815F4">
        <w:rPr>
          <w:rFonts w:ascii="Calibri" w:hAnsi="Calibri"/>
          <w:bCs/>
        </w:rPr>
        <w:t xml:space="preserve"> represented on the MSG, including an even geographic spread of CSO representatives and a cross-section of mineral types and phases (exploration/production) for industry’s representation. The MSG has met frequently – over 26 times in four years – and kept </w:t>
      </w:r>
      <w:r w:rsidR="001C3A83">
        <w:rPr>
          <w:rFonts w:ascii="Calibri" w:hAnsi="Calibri"/>
          <w:bCs/>
        </w:rPr>
        <w:t>good</w:t>
      </w:r>
      <w:r w:rsidR="001C3A83" w:rsidRPr="002815F4">
        <w:rPr>
          <w:rFonts w:ascii="Calibri" w:hAnsi="Calibri"/>
          <w:bCs/>
        </w:rPr>
        <w:t xml:space="preserve"> </w:t>
      </w:r>
      <w:r w:rsidR="00F701F9" w:rsidRPr="002815F4">
        <w:rPr>
          <w:rFonts w:ascii="Calibri" w:hAnsi="Calibri"/>
          <w:bCs/>
        </w:rPr>
        <w:t>records of its discussions.</w:t>
      </w:r>
      <w:r w:rsidR="00FC405C">
        <w:rPr>
          <w:rFonts w:ascii="Calibri" w:hAnsi="Calibri"/>
          <w:bCs/>
        </w:rPr>
        <w:t xml:space="preserve"> </w:t>
      </w:r>
      <w:r w:rsidR="003657F7" w:rsidRPr="002815F4">
        <w:rPr>
          <w:rFonts w:ascii="Calibri" w:hAnsi="Calibri"/>
          <w:bCs/>
        </w:rPr>
        <w:t xml:space="preserve">The MSG’s strong engagement in the technical aspects of reporting is evident in the significant improvement from its first (2013) to second (2014) EITI Reports, not least in the comprehensiveness and reliability of </w:t>
      </w:r>
      <w:r w:rsidR="006C178F">
        <w:rPr>
          <w:rFonts w:ascii="Calibri" w:hAnsi="Calibri"/>
          <w:bCs/>
        </w:rPr>
        <w:t>data</w:t>
      </w:r>
      <w:r w:rsidR="003657F7" w:rsidRPr="002815F4">
        <w:rPr>
          <w:rFonts w:ascii="Calibri" w:hAnsi="Calibri"/>
          <w:bCs/>
        </w:rPr>
        <w:t xml:space="preserve">. </w:t>
      </w:r>
      <w:r w:rsidR="002A6EAD" w:rsidRPr="002815F4">
        <w:rPr>
          <w:rFonts w:ascii="Calibri" w:hAnsi="Calibri"/>
          <w:bCs/>
        </w:rPr>
        <w:t xml:space="preserve">While Senegal EITI’s ability to reconcile a major exceptional payment from Mittal Steel Holding AG in 2014-15 (worth roughly 45% of government </w:t>
      </w:r>
      <w:r w:rsidR="002815F4" w:rsidRPr="002815F4">
        <w:rPr>
          <w:rFonts w:ascii="Calibri" w:hAnsi="Calibri"/>
          <w:bCs/>
        </w:rPr>
        <w:t>extractives</w:t>
      </w:r>
      <w:r w:rsidR="002A6EAD" w:rsidRPr="002815F4">
        <w:rPr>
          <w:rFonts w:ascii="Calibri" w:hAnsi="Calibri"/>
          <w:bCs/>
        </w:rPr>
        <w:t xml:space="preserve"> revenues in 2014) was constrained by the company’s contentious exit from Senegal in 2013, the broader objective of comprehensive disclosure of taxes and revenues has been achieved through the government’s full disclosure of revenues received, the MSG’s transparency on the exclusion of this revenue from the scope of reconciliation and evidence of the payment in the company’s audited financial statements. The exceptional nature of this </w:t>
      </w:r>
      <w:r w:rsidR="006C178F">
        <w:rPr>
          <w:rFonts w:ascii="Calibri" w:hAnsi="Calibri"/>
          <w:bCs/>
        </w:rPr>
        <w:t>payment</w:t>
      </w:r>
      <w:r w:rsidR="002A6EAD" w:rsidRPr="002815F4">
        <w:rPr>
          <w:rFonts w:ascii="Calibri" w:hAnsi="Calibri"/>
          <w:bCs/>
        </w:rPr>
        <w:t xml:space="preserve">, </w:t>
      </w:r>
      <w:r w:rsidR="006C178F">
        <w:rPr>
          <w:rFonts w:ascii="Calibri" w:hAnsi="Calibri"/>
          <w:bCs/>
        </w:rPr>
        <w:t xml:space="preserve">following </w:t>
      </w:r>
      <w:r w:rsidR="002A6EAD" w:rsidRPr="002815F4">
        <w:rPr>
          <w:rFonts w:ascii="Calibri" w:hAnsi="Calibri"/>
          <w:bCs/>
        </w:rPr>
        <w:t xml:space="preserve">arbitration proceedings, means that Senegal EITI is unlikely to face such reporting </w:t>
      </w:r>
      <w:r w:rsidR="006C178F">
        <w:rPr>
          <w:rFonts w:ascii="Calibri" w:hAnsi="Calibri"/>
          <w:bCs/>
        </w:rPr>
        <w:t>challenges</w:t>
      </w:r>
      <w:r w:rsidR="006C178F" w:rsidRPr="002815F4">
        <w:rPr>
          <w:rFonts w:ascii="Calibri" w:hAnsi="Calibri"/>
          <w:bCs/>
        </w:rPr>
        <w:t xml:space="preserve"> </w:t>
      </w:r>
      <w:r w:rsidR="002A6EAD" w:rsidRPr="002815F4">
        <w:rPr>
          <w:rFonts w:ascii="Calibri" w:hAnsi="Calibri"/>
          <w:bCs/>
        </w:rPr>
        <w:t xml:space="preserve">in </w:t>
      </w:r>
      <w:r w:rsidR="006C178F">
        <w:rPr>
          <w:rFonts w:ascii="Calibri" w:hAnsi="Calibri"/>
          <w:bCs/>
        </w:rPr>
        <w:t xml:space="preserve">the </w:t>
      </w:r>
      <w:r w:rsidR="002A6EAD" w:rsidRPr="002815F4">
        <w:rPr>
          <w:rFonts w:ascii="Calibri" w:hAnsi="Calibri"/>
          <w:bCs/>
        </w:rPr>
        <w:t xml:space="preserve">future. </w:t>
      </w:r>
      <w:r w:rsidR="0043050F" w:rsidRPr="002815F4">
        <w:rPr>
          <w:rFonts w:ascii="Calibri" w:hAnsi="Calibri"/>
          <w:bCs/>
        </w:rPr>
        <w:t xml:space="preserve">While EITI Senegal has faced minor challenges in addressing gaps in basic information on the mining, oil and gas sectors, such as production values and employment figures, this reflects the paucity of basic information on the sectors prior to Senegal’s implementation of the EITI. </w:t>
      </w:r>
    </w:p>
    <w:p w14:paraId="78FD1745" w14:textId="420A5A1A" w:rsidR="003671DB" w:rsidRPr="00FC405C" w:rsidRDefault="003657F7" w:rsidP="007474FE">
      <w:pPr>
        <w:rPr>
          <w:rFonts w:ascii="Calibri" w:hAnsi="Calibri"/>
        </w:rPr>
      </w:pPr>
      <w:r w:rsidRPr="002815F4">
        <w:rPr>
          <w:rFonts w:ascii="Calibri" w:hAnsi="Calibri"/>
          <w:bCs/>
        </w:rPr>
        <w:t xml:space="preserve">Conscious of the need </w:t>
      </w:r>
      <w:r w:rsidR="0088028A">
        <w:rPr>
          <w:rFonts w:ascii="Calibri" w:hAnsi="Calibri"/>
          <w:bCs/>
        </w:rPr>
        <w:t xml:space="preserve">for more timely information to inform </w:t>
      </w:r>
      <w:r w:rsidRPr="002815F4">
        <w:rPr>
          <w:rFonts w:ascii="Calibri" w:hAnsi="Calibri"/>
          <w:bCs/>
        </w:rPr>
        <w:t>public debate and support policy-making, EITI Senegal publish</w:t>
      </w:r>
      <w:r w:rsidR="00A6745F">
        <w:rPr>
          <w:rFonts w:ascii="Calibri" w:hAnsi="Calibri"/>
          <w:bCs/>
        </w:rPr>
        <w:t>ed</w:t>
      </w:r>
      <w:r w:rsidRPr="002815F4">
        <w:rPr>
          <w:rFonts w:ascii="Calibri" w:hAnsi="Calibri"/>
          <w:bCs/>
        </w:rPr>
        <w:t xml:space="preserve"> its 2015-16 EITI Reports </w:t>
      </w:r>
      <w:r w:rsidR="00A6745F">
        <w:rPr>
          <w:rFonts w:ascii="Calibri" w:hAnsi="Calibri"/>
          <w:bCs/>
        </w:rPr>
        <w:t xml:space="preserve">in </w:t>
      </w:r>
      <w:r w:rsidRPr="002815F4">
        <w:rPr>
          <w:rFonts w:ascii="Calibri" w:hAnsi="Calibri"/>
          <w:bCs/>
        </w:rPr>
        <w:t xml:space="preserve">October 2017. The MSG’s pioneering work with Senegal’s Court of Counts (CdC) has </w:t>
      </w:r>
      <w:r w:rsidR="006C178F">
        <w:rPr>
          <w:rFonts w:ascii="Calibri" w:hAnsi="Calibri"/>
          <w:bCs/>
        </w:rPr>
        <w:t xml:space="preserve">helped improve the </w:t>
      </w:r>
      <w:r w:rsidRPr="002815F4">
        <w:rPr>
          <w:rFonts w:ascii="Calibri" w:hAnsi="Calibri"/>
          <w:bCs/>
        </w:rPr>
        <w:t xml:space="preserve">quality assurance </w:t>
      </w:r>
      <w:r w:rsidR="006C178F">
        <w:rPr>
          <w:rFonts w:ascii="Calibri" w:hAnsi="Calibri"/>
          <w:bCs/>
        </w:rPr>
        <w:t xml:space="preserve">of </w:t>
      </w:r>
      <w:r w:rsidRPr="002815F4">
        <w:rPr>
          <w:rFonts w:ascii="Calibri" w:hAnsi="Calibri"/>
          <w:bCs/>
        </w:rPr>
        <w:t xml:space="preserve">government financial data and demonstrated the use of EITI as a diagnostic tool for government audit and assurance systems. </w:t>
      </w:r>
      <w:r w:rsidR="003671DB" w:rsidRPr="002815F4">
        <w:rPr>
          <w:rFonts w:ascii="Calibri" w:hAnsi="Calibri"/>
          <w:bCs/>
        </w:rPr>
        <w:t>Drawing on its experience with the first two reporting cycles, the MSG is moving ahead with its plans to mainstream key aspects of EITI reporting through plans for an EITI Senegal data portal, reforms of the mining and petroleum cadastral systems and introduction of an extra</w:t>
      </w:r>
      <w:r w:rsidR="009C0487" w:rsidRPr="002815F4">
        <w:rPr>
          <w:rFonts w:ascii="Calibri" w:hAnsi="Calibri"/>
          <w:bCs/>
        </w:rPr>
        <w:t>ct</w:t>
      </w:r>
      <w:r w:rsidR="003671DB" w:rsidRPr="002815F4">
        <w:rPr>
          <w:rFonts w:ascii="Calibri" w:hAnsi="Calibri"/>
          <w:bCs/>
        </w:rPr>
        <w:t xml:space="preserve">ives-specific national revenue classification system. </w:t>
      </w:r>
      <w:bookmarkStart w:id="30" w:name="_Hlk501610068"/>
      <w:r w:rsidR="0088028A">
        <w:rPr>
          <w:rFonts w:ascii="Calibri" w:hAnsi="Calibri"/>
          <w:bCs/>
        </w:rPr>
        <w:t>T</w:t>
      </w:r>
      <w:r w:rsidR="002A6EAD" w:rsidRPr="002815F4">
        <w:rPr>
          <w:rFonts w:ascii="Calibri" w:hAnsi="Calibri"/>
          <w:bCs/>
        </w:rPr>
        <w:t xml:space="preserve">he Senegal EITI MSG and secretariat have been proactive and systematic in following up recommendations </w:t>
      </w:r>
      <w:r w:rsidR="0088028A">
        <w:rPr>
          <w:rFonts w:ascii="Calibri" w:hAnsi="Calibri"/>
          <w:bCs/>
        </w:rPr>
        <w:t>from</w:t>
      </w:r>
      <w:r w:rsidR="0088028A" w:rsidRPr="002815F4">
        <w:rPr>
          <w:rFonts w:ascii="Calibri" w:hAnsi="Calibri"/>
          <w:bCs/>
        </w:rPr>
        <w:t xml:space="preserve"> </w:t>
      </w:r>
      <w:r w:rsidR="002A6EAD" w:rsidRPr="002815F4">
        <w:rPr>
          <w:rFonts w:ascii="Calibri" w:hAnsi="Calibri"/>
          <w:bCs/>
        </w:rPr>
        <w:t xml:space="preserve">EITI Reports with government agencies and companies. </w:t>
      </w:r>
      <w:bookmarkEnd w:id="30"/>
      <w:r w:rsidR="002A6EAD" w:rsidRPr="002815F4">
        <w:rPr>
          <w:rFonts w:ascii="Calibri" w:hAnsi="Calibri"/>
          <w:bCs/>
        </w:rPr>
        <w:t xml:space="preserve">The MSG has pioneered innovative </w:t>
      </w:r>
      <w:r w:rsidR="00C640CC" w:rsidRPr="002815F4">
        <w:rPr>
          <w:rFonts w:ascii="Calibri" w:hAnsi="Calibri"/>
          <w:bCs/>
        </w:rPr>
        <w:t xml:space="preserve">approaches to </w:t>
      </w:r>
      <w:r w:rsidR="002A6EAD" w:rsidRPr="002815F4">
        <w:rPr>
          <w:rFonts w:ascii="Calibri" w:hAnsi="Calibri"/>
          <w:bCs/>
        </w:rPr>
        <w:t>dissemination and outreach both in French and in the three main</w:t>
      </w:r>
      <w:r w:rsidR="0043050F" w:rsidRPr="002815F4">
        <w:rPr>
          <w:rFonts w:ascii="Calibri" w:hAnsi="Calibri"/>
          <w:bCs/>
        </w:rPr>
        <w:t xml:space="preserve"> local languages (Wolof, Mande</w:t>
      </w:r>
      <w:r w:rsidR="002A6EAD" w:rsidRPr="002815F4">
        <w:rPr>
          <w:rFonts w:ascii="Calibri" w:hAnsi="Calibri"/>
          <w:bCs/>
        </w:rPr>
        <w:t xml:space="preserve"> and Pula</w:t>
      </w:r>
      <w:r w:rsidR="0043050F" w:rsidRPr="002815F4">
        <w:rPr>
          <w:rFonts w:ascii="Calibri" w:hAnsi="Calibri"/>
          <w:bCs/>
        </w:rPr>
        <w:t>a</w:t>
      </w:r>
      <w:r w:rsidR="002A6EAD" w:rsidRPr="002815F4">
        <w:rPr>
          <w:rFonts w:ascii="Calibri" w:hAnsi="Calibri"/>
          <w:bCs/>
        </w:rPr>
        <w:t>r) through radio shows, infographics</w:t>
      </w:r>
      <w:r w:rsidR="00C640CC" w:rsidRPr="002815F4">
        <w:rPr>
          <w:rFonts w:ascii="Calibri" w:hAnsi="Calibri"/>
          <w:bCs/>
        </w:rPr>
        <w:t xml:space="preserve"> and focus group discussions. </w:t>
      </w:r>
      <w:r w:rsidR="0043050F" w:rsidRPr="002815F4">
        <w:rPr>
          <w:rFonts w:ascii="Calibri" w:hAnsi="Calibri"/>
          <w:bCs/>
        </w:rPr>
        <w:t xml:space="preserve">The decentralised nature of civil society networks engaged in EITI, with several civil society MSG members based in the major mining regions, has ensured that MSG discussions are well-anchored in host communities’ concerns and that EITI information is swiftly disseminated beyond the capital Dakar. </w:t>
      </w:r>
      <w:bookmarkStart w:id="31" w:name="_Toc459105653"/>
      <w:bookmarkStart w:id="32" w:name="_Toc461803024"/>
      <w:bookmarkStart w:id="33" w:name="_Toc461787305"/>
    </w:p>
    <w:p w14:paraId="5555D39E" w14:textId="2408EF99" w:rsidR="00B517AB" w:rsidRPr="002815F4" w:rsidRDefault="00B517AB" w:rsidP="009B3E66">
      <w:pPr>
        <w:pStyle w:val="Heading2"/>
      </w:pPr>
      <w:r w:rsidRPr="002815F4">
        <w:t>Recommendations</w:t>
      </w:r>
      <w:bookmarkEnd w:id="31"/>
      <w:bookmarkEnd w:id="32"/>
      <w:bookmarkEnd w:id="33"/>
    </w:p>
    <w:p w14:paraId="58A44A2F" w14:textId="3B77CDE2" w:rsidR="00B517AB" w:rsidRPr="002815F4" w:rsidRDefault="0043050F" w:rsidP="00B517AB">
      <w:pPr>
        <w:spacing w:before="120"/>
        <w:rPr>
          <w:rFonts w:ascii="Calibri" w:hAnsi="Calibri"/>
        </w:rPr>
      </w:pPr>
      <w:r w:rsidRPr="002815F4">
        <w:rPr>
          <w:rFonts w:ascii="Calibri" w:hAnsi="Calibri"/>
          <w:bCs/>
        </w:rPr>
        <w:t xml:space="preserve">While the following report includes recommendations for specific improvements the MSG may wish to consider implementing, the following is a list of strategic recommendations that could help Senegal make even greater use of the EITI as an instrument to support reforms. </w:t>
      </w:r>
      <w:r w:rsidR="00DF2A6C">
        <w:rPr>
          <w:rFonts w:ascii="Calibri" w:hAnsi="Calibri"/>
          <w:bCs/>
        </w:rPr>
        <w:t xml:space="preserve"> Those in bold are necessary in order to </w:t>
      </w:r>
      <w:r w:rsidR="00042BB0">
        <w:rPr>
          <w:rFonts w:ascii="Calibri" w:hAnsi="Calibri"/>
          <w:bCs/>
        </w:rPr>
        <w:t xml:space="preserve">achieve satisfactory progress in implementing </w:t>
      </w:r>
      <w:r w:rsidR="00DF2A6C">
        <w:rPr>
          <w:rFonts w:ascii="Calibri" w:hAnsi="Calibri"/>
          <w:bCs/>
        </w:rPr>
        <w:t xml:space="preserve">the EITI Standard. </w:t>
      </w:r>
    </w:p>
    <w:p w14:paraId="590E8BF6" w14:textId="7FCDC9F4" w:rsidR="00E80094" w:rsidRPr="002815F4" w:rsidRDefault="003D1975" w:rsidP="00FF1374">
      <w:pPr>
        <w:pStyle w:val="ListParagraph"/>
        <w:rPr>
          <w:rFonts w:eastAsia="Calibri"/>
        </w:rPr>
      </w:pPr>
      <w:r w:rsidRPr="002815F4">
        <w:t>T</w:t>
      </w:r>
      <w:r w:rsidR="00E80094" w:rsidRPr="002815F4">
        <w:t xml:space="preserve">he MSG may wish to review EITI Senegal’s </w:t>
      </w:r>
      <w:r w:rsidR="00C460FE" w:rsidRPr="002815F4">
        <w:t xml:space="preserve">MSG </w:t>
      </w:r>
      <w:r w:rsidR="00E80094" w:rsidRPr="002815F4">
        <w:t>foundational decree</w:t>
      </w:r>
      <w:r w:rsidR="00C460FE" w:rsidRPr="002815F4">
        <w:t xml:space="preserve"> (</w:t>
      </w:r>
      <w:r w:rsidR="00E51BAC" w:rsidRPr="002815F4">
        <w:t xml:space="preserve">Décret </w:t>
      </w:r>
      <w:r w:rsidR="00C460FE" w:rsidRPr="002815F4">
        <w:t>2013</w:t>
      </w:r>
      <w:r w:rsidR="00E51BAC" w:rsidRPr="002815F4">
        <w:t>-881)</w:t>
      </w:r>
      <w:r w:rsidR="00C460FE" w:rsidRPr="002815F4">
        <w:t xml:space="preserve"> </w:t>
      </w:r>
      <w:r w:rsidR="00E80094" w:rsidRPr="002815F4">
        <w:t xml:space="preserve">to </w:t>
      </w:r>
      <w:r w:rsidR="00E51BAC" w:rsidRPr="002815F4">
        <w:t>ensure that EITI Senegal’s governance rules are in line with actual practice, particularly on meeting quorum and MSG member alternates</w:t>
      </w:r>
      <w:r w:rsidR="00E80094" w:rsidRPr="002815F4">
        <w:t>.</w:t>
      </w:r>
      <w:r w:rsidR="00E80094" w:rsidRPr="002815F4" w:rsidDel="00DE3B6E">
        <w:t xml:space="preserve"> </w:t>
      </w:r>
    </w:p>
    <w:p w14:paraId="1E1C4A97" w14:textId="5A39E910" w:rsidR="00E80094" w:rsidRPr="002815F4" w:rsidRDefault="003D1975">
      <w:pPr>
        <w:pStyle w:val="ListParagraph"/>
        <w:rPr>
          <w:rFonts w:eastAsia="Calibri"/>
        </w:rPr>
      </w:pPr>
      <w:r w:rsidRPr="002815F4">
        <w:t>T</w:t>
      </w:r>
      <w:r w:rsidR="00E80094" w:rsidRPr="002815F4">
        <w:t xml:space="preserve">he industry constituency may wish </w:t>
      </w:r>
      <w:r w:rsidR="00482C28">
        <w:t xml:space="preserve">to </w:t>
      </w:r>
      <w:r w:rsidR="00E80094" w:rsidRPr="002815F4">
        <w:t>enhance, systematise and formalise its coordination between companies involved in EITI implementation beyond those directly represented on the MSG. The industry constituency is also encouraged to formalise its procedures for nominating and replacing its MSG members (</w:t>
      </w:r>
      <w:r w:rsidR="00E80094" w:rsidRPr="002815F4">
        <w:rPr>
          <w:i/>
        </w:rPr>
        <w:t>see Requirement 1.4</w:t>
      </w:r>
      <w:r w:rsidR="00E80094" w:rsidRPr="002815F4">
        <w:t>).</w:t>
      </w:r>
      <w:r w:rsidR="00E80094" w:rsidRPr="002815F4" w:rsidDel="00DE3B6E">
        <w:t xml:space="preserve"> </w:t>
      </w:r>
    </w:p>
    <w:p w14:paraId="3E663DC0" w14:textId="75CF6105" w:rsidR="00E80094" w:rsidRPr="002815F4" w:rsidRDefault="003D1975">
      <w:pPr>
        <w:pStyle w:val="ListParagraph"/>
        <w:rPr>
          <w:rFonts w:eastAsia="Calibri"/>
        </w:rPr>
      </w:pPr>
      <w:r w:rsidRPr="002815F4">
        <w:t>T</w:t>
      </w:r>
      <w:r w:rsidR="00E80094" w:rsidRPr="002815F4">
        <w:t xml:space="preserve">he MSG may wish to pursue its capacity building efforts targeting civil society and the press on </w:t>
      </w:r>
      <w:r w:rsidR="00E80094" w:rsidRPr="002815F4">
        <w:lastRenderedPageBreak/>
        <w:t>the use of EITI data and other aspects such as contract analysis.</w:t>
      </w:r>
    </w:p>
    <w:p w14:paraId="735BBFBF" w14:textId="644B57EF" w:rsidR="00E80094" w:rsidRPr="002815F4" w:rsidRDefault="003D1975">
      <w:pPr>
        <w:pStyle w:val="ListParagraph"/>
        <w:rPr>
          <w:rFonts w:eastAsia="Calibri"/>
        </w:rPr>
      </w:pPr>
      <w:r w:rsidRPr="002815F4">
        <w:t>T</w:t>
      </w:r>
      <w:r w:rsidR="00E80094" w:rsidRPr="002815F4">
        <w:t xml:space="preserve">he MSG may wish to support each constituency’s codification of its own nominations and replacement procedures for MSG members. </w:t>
      </w:r>
    </w:p>
    <w:p w14:paraId="31BEDB98" w14:textId="60557A88" w:rsidR="00B517AB" w:rsidRPr="002815F4" w:rsidRDefault="003D1975">
      <w:pPr>
        <w:pStyle w:val="ListParagraph"/>
      </w:pPr>
      <w:r w:rsidRPr="002815F4">
        <w:t>T</w:t>
      </w:r>
      <w:r w:rsidR="00E80094" w:rsidRPr="002815F4">
        <w:t>he MSG may wish to publish more regular updates of its work plan execution to reflect the detail with which the MSG and secretariat track implementation. This could further support the MSG’s efforts to reach out to prospective donors to support specific work plan activities.</w:t>
      </w:r>
      <w:r w:rsidR="00E80094" w:rsidRPr="002815F4" w:rsidDel="00E80094">
        <w:t xml:space="preserve"> </w:t>
      </w:r>
    </w:p>
    <w:p w14:paraId="6324D50B" w14:textId="1B17861C" w:rsidR="00DC1834" w:rsidRPr="002815F4" w:rsidRDefault="003D1975">
      <w:pPr>
        <w:pStyle w:val="ListParagraph"/>
        <w:rPr>
          <w:rFonts w:eastAsia="Calibri"/>
        </w:rPr>
      </w:pPr>
      <w:r w:rsidRPr="002815F4">
        <w:t>T</w:t>
      </w:r>
      <w:r w:rsidR="00DC1834" w:rsidRPr="002815F4">
        <w:t xml:space="preserve">he government is encouraged to continue its efforts to engage a broad range of stakeholders in governance reforms in the mining, oil and gas sectors, as it has done in revisions to the Mining Code in 2016. </w:t>
      </w:r>
    </w:p>
    <w:p w14:paraId="170DF751" w14:textId="73FE88DA" w:rsidR="00DC1834" w:rsidRPr="00042BB0" w:rsidRDefault="00EB7029">
      <w:pPr>
        <w:pStyle w:val="ListParagraph"/>
        <w:rPr>
          <w:rFonts w:eastAsia="Calibri"/>
        </w:rPr>
      </w:pPr>
      <w:r>
        <w:t>T</w:t>
      </w:r>
      <w:r w:rsidRPr="00E72A69">
        <w:t>he MSG is encouraged to highlight any non-trivial deviations from the applicable legal and regulatory framework governing license transfers and awards in the allocation of licenses in the oil, gas and mining sectors in the year(s) under review. The government is encouraged to continue its efforts to standardize the technical and financial criteria for the allocation of licenses.</w:t>
      </w:r>
    </w:p>
    <w:p w14:paraId="0DD59C9F" w14:textId="06843327" w:rsidR="00DC1834" w:rsidRPr="002815F4" w:rsidRDefault="003D1975">
      <w:pPr>
        <w:pStyle w:val="ListParagraph"/>
        <w:rPr>
          <w:rFonts w:eastAsia="Calibri"/>
        </w:rPr>
      </w:pPr>
      <w:r w:rsidRPr="002815F4">
        <w:t>T</w:t>
      </w:r>
      <w:r w:rsidR="00DC1834" w:rsidRPr="002815F4">
        <w:t>he MSG may wish to maintain a publicly available register or cadastral system(s) with timely and comprehensive information on each of the mining, oil and gas licenses, including their coordinates.</w:t>
      </w:r>
    </w:p>
    <w:p w14:paraId="56E62A18" w14:textId="2FDB73F9" w:rsidR="00DC1834" w:rsidRPr="002815F4" w:rsidRDefault="003D1975">
      <w:pPr>
        <w:pStyle w:val="ListParagraph"/>
        <w:rPr>
          <w:rFonts w:eastAsia="Calibri"/>
        </w:rPr>
      </w:pPr>
      <w:bookmarkStart w:id="34" w:name="_Hlk497474546"/>
      <w:r w:rsidRPr="002815F4">
        <w:rPr>
          <w:rFonts w:eastAsia="Calibri"/>
        </w:rPr>
        <w:t>T</w:t>
      </w:r>
      <w:r w:rsidR="00DC1834" w:rsidRPr="002815F4">
        <w:rPr>
          <w:rFonts w:eastAsia="Calibri"/>
        </w:rPr>
        <w:t xml:space="preserve">he MSG may wish to ensure that </w:t>
      </w:r>
      <w:r w:rsidR="00DF2A6C">
        <w:rPr>
          <w:rFonts w:eastAsia="Calibri"/>
        </w:rPr>
        <w:t>the</w:t>
      </w:r>
      <w:r w:rsidR="00DC1834" w:rsidRPr="002815F4">
        <w:rPr>
          <w:rFonts w:eastAsia="Calibri"/>
        </w:rPr>
        <w:t xml:space="preserve"> legal obligations in the Transparency Code, sector legislation and actual practice in contract </w:t>
      </w:r>
      <w:r w:rsidR="00DF2A6C">
        <w:rPr>
          <w:rFonts w:eastAsia="Calibri"/>
        </w:rPr>
        <w:t>transparency are consistent</w:t>
      </w:r>
      <w:r w:rsidR="00DC1834" w:rsidRPr="002815F4">
        <w:rPr>
          <w:rFonts w:eastAsia="Calibri"/>
        </w:rPr>
        <w:t xml:space="preserve">. </w:t>
      </w:r>
      <w:bookmarkEnd w:id="34"/>
      <w:r w:rsidR="00DC1834" w:rsidRPr="002815F4">
        <w:rPr>
          <w:rFonts w:eastAsia="Calibri"/>
        </w:rPr>
        <w:t>The MSG is also encouraged to continue categorising the published contracts and training stakeholders on extracting key information and using published contracts.</w:t>
      </w:r>
    </w:p>
    <w:p w14:paraId="56E9CC9C" w14:textId="793ED3EC" w:rsidR="00DC1834" w:rsidRPr="002815F4" w:rsidRDefault="003D1975">
      <w:pPr>
        <w:pStyle w:val="ListParagraph"/>
        <w:rPr>
          <w:rFonts w:eastAsia="Calibri"/>
        </w:rPr>
      </w:pPr>
      <w:r w:rsidRPr="002815F4">
        <w:rPr>
          <w:rFonts w:eastAsia="Calibri"/>
        </w:rPr>
        <w:t>T</w:t>
      </w:r>
      <w:r w:rsidR="00DC1834" w:rsidRPr="002815F4">
        <w:rPr>
          <w:rFonts w:eastAsia="Calibri"/>
        </w:rPr>
        <w:t xml:space="preserve">he MSG may wish to pilot beneficial ownership reporting in the forthcoming EITI Report to increase awareness of beneficial ownership transparency and pilot beneficial ownership definitions and thresholds. In particular, the MSG may wish to consider the various types of control that can be exercised over a company. Senegal EITI may also wish to conduct broader </w:t>
      </w:r>
      <w:r w:rsidR="00EA04FD">
        <w:rPr>
          <w:rFonts w:eastAsia="Calibri"/>
        </w:rPr>
        <w:t xml:space="preserve">industry </w:t>
      </w:r>
      <w:r w:rsidR="00DC1834" w:rsidRPr="002815F4">
        <w:rPr>
          <w:rFonts w:eastAsia="Calibri"/>
        </w:rPr>
        <w:t>outreach on the objectives of beneficial ownership transparency, as well as hold conversations with government agencies on how to make such disclosures mandatory.</w:t>
      </w:r>
    </w:p>
    <w:p w14:paraId="599DA736" w14:textId="65401426" w:rsidR="00DC1834" w:rsidRPr="00042BB0" w:rsidRDefault="00C30EDD">
      <w:pPr>
        <w:pStyle w:val="ListParagraph"/>
      </w:pPr>
      <w:r w:rsidRPr="00FF1374">
        <w:t>In line with Requirement 2.6</w:t>
      </w:r>
      <w:r w:rsidR="00DC1834" w:rsidRPr="00042BB0">
        <w:t>, the MSG should clarify the statutory regulations on the financial relationship between Petrosen, Miferso and the government in future EITI Reports. The government is also encouraged to continue equip the Hydrocarbons Department with monitoring tools to better track work plans and payments to government as the industry develops.</w:t>
      </w:r>
      <w:r w:rsidR="00DC1834" w:rsidRPr="00042BB0" w:rsidDel="00253E7F">
        <w:t xml:space="preserve"> </w:t>
      </w:r>
    </w:p>
    <w:p w14:paraId="0404F208" w14:textId="56AE2456" w:rsidR="006418FD" w:rsidRPr="00042BB0" w:rsidRDefault="00C30EDD">
      <w:pPr>
        <w:pStyle w:val="ListParagraph"/>
        <w:rPr>
          <w:rFonts w:eastAsia="Calibri"/>
        </w:rPr>
      </w:pPr>
      <w:r w:rsidRPr="00042BB0">
        <w:t>In line with Requirement 3.2</w:t>
      </w:r>
      <w:r w:rsidR="006418FD" w:rsidRPr="00042BB0">
        <w:t>, the MSG should disclose production data for the fiscal year covered by the EITI Report, including total production volumes and the value of production by commodity, and, when relevant, by state/region. This could include sources of the production data and information on how the production volumes and values disclosed in the EITI Report have been calculated.</w:t>
      </w:r>
      <w:r w:rsidR="006418FD" w:rsidRPr="00042BB0" w:rsidDel="007A6719">
        <w:t xml:space="preserve"> </w:t>
      </w:r>
    </w:p>
    <w:p w14:paraId="1E1D8036" w14:textId="7A54FB58" w:rsidR="0043050F" w:rsidRPr="002815F4" w:rsidRDefault="003D1975">
      <w:pPr>
        <w:pStyle w:val="ListParagraph"/>
      </w:pPr>
      <w:r w:rsidRPr="002815F4">
        <w:t>T</w:t>
      </w:r>
      <w:r w:rsidR="006418FD" w:rsidRPr="002815F4">
        <w:t>he MSG is encouraged to clarify the differences in export figures between companies’ EITI disclosures and official government data.</w:t>
      </w:r>
      <w:r w:rsidR="006418FD" w:rsidRPr="002815F4" w:rsidDel="007A6719">
        <w:t xml:space="preserve"> </w:t>
      </w:r>
    </w:p>
    <w:p w14:paraId="08A9874B" w14:textId="2234C8B3" w:rsidR="006418FD" w:rsidRPr="002815F4" w:rsidRDefault="003D1975">
      <w:pPr>
        <w:pStyle w:val="ListParagraph"/>
        <w:rPr>
          <w:rFonts w:eastAsia="Calibri"/>
        </w:rPr>
      </w:pPr>
      <w:r w:rsidRPr="002815F4">
        <w:t>T</w:t>
      </w:r>
      <w:r w:rsidR="006418FD" w:rsidRPr="002815F4">
        <w:t>he MSG could ensure that future EITI Reports include publicly-accessible and audited evidence of any exceptional material payment to government from companies without contractual links to Senegal.</w:t>
      </w:r>
      <w:r w:rsidR="006418FD" w:rsidRPr="002815F4" w:rsidDel="006D4E9B">
        <w:t xml:space="preserve"> </w:t>
      </w:r>
    </w:p>
    <w:p w14:paraId="6AB7F1D4" w14:textId="2F59FB76" w:rsidR="006418FD" w:rsidRPr="002815F4" w:rsidRDefault="003D1975">
      <w:pPr>
        <w:pStyle w:val="ListParagraph"/>
        <w:rPr>
          <w:rFonts w:eastAsia="Calibri"/>
        </w:rPr>
      </w:pPr>
      <w:r w:rsidRPr="002815F4">
        <w:t>T</w:t>
      </w:r>
      <w:r w:rsidR="006418FD" w:rsidRPr="002815F4">
        <w:t xml:space="preserve">he MSG </w:t>
      </w:r>
      <w:r w:rsidR="00C30EDD" w:rsidRPr="002815F4">
        <w:t xml:space="preserve">is encouraged to </w:t>
      </w:r>
      <w:r w:rsidR="006418FD" w:rsidRPr="002815F4">
        <w:t>ensure that future EITI Reports provide a level of detail and transparency for any barter agreement commensurate with the disclosure and reconciliation of other payments and revenues streams.</w:t>
      </w:r>
      <w:r w:rsidR="006418FD" w:rsidRPr="002815F4" w:rsidDel="006D4E9B">
        <w:t xml:space="preserve"> </w:t>
      </w:r>
    </w:p>
    <w:p w14:paraId="2DC54AF4" w14:textId="241CE76D" w:rsidR="006418FD" w:rsidRPr="002815F4" w:rsidRDefault="003D1975">
      <w:pPr>
        <w:pStyle w:val="ListParagraph"/>
        <w:rPr>
          <w:rFonts w:eastAsia="Calibri"/>
        </w:rPr>
      </w:pPr>
      <w:r w:rsidRPr="002815F4">
        <w:t>T</w:t>
      </w:r>
      <w:r w:rsidR="006418FD" w:rsidRPr="002815F4">
        <w:t>he MSG could ensure that future EITI Reports include explicit figures for the volumes and values of commodities transported under arrangements where the government receives transportation revenues.</w:t>
      </w:r>
      <w:r w:rsidR="006418FD" w:rsidRPr="002815F4" w:rsidDel="00DC3F6D">
        <w:t xml:space="preserve"> </w:t>
      </w:r>
    </w:p>
    <w:p w14:paraId="04D92C90" w14:textId="267F2060" w:rsidR="006418FD" w:rsidRPr="002815F4" w:rsidRDefault="003D1975">
      <w:pPr>
        <w:pStyle w:val="ListParagraph"/>
        <w:rPr>
          <w:rFonts w:eastAsia="Calibri"/>
        </w:rPr>
      </w:pPr>
      <w:r w:rsidRPr="002815F4">
        <w:t>T</w:t>
      </w:r>
      <w:r w:rsidR="006418FD" w:rsidRPr="002815F4">
        <w:t xml:space="preserve">he MSG may wish to make progress in implementing project-level EITI reporting ahead of the </w:t>
      </w:r>
      <w:r w:rsidR="006418FD" w:rsidRPr="002815F4">
        <w:lastRenderedPageBreak/>
        <w:t xml:space="preserve">deadline for all EITI Reports covering fiscal periods ending on or after 31 December 2018, agreed by the EITI Board at its 36th meeting in Bogotá. </w:t>
      </w:r>
    </w:p>
    <w:p w14:paraId="6CCC6757" w14:textId="3F236FC1" w:rsidR="0043050F" w:rsidRPr="002815F4" w:rsidRDefault="006418FD">
      <w:pPr>
        <w:pStyle w:val="ListParagraph"/>
      </w:pPr>
      <w:r w:rsidRPr="002815F4">
        <w:rPr>
          <w:rFonts w:eastAsia="Calibri"/>
        </w:rPr>
        <w:t>Senegal EITI is encouraged to strengthen its efforts to publish more up-to-date EITI Reports to ensure the data is more relevant and useful to public debate.</w:t>
      </w:r>
    </w:p>
    <w:p w14:paraId="7BBDED6C" w14:textId="3FA30418" w:rsidR="00866E2F" w:rsidRPr="002815F4" w:rsidRDefault="003D1975">
      <w:pPr>
        <w:pStyle w:val="ListParagraph"/>
        <w:rPr>
          <w:rFonts w:eastAsia="Calibri"/>
        </w:rPr>
      </w:pPr>
      <w:r w:rsidRPr="002815F4">
        <w:t>T</w:t>
      </w:r>
      <w:r w:rsidR="00866E2F" w:rsidRPr="002815F4">
        <w:t>he MSG may wish to publish audited financial statements of government entities collecting extractives revenues not recorded in the national budget.</w:t>
      </w:r>
      <w:r w:rsidR="00866E2F" w:rsidRPr="002815F4" w:rsidDel="009757FA">
        <w:t xml:space="preserve"> </w:t>
      </w:r>
    </w:p>
    <w:p w14:paraId="404A36C1" w14:textId="77777777" w:rsidR="00866E2F" w:rsidRPr="002815F4" w:rsidRDefault="00866E2F">
      <w:pPr>
        <w:pStyle w:val="ListParagraph"/>
        <w:rPr>
          <w:rFonts w:eastAsia="Calibri"/>
        </w:rPr>
      </w:pPr>
      <w:r w:rsidRPr="002815F4">
        <w:t>Given the planned implementation of subnational transfers from 2017, the MSG is encouraged to ensure that future EITI Reports provide the formula for calculating transfers to individual subnational government, the value of transfers according to the formula and any discrepancies between budgeted and executed transfers in the year(s) under review.</w:t>
      </w:r>
      <w:r w:rsidRPr="002815F4" w:rsidDel="009757FA">
        <w:t xml:space="preserve"> </w:t>
      </w:r>
    </w:p>
    <w:p w14:paraId="78A558A2" w14:textId="2F9D7ABE" w:rsidR="0043050F" w:rsidRPr="002815F4" w:rsidRDefault="003D1975">
      <w:pPr>
        <w:pStyle w:val="ListParagraph"/>
      </w:pPr>
      <w:r w:rsidRPr="002815F4">
        <w:t>T</w:t>
      </w:r>
      <w:r w:rsidR="00866E2F" w:rsidRPr="002815F4">
        <w:t>he MSG may wish to includ</w:t>
      </w:r>
      <w:r w:rsidR="00FA6DD8">
        <w:t>e</w:t>
      </w:r>
      <w:r w:rsidR="00866E2F" w:rsidRPr="002815F4">
        <w:t xml:space="preserve"> further information on production and revenue projections, commodity prices and budget scenario planning in future EITI Reports or on Senegal’s EITI website. The MSG may also wish to explore the potential of clarifying the level of tax incentives provided to extractives companies in line with stakeholder demands for more information.</w:t>
      </w:r>
    </w:p>
    <w:p w14:paraId="024BB33B" w14:textId="527146FA" w:rsidR="00C30EDD" w:rsidRPr="002815F4" w:rsidRDefault="003D1975">
      <w:pPr>
        <w:pStyle w:val="ListParagraph"/>
        <w:rPr>
          <w:rFonts w:eastAsia="Calibri"/>
        </w:rPr>
      </w:pPr>
      <w:r w:rsidRPr="002815F4">
        <w:t>T</w:t>
      </w:r>
      <w:r w:rsidR="00C30EDD" w:rsidRPr="002815F4">
        <w:t xml:space="preserve">he MSG may wish to provide additional analysis of companies’ contractual social expenditure obligations in future EITI Reports, with a view to explaining and contextualising companies’ reporting of their social expenditures in the year(s) under review. </w:t>
      </w:r>
    </w:p>
    <w:p w14:paraId="25056AE8" w14:textId="431431FF" w:rsidR="005F4578" w:rsidRPr="002815F4" w:rsidRDefault="003D1975">
      <w:pPr>
        <w:pStyle w:val="ListParagraph"/>
        <w:rPr>
          <w:rFonts w:eastAsia="Calibri"/>
        </w:rPr>
      </w:pPr>
      <w:r w:rsidRPr="002815F4">
        <w:t>T</w:t>
      </w:r>
      <w:r w:rsidR="00C30EDD" w:rsidRPr="002815F4">
        <w:t>he MSG may wish to publish the audited financial statements of Miferso and Petrosen, potentially through the EITI Senegal website pending operationalisation of the SOEs’ websites.</w:t>
      </w:r>
      <w:r w:rsidR="00C30EDD" w:rsidRPr="002815F4" w:rsidDel="00C30EDD">
        <w:t xml:space="preserve"> </w:t>
      </w:r>
    </w:p>
    <w:p w14:paraId="2CAEF76D" w14:textId="77777777" w:rsidR="005F4578" w:rsidRPr="002815F4" w:rsidRDefault="003D1975">
      <w:pPr>
        <w:pStyle w:val="ListParagraph"/>
        <w:rPr>
          <w:rFonts w:eastAsia="Calibri"/>
        </w:rPr>
      </w:pPr>
      <w:r w:rsidRPr="002815F4">
        <w:t>T</w:t>
      </w:r>
      <w:r w:rsidR="00C30EDD" w:rsidRPr="002815F4">
        <w:t>he MSG is encouraged to provide additional analysis on official extractives employment data, using EITI reporting to refine official statistics.</w:t>
      </w:r>
    </w:p>
    <w:p w14:paraId="18FAF678" w14:textId="346693BC" w:rsidR="005F4578" w:rsidRPr="002815F4" w:rsidRDefault="003D1975">
      <w:pPr>
        <w:pStyle w:val="ListParagraph"/>
        <w:rPr>
          <w:rFonts w:eastAsia="Calibri"/>
        </w:rPr>
      </w:pPr>
      <w:r w:rsidRPr="002815F4">
        <w:t>T</w:t>
      </w:r>
      <w:r w:rsidR="00C30EDD" w:rsidRPr="002815F4">
        <w:t>he MSG may wish to formalis</w:t>
      </w:r>
      <w:r w:rsidR="00FA6DD8">
        <w:t>e</w:t>
      </w:r>
      <w:r w:rsidR="00C30EDD" w:rsidRPr="002815F4">
        <w:t xml:space="preserve"> government mechanisms for following up on recommendations from past EITI Reports and Validation as a means of ensuring the sustainability and continued effectiveness of follow-up channels.</w:t>
      </w:r>
      <w:r w:rsidR="005F4578" w:rsidRPr="002815F4">
        <w:t xml:space="preserve"> </w:t>
      </w:r>
    </w:p>
    <w:p w14:paraId="13B7F3B9" w14:textId="17F9D6EA" w:rsidR="00B317E1" w:rsidRPr="002815F4" w:rsidRDefault="005F4578">
      <w:pPr>
        <w:pStyle w:val="ListParagraph"/>
      </w:pPr>
      <w:r w:rsidRPr="002815F4">
        <w:t>The MSG may wish to undertak</w:t>
      </w:r>
      <w:r w:rsidR="00FA6DD8">
        <w:t>e</w:t>
      </w:r>
      <w:r w:rsidRPr="002815F4">
        <w:t xml:space="preserve"> a comprehensive impact assessment, with a view to identifying tangible impacts to local communities and other stakeholders in order to determine the extent to which the EITI has contributed to improving public financial management and governance of the mining, oil and gas sectors. </w:t>
      </w:r>
      <w:r w:rsidR="00C30EDD" w:rsidRPr="002815F4" w:rsidDel="008F7942">
        <w:t xml:space="preserve"> </w:t>
      </w:r>
      <w:r w:rsidR="00B317E1" w:rsidRPr="002815F4">
        <w:rPr>
          <w:rFonts w:eastAsia="Calibri"/>
        </w:rPr>
        <w:br w:type="page"/>
      </w:r>
    </w:p>
    <w:p w14:paraId="464F1251" w14:textId="1F843125" w:rsidR="00727A05" w:rsidRDefault="00727A05" w:rsidP="00F97CA1">
      <w:pPr>
        <w:pStyle w:val="Caption"/>
        <w:rPr>
          <w:rFonts w:eastAsia="Calibri"/>
        </w:rPr>
      </w:pPr>
      <w:bookmarkStart w:id="35" w:name="_Toc463528548"/>
      <w:bookmarkStart w:id="36" w:name="_Toc452707647"/>
      <w:bookmarkStart w:id="37" w:name="_Toc459133076"/>
      <w:bookmarkStart w:id="38" w:name="_Toc461803025"/>
      <w:bookmarkStart w:id="39" w:name="_Toc461787306"/>
      <w:bookmarkStart w:id="40" w:name="_Toc461795825"/>
      <w:bookmarkStart w:id="41" w:name="_Toc462149172"/>
      <w:r w:rsidRPr="002815F4">
        <w:lastRenderedPageBreak/>
        <w:t xml:space="preserve">Figure </w:t>
      </w:r>
      <w:r w:rsidR="0002611B">
        <w:fldChar w:fldCharType="begin"/>
      </w:r>
      <w:r w:rsidR="0002611B">
        <w:instrText xml:space="preserve"> SEQ Figure \* ARABIC </w:instrText>
      </w:r>
      <w:r w:rsidR="0002611B">
        <w:fldChar w:fldCharType="separate"/>
      </w:r>
      <w:r w:rsidR="0083320D" w:rsidRPr="002815F4">
        <w:rPr>
          <w:noProof/>
        </w:rPr>
        <w:t>1</w:t>
      </w:r>
      <w:r w:rsidR="0002611B">
        <w:rPr>
          <w:noProof/>
        </w:rPr>
        <w:fldChar w:fldCharType="end"/>
      </w:r>
      <w:r w:rsidRPr="002815F4">
        <w:rPr>
          <w:rFonts w:eastAsia="Calibri"/>
        </w:rPr>
        <w:t>– initial assessment card</w:t>
      </w:r>
    </w:p>
    <w:tbl>
      <w:tblPr>
        <w:tblW w:w="9067" w:type="dxa"/>
        <w:tblInd w:w="-15" w:type="dxa"/>
        <w:tblLayout w:type="fixed"/>
        <w:tblLook w:val="04A0" w:firstRow="1" w:lastRow="0" w:firstColumn="1" w:lastColumn="0" w:noHBand="0" w:noVBand="1"/>
      </w:tblPr>
      <w:tblGrid>
        <w:gridCol w:w="2127"/>
        <w:gridCol w:w="573"/>
        <w:gridCol w:w="940"/>
        <w:gridCol w:w="266"/>
        <w:gridCol w:w="2756"/>
        <w:gridCol w:w="491"/>
        <w:gridCol w:w="532"/>
        <w:gridCol w:w="491"/>
        <w:gridCol w:w="470"/>
        <w:gridCol w:w="421"/>
      </w:tblGrid>
      <w:tr w:rsidR="00535CA6" w:rsidRPr="00F67643" w14:paraId="48D1E557" w14:textId="77777777" w:rsidTr="00863985">
        <w:trPr>
          <w:trHeight w:val="142"/>
        </w:trPr>
        <w:tc>
          <w:tcPr>
            <w:tcW w:w="6662" w:type="dxa"/>
            <w:gridSpan w:val="5"/>
            <w:tcBorders>
              <w:top w:val="single" w:sz="12" w:space="0" w:color="auto"/>
              <w:left w:val="single" w:sz="12" w:space="0" w:color="auto"/>
              <w:bottom w:val="single" w:sz="4" w:space="0" w:color="auto"/>
              <w:right w:val="single" w:sz="4" w:space="0" w:color="auto"/>
            </w:tcBorders>
            <w:shd w:val="clear" w:color="000000" w:fill="366092"/>
            <w:noWrap/>
            <w:vAlign w:val="bottom"/>
          </w:tcPr>
          <w:p w14:paraId="4E7E0745" w14:textId="77777777" w:rsidR="00535CA6" w:rsidRPr="00884312" w:rsidRDefault="00535CA6" w:rsidP="00863985">
            <w:pPr>
              <w:widowControl/>
              <w:suppressAutoHyphens w:val="0"/>
              <w:spacing w:after="0" w:line="240" w:lineRule="auto"/>
              <w:rPr>
                <w:rFonts w:ascii="Calibri" w:hAnsi="Calibri" w:cs="Times New Roman"/>
                <w:b/>
                <w:bCs/>
                <w:color w:val="FFFFFF"/>
                <w:lang w:eastAsia="en-GB"/>
              </w:rPr>
            </w:pPr>
            <w:r w:rsidRPr="00884312">
              <w:rPr>
                <w:rFonts w:ascii="Calibri" w:hAnsi="Calibri" w:cs="Times New Roman"/>
                <w:b/>
                <w:bCs/>
                <w:color w:val="FFFFFF"/>
                <w:lang w:eastAsia="en-GB"/>
              </w:rPr>
              <w:t>EITI Requirements</w:t>
            </w:r>
          </w:p>
        </w:tc>
        <w:tc>
          <w:tcPr>
            <w:tcW w:w="2405" w:type="dxa"/>
            <w:gridSpan w:val="5"/>
            <w:tcBorders>
              <w:top w:val="single" w:sz="12" w:space="0" w:color="auto"/>
              <w:left w:val="single" w:sz="4" w:space="0" w:color="auto"/>
              <w:bottom w:val="single" w:sz="4" w:space="0" w:color="auto"/>
              <w:right w:val="single" w:sz="12" w:space="0" w:color="auto"/>
            </w:tcBorders>
            <w:shd w:val="clear" w:color="000000" w:fill="366092"/>
            <w:vAlign w:val="center"/>
          </w:tcPr>
          <w:p w14:paraId="53E9BBAE" w14:textId="77777777" w:rsidR="00535CA6" w:rsidRPr="00884312" w:rsidRDefault="00535CA6" w:rsidP="00863985">
            <w:pPr>
              <w:widowControl/>
              <w:suppressAutoHyphens w:val="0"/>
              <w:spacing w:after="0" w:line="240" w:lineRule="auto"/>
              <w:jc w:val="center"/>
              <w:rPr>
                <w:rFonts w:ascii="Calibri" w:hAnsi="Calibri" w:cs="Times New Roman"/>
                <w:b/>
                <w:bCs/>
                <w:color w:val="FFFFFF"/>
                <w:lang w:eastAsia="en-GB"/>
              </w:rPr>
            </w:pPr>
            <w:r w:rsidRPr="00884312">
              <w:rPr>
                <w:rFonts w:ascii="Calibri" w:hAnsi="Calibri" w:cs="Times New Roman"/>
                <w:b/>
                <w:bCs/>
                <w:color w:val="FFFFFF"/>
                <w:lang w:eastAsia="en-GB"/>
              </w:rPr>
              <w:t>LEVEL OF PROGRESS</w:t>
            </w:r>
          </w:p>
        </w:tc>
      </w:tr>
      <w:tr w:rsidR="00535CA6" w:rsidRPr="00F67643" w14:paraId="6B6FAEAA" w14:textId="77777777" w:rsidTr="00863985">
        <w:trPr>
          <w:trHeight w:val="1372"/>
        </w:trPr>
        <w:tc>
          <w:tcPr>
            <w:tcW w:w="2700" w:type="dxa"/>
            <w:gridSpan w:val="2"/>
            <w:tcBorders>
              <w:top w:val="single" w:sz="4" w:space="0" w:color="auto"/>
              <w:left w:val="single" w:sz="12" w:space="0" w:color="auto"/>
              <w:bottom w:val="nil"/>
              <w:right w:val="nil"/>
            </w:tcBorders>
            <w:shd w:val="clear" w:color="000000" w:fill="F2F2F2"/>
            <w:noWrap/>
            <w:vAlign w:val="bottom"/>
            <w:hideMark/>
          </w:tcPr>
          <w:p w14:paraId="3758205C"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940" w:type="dxa"/>
            <w:tcBorders>
              <w:top w:val="single" w:sz="4" w:space="0" w:color="auto"/>
              <w:left w:val="nil"/>
              <w:bottom w:val="nil"/>
              <w:right w:val="nil"/>
            </w:tcBorders>
            <w:shd w:val="clear" w:color="000000" w:fill="F2F2F2"/>
            <w:noWrap/>
            <w:vAlign w:val="bottom"/>
            <w:hideMark/>
          </w:tcPr>
          <w:p w14:paraId="4ADE3686"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266" w:type="dxa"/>
            <w:tcBorders>
              <w:top w:val="single" w:sz="4" w:space="0" w:color="auto"/>
              <w:left w:val="nil"/>
              <w:bottom w:val="nil"/>
              <w:right w:val="nil"/>
            </w:tcBorders>
            <w:shd w:val="clear" w:color="000000" w:fill="F2F2F2"/>
            <w:noWrap/>
            <w:vAlign w:val="bottom"/>
            <w:hideMark/>
          </w:tcPr>
          <w:p w14:paraId="49DE88FF"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2756" w:type="dxa"/>
            <w:tcBorders>
              <w:top w:val="single" w:sz="4" w:space="0" w:color="auto"/>
              <w:left w:val="nil"/>
              <w:bottom w:val="nil"/>
              <w:right w:val="single" w:sz="8" w:space="0" w:color="auto"/>
            </w:tcBorders>
            <w:shd w:val="clear" w:color="000000" w:fill="F2F2F2"/>
            <w:noWrap/>
            <w:vAlign w:val="center"/>
            <w:hideMark/>
          </w:tcPr>
          <w:p w14:paraId="793A8210" w14:textId="77777777" w:rsidR="00535CA6" w:rsidRPr="00884312" w:rsidRDefault="00535CA6" w:rsidP="00863985">
            <w:pPr>
              <w:widowControl/>
              <w:suppressAutoHyphens w:val="0"/>
              <w:spacing w:after="0" w:line="240" w:lineRule="auto"/>
              <w:rPr>
                <w:rFonts w:ascii="Calibri" w:hAnsi="Calibri" w:cs="Times New Roman"/>
                <w:b/>
                <w:bCs/>
                <w:color w:val="FFFFFF"/>
                <w:lang w:eastAsia="en-GB"/>
              </w:rPr>
            </w:pPr>
            <w:r w:rsidRPr="00884312">
              <w:rPr>
                <w:rFonts w:ascii="Calibri" w:hAnsi="Calibri" w:cs="Times New Roman"/>
                <w:b/>
                <w:bCs/>
                <w:color w:val="FFFFFF"/>
                <w:lang w:eastAsia="en-GB"/>
              </w:rPr>
              <w:t> </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549CA170" w14:textId="77777777" w:rsidR="00535CA6" w:rsidRPr="00884312" w:rsidRDefault="00535CA6" w:rsidP="00863985">
            <w:pPr>
              <w:widowControl/>
              <w:suppressAutoHyphens w:val="0"/>
              <w:spacing w:after="0" w:line="240" w:lineRule="auto"/>
              <w:rPr>
                <w:rFonts w:ascii="Calibri" w:hAnsi="Calibri" w:cs="Times New Roman"/>
                <w:bCs/>
                <w:color w:val="000000"/>
                <w:lang w:eastAsia="en-GB"/>
              </w:rPr>
            </w:pPr>
            <w:r>
              <w:rPr>
                <w:rFonts w:ascii="Calibri" w:hAnsi="Calibri" w:cs="Times New Roman"/>
                <w:bCs/>
                <w:color w:val="000000"/>
                <w:lang w:eastAsia="en-GB"/>
              </w:rPr>
              <w:t xml:space="preserve">  </w:t>
            </w:r>
            <w:r w:rsidRPr="00884312">
              <w:rPr>
                <w:rFonts w:ascii="Calibri" w:hAnsi="Calibri" w:cs="Times New Roman"/>
                <w:bCs/>
                <w:color w:val="000000"/>
                <w:lang w:eastAsia="en-GB"/>
              </w:rPr>
              <w:t>No</w:t>
            </w:r>
            <w:r>
              <w:rPr>
                <w:rFonts w:ascii="Calibri" w:hAnsi="Calibri" w:cs="Times New Roman"/>
                <w:bCs/>
                <w:color w:val="000000"/>
                <w:lang w:eastAsia="en-GB"/>
              </w:rPr>
              <w:t xml:space="preserve"> progress</w:t>
            </w:r>
          </w:p>
        </w:tc>
        <w:tc>
          <w:tcPr>
            <w:tcW w:w="532" w:type="dxa"/>
            <w:tcBorders>
              <w:top w:val="single" w:sz="4" w:space="0" w:color="auto"/>
              <w:left w:val="single" w:sz="4" w:space="0" w:color="000000" w:themeColor="text1"/>
              <w:right w:val="single" w:sz="12" w:space="0" w:color="auto"/>
            </w:tcBorders>
            <w:shd w:val="clear" w:color="000000" w:fill="F2F2F2"/>
            <w:textDirection w:val="btLr"/>
          </w:tcPr>
          <w:p w14:paraId="17EA28D2" w14:textId="77777777" w:rsidR="00535CA6" w:rsidRPr="00884312" w:rsidRDefault="00535CA6" w:rsidP="00863985">
            <w:pPr>
              <w:widowControl/>
              <w:suppressAutoHyphens w:val="0"/>
              <w:spacing w:after="0" w:line="240" w:lineRule="auto"/>
              <w:rPr>
                <w:rFonts w:ascii="Calibri" w:hAnsi="Calibri" w:cs="Times New Roman"/>
                <w:bCs/>
                <w:color w:val="000000"/>
                <w:lang w:eastAsia="en-GB"/>
              </w:rPr>
            </w:pPr>
            <w:r>
              <w:rPr>
                <w:rFonts w:ascii="Calibri" w:hAnsi="Calibri" w:cs="Times New Roman"/>
                <w:bCs/>
                <w:color w:val="000000"/>
                <w:lang w:eastAsia="en-GB"/>
              </w:rPr>
              <w:t xml:space="preserve">  </w:t>
            </w:r>
            <w:r w:rsidRPr="00884312">
              <w:rPr>
                <w:rFonts w:ascii="Calibri" w:hAnsi="Calibri" w:cs="Times New Roman"/>
                <w:bCs/>
                <w:color w:val="000000"/>
                <w:lang w:eastAsia="en-GB"/>
              </w:rPr>
              <w:t>Inadequate</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0D2CBFAF" w14:textId="77777777" w:rsidR="00535CA6" w:rsidRPr="00884312" w:rsidRDefault="00535CA6" w:rsidP="00863985">
            <w:pPr>
              <w:widowControl/>
              <w:suppressAutoHyphens w:val="0"/>
              <w:spacing w:after="0" w:line="240" w:lineRule="auto"/>
              <w:rPr>
                <w:rFonts w:ascii="Calibri" w:hAnsi="Calibri" w:cs="Times New Roman"/>
                <w:bCs/>
                <w:color w:val="000000"/>
                <w:lang w:eastAsia="en-GB"/>
              </w:rPr>
            </w:pPr>
            <w:r w:rsidRPr="00884312">
              <w:rPr>
                <w:rFonts w:ascii="Calibri" w:hAnsi="Calibri" w:cs="Times New Roman"/>
                <w:bCs/>
                <w:color w:val="000000"/>
                <w:lang w:eastAsia="en-GB"/>
              </w:rPr>
              <w:t xml:space="preserve"> </w:t>
            </w:r>
            <w:r>
              <w:rPr>
                <w:rFonts w:ascii="Calibri" w:hAnsi="Calibri" w:cs="Times New Roman"/>
                <w:bCs/>
                <w:color w:val="000000"/>
                <w:lang w:eastAsia="en-GB"/>
              </w:rPr>
              <w:t xml:space="preserve"> </w:t>
            </w:r>
            <w:r w:rsidRPr="00884312">
              <w:rPr>
                <w:rFonts w:ascii="Calibri" w:hAnsi="Calibri" w:cs="Times New Roman"/>
                <w:bCs/>
                <w:color w:val="000000"/>
                <w:lang w:eastAsia="en-GB"/>
              </w:rPr>
              <w:t>Meaningful</w:t>
            </w:r>
          </w:p>
        </w:tc>
        <w:tc>
          <w:tcPr>
            <w:tcW w:w="470" w:type="dxa"/>
            <w:tcBorders>
              <w:top w:val="single" w:sz="4" w:space="0" w:color="auto"/>
              <w:left w:val="single" w:sz="4" w:space="0" w:color="000000" w:themeColor="text1"/>
              <w:right w:val="single" w:sz="12" w:space="0" w:color="auto"/>
            </w:tcBorders>
            <w:shd w:val="clear" w:color="000000" w:fill="F2F2F2"/>
            <w:textDirection w:val="btLr"/>
          </w:tcPr>
          <w:p w14:paraId="08C24351" w14:textId="77777777" w:rsidR="00535CA6" w:rsidRPr="00884312" w:rsidRDefault="00535CA6" w:rsidP="00863985">
            <w:pPr>
              <w:widowControl/>
              <w:suppressAutoHyphens w:val="0"/>
              <w:spacing w:after="0" w:line="240" w:lineRule="auto"/>
              <w:rPr>
                <w:rFonts w:ascii="Calibri" w:hAnsi="Calibri" w:cs="Times New Roman"/>
                <w:bCs/>
                <w:color w:val="000000"/>
                <w:lang w:eastAsia="en-GB"/>
              </w:rPr>
            </w:pPr>
            <w:r w:rsidRPr="00884312">
              <w:rPr>
                <w:rFonts w:ascii="Calibri" w:hAnsi="Calibri" w:cs="Times New Roman"/>
                <w:bCs/>
                <w:color w:val="000000"/>
                <w:lang w:eastAsia="en-GB"/>
              </w:rPr>
              <w:t xml:space="preserve"> </w:t>
            </w:r>
            <w:r>
              <w:rPr>
                <w:rFonts w:ascii="Calibri" w:hAnsi="Calibri" w:cs="Times New Roman"/>
                <w:bCs/>
                <w:color w:val="000000"/>
                <w:lang w:eastAsia="en-GB"/>
              </w:rPr>
              <w:t xml:space="preserve"> </w:t>
            </w:r>
            <w:r w:rsidRPr="00884312">
              <w:rPr>
                <w:rFonts w:ascii="Calibri" w:hAnsi="Calibri" w:cs="Times New Roman"/>
                <w:bCs/>
                <w:color w:val="000000"/>
                <w:lang w:eastAsia="en-GB"/>
              </w:rPr>
              <w:t>Satisfactory</w:t>
            </w:r>
          </w:p>
        </w:tc>
        <w:tc>
          <w:tcPr>
            <w:tcW w:w="421" w:type="dxa"/>
            <w:tcBorders>
              <w:top w:val="single" w:sz="4" w:space="0" w:color="auto"/>
              <w:left w:val="single" w:sz="4" w:space="0" w:color="000000" w:themeColor="text1"/>
              <w:right w:val="single" w:sz="12" w:space="0" w:color="auto"/>
            </w:tcBorders>
            <w:shd w:val="clear" w:color="000000" w:fill="F2F2F2"/>
            <w:textDirection w:val="btLr"/>
            <w:vAlign w:val="center"/>
          </w:tcPr>
          <w:p w14:paraId="1F9D2A62" w14:textId="77777777" w:rsidR="00535CA6" w:rsidRPr="00884312" w:rsidRDefault="00535CA6" w:rsidP="00863985">
            <w:pPr>
              <w:widowControl/>
              <w:suppressAutoHyphens w:val="0"/>
              <w:spacing w:after="0" w:line="240" w:lineRule="auto"/>
              <w:rPr>
                <w:rFonts w:ascii="Calibri" w:hAnsi="Calibri" w:cs="Times New Roman"/>
                <w:bCs/>
                <w:color w:val="000000"/>
                <w:lang w:eastAsia="en-GB"/>
              </w:rPr>
            </w:pPr>
            <w:r>
              <w:rPr>
                <w:rFonts w:ascii="Calibri" w:hAnsi="Calibri" w:cs="Times New Roman"/>
                <w:bCs/>
                <w:color w:val="000000"/>
                <w:lang w:eastAsia="en-GB"/>
              </w:rPr>
              <w:t xml:space="preserve">  </w:t>
            </w:r>
            <w:r w:rsidRPr="00884312">
              <w:rPr>
                <w:rFonts w:ascii="Calibri" w:hAnsi="Calibri" w:cs="Times New Roman"/>
                <w:bCs/>
                <w:color w:val="000000"/>
                <w:lang w:eastAsia="en-GB"/>
              </w:rPr>
              <w:t>Beyond</w:t>
            </w:r>
          </w:p>
        </w:tc>
      </w:tr>
      <w:tr w:rsidR="00535CA6" w:rsidRPr="00F67643" w14:paraId="271ADC6F" w14:textId="77777777" w:rsidTr="00482C28">
        <w:trPr>
          <w:trHeight w:val="306"/>
        </w:trPr>
        <w:tc>
          <w:tcPr>
            <w:tcW w:w="2127" w:type="dxa"/>
            <w:tcBorders>
              <w:left w:val="single" w:sz="12" w:space="0" w:color="auto"/>
              <w:bottom w:val="single" w:sz="12" w:space="0" w:color="000000" w:themeColor="text1"/>
            </w:tcBorders>
            <w:shd w:val="clear" w:color="000000" w:fill="F2F2F2"/>
            <w:noWrap/>
            <w:vAlign w:val="bottom"/>
            <w:hideMark/>
          </w:tcPr>
          <w:p w14:paraId="368CB162"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Categories</w:t>
            </w:r>
          </w:p>
        </w:tc>
        <w:tc>
          <w:tcPr>
            <w:tcW w:w="4535" w:type="dxa"/>
            <w:gridSpan w:val="4"/>
            <w:tcBorders>
              <w:bottom w:val="single" w:sz="12" w:space="0" w:color="000000" w:themeColor="text1"/>
              <w:right w:val="single" w:sz="8" w:space="0" w:color="auto"/>
            </w:tcBorders>
            <w:shd w:val="clear" w:color="000000" w:fill="F2F2F2"/>
            <w:noWrap/>
            <w:vAlign w:val="center"/>
            <w:hideMark/>
          </w:tcPr>
          <w:p w14:paraId="4E7DDFBB"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Requirements</w:t>
            </w:r>
          </w:p>
        </w:tc>
        <w:tc>
          <w:tcPr>
            <w:tcW w:w="491" w:type="dxa"/>
            <w:tcBorders>
              <w:left w:val="single" w:sz="4" w:space="0" w:color="000000" w:themeColor="text1"/>
              <w:bottom w:val="single" w:sz="12" w:space="0" w:color="auto"/>
              <w:right w:val="single" w:sz="12" w:space="0" w:color="auto"/>
            </w:tcBorders>
            <w:shd w:val="clear" w:color="000000" w:fill="C00000"/>
          </w:tcPr>
          <w:p w14:paraId="4DFCEEB0" w14:textId="77777777" w:rsidR="00535CA6" w:rsidRPr="00884312" w:rsidRDefault="00535CA6" w:rsidP="00863985">
            <w:pPr>
              <w:widowControl/>
              <w:suppressAutoHyphens w:val="0"/>
              <w:spacing w:after="0" w:line="240" w:lineRule="auto"/>
              <w:rPr>
                <w:rFonts w:ascii="Calibri" w:hAnsi="Calibri" w:cs="Times New Roman"/>
                <w:b/>
                <w:bCs/>
                <w:color w:val="C00000"/>
                <w:lang w:eastAsia="en-GB"/>
              </w:rPr>
            </w:pPr>
          </w:p>
        </w:tc>
        <w:tc>
          <w:tcPr>
            <w:tcW w:w="532" w:type="dxa"/>
            <w:tcBorders>
              <w:left w:val="single" w:sz="4" w:space="0" w:color="000000" w:themeColor="text1"/>
              <w:bottom w:val="single" w:sz="12" w:space="0" w:color="auto"/>
              <w:right w:val="single" w:sz="12" w:space="0" w:color="auto"/>
            </w:tcBorders>
            <w:shd w:val="clear" w:color="000000" w:fill="FAC433"/>
          </w:tcPr>
          <w:p w14:paraId="7B5DA309" w14:textId="77777777" w:rsidR="00535CA6" w:rsidRPr="00884312" w:rsidRDefault="00535CA6" w:rsidP="00863985">
            <w:pPr>
              <w:widowControl/>
              <w:suppressAutoHyphens w:val="0"/>
              <w:spacing w:after="0" w:line="240" w:lineRule="auto"/>
              <w:rPr>
                <w:rFonts w:ascii="Calibri" w:hAnsi="Calibri" w:cs="Times New Roman"/>
                <w:b/>
                <w:bCs/>
                <w:color w:val="C00000"/>
                <w:lang w:eastAsia="en-GB"/>
              </w:rPr>
            </w:pPr>
          </w:p>
        </w:tc>
        <w:tc>
          <w:tcPr>
            <w:tcW w:w="491" w:type="dxa"/>
            <w:tcBorders>
              <w:left w:val="single" w:sz="4" w:space="0" w:color="000000" w:themeColor="text1"/>
              <w:bottom w:val="single" w:sz="12" w:space="0" w:color="auto"/>
              <w:right w:val="single" w:sz="12" w:space="0" w:color="auto"/>
            </w:tcBorders>
            <w:shd w:val="clear" w:color="000000" w:fill="84AE43"/>
            <w:vAlign w:val="bottom"/>
          </w:tcPr>
          <w:p w14:paraId="52448CF3"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r w:rsidRPr="00884312">
              <w:rPr>
                <w:rFonts w:ascii="Calibri" w:hAnsi="Calibri" w:cs="Times New Roman"/>
                <w:color w:val="000000"/>
                <w:lang w:eastAsia="en-GB"/>
              </w:rPr>
              <w:t> </w:t>
            </w:r>
          </w:p>
        </w:tc>
        <w:tc>
          <w:tcPr>
            <w:tcW w:w="470" w:type="dxa"/>
            <w:tcBorders>
              <w:left w:val="single" w:sz="4" w:space="0" w:color="000000" w:themeColor="text1"/>
              <w:bottom w:val="single" w:sz="12" w:space="0" w:color="auto"/>
              <w:right w:val="single" w:sz="12" w:space="0" w:color="auto"/>
            </w:tcBorders>
            <w:shd w:val="clear" w:color="000000" w:fill="2D8B2A"/>
            <w:vAlign w:val="bottom"/>
          </w:tcPr>
          <w:p w14:paraId="2AE029B5"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r w:rsidRPr="00884312">
              <w:rPr>
                <w:rFonts w:ascii="Calibri" w:hAnsi="Calibri" w:cs="Times New Roman"/>
                <w:color w:val="000000"/>
                <w:lang w:eastAsia="en-GB"/>
              </w:rPr>
              <w:t> </w:t>
            </w:r>
          </w:p>
        </w:tc>
        <w:tc>
          <w:tcPr>
            <w:tcW w:w="421" w:type="dxa"/>
            <w:tcBorders>
              <w:left w:val="single" w:sz="4" w:space="0" w:color="000000" w:themeColor="text1"/>
              <w:bottom w:val="single" w:sz="12" w:space="0" w:color="auto"/>
              <w:right w:val="single" w:sz="12" w:space="0" w:color="auto"/>
            </w:tcBorders>
            <w:shd w:val="clear" w:color="000000" w:fill="0076AF"/>
            <w:vAlign w:val="center"/>
          </w:tcPr>
          <w:p w14:paraId="74ACE004"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r w:rsidRPr="00884312">
              <w:rPr>
                <w:rFonts w:ascii="Calibri" w:hAnsi="Calibri" w:cs="Times New Roman"/>
                <w:color w:val="000000"/>
                <w:lang w:eastAsia="en-GB"/>
              </w:rPr>
              <w:t> </w:t>
            </w:r>
          </w:p>
        </w:tc>
      </w:tr>
      <w:tr w:rsidR="00535CA6" w:rsidRPr="00F67643" w14:paraId="1237EDBF" w14:textId="77777777" w:rsidTr="00482C28">
        <w:trPr>
          <w:trHeight w:val="53"/>
        </w:trPr>
        <w:tc>
          <w:tcPr>
            <w:tcW w:w="2127" w:type="dxa"/>
            <w:vMerge w:val="restart"/>
            <w:tcBorders>
              <w:top w:val="single" w:sz="12" w:space="0" w:color="000000" w:themeColor="text1"/>
              <w:left w:val="single" w:sz="12" w:space="0" w:color="auto"/>
              <w:bottom w:val="single" w:sz="8" w:space="0" w:color="000000"/>
              <w:right w:val="single" w:sz="2" w:space="0" w:color="A6A6A6" w:themeColor="background1" w:themeShade="A6"/>
            </w:tcBorders>
            <w:shd w:val="clear" w:color="000000" w:fill="BFBFBF"/>
            <w:noWrap/>
            <w:vAlign w:val="center"/>
            <w:hideMark/>
          </w:tcPr>
          <w:p w14:paraId="4C876637"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MSG oversight</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0169284C"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Government engagement (#1.1)</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3A3B96B2"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B10EF27"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3B36ADB"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45173C88"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277A19AE"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242CC364" w14:textId="77777777" w:rsidTr="00863985">
        <w:trPr>
          <w:trHeight w:val="281"/>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06A88172"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097AA9B7"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Industry engagement (#1.2)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1CD86E8"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4BD3951"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A4C9364"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16BF61A9"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47124D50"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2A6D6671" w14:textId="77777777" w:rsidTr="00863985">
        <w:trPr>
          <w:trHeight w:val="53"/>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6450982F"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02EB4082"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Civil society engagement (#1.3)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6167141"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6037CAA"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ED2837C"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6D0B2474"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5F827272"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09E20B01" w14:textId="77777777" w:rsidTr="00863985">
        <w:trPr>
          <w:trHeight w:val="258"/>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41FFCD86"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0D7C6AAB"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MSG governance (#1.4)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914E58E"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1B764B5"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39F51C9"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72118AA5"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2600DB19"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2FF161C2" w14:textId="77777777" w:rsidTr="00863985">
        <w:trPr>
          <w:trHeight w:val="53"/>
        </w:trPr>
        <w:tc>
          <w:tcPr>
            <w:tcW w:w="2127" w:type="dxa"/>
            <w:vMerge/>
            <w:tcBorders>
              <w:top w:val="single" w:sz="8" w:space="0" w:color="auto"/>
              <w:left w:val="single" w:sz="12" w:space="0" w:color="auto"/>
              <w:bottom w:val="single" w:sz="12" w:space="0" w:color="000000" w:themeColor="text1"/>
              <w:right w:val="single" w:sz="2" w:space="0" w:color="A6A6A6" w:themeColor="background1" w:themeShade="A6"/>
            </w:tcBorders>
            <w:vAlign w:val="center"/>
            <w:hideMark/>
          </w:tcPr>
          <w:p w14:paraId="3FCCCC54"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bottom"/>
            <w:hideMark/>
          </w:tcPr>
          <w:p w14:paraId="2EC77760"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Work</w:t>
            </w:r>
            <w:r>
              <w:rPr>
                <w:rFonts w:ascii="Calibri" w:hAnsi="Calibri" w:cs="Times New Roman"/>
                <w:color w:val="000000"/>
                <w:lang w:eastAsia="en-GB"/>
              </w:rPr>
              <w:t xml:space="preserve"> </w:t>
            </w:r>
            <w:r w:rsidRPr="00884312">
              <w:rPr>
                <w:rFonts w:ascii="Calibri" w:hAnsi="Calibri" w:cs="Times New Roman"/>
                <w:color w:val="000000"/>
                <w:lang w:eastAsia="en-GB"/>
              </w:rPr>
              <w:t>plan (#1.5)</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tcPr>
          <w:p w14:paraId="353B74F1"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45021DF0"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7D435899"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2D8B2A"/>
            <w:noWrap/>
            <w:vAlign w:val="bottom"/>
            <w:hideMark/>
          </w:tcPr>
          <w:p w14:paraId="1BAAF2AD"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auto"/>
            <w:noWrap/>
            <w:vAlign w:val="bottom"/>
            <w:hideMark/>
          </w:tcPr>
          <w:p w14:paraId="082C8B87"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068CEED0" w14:textId="77777777" w:rsidTr="00482C28">
        <w:trPr>
          <w:trHeight w:val="53"/>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5A400D4B"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Licenses and contracts</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664ACA77"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Legal framework (#2.1)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5E46175D"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1FB2659"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AFAFCD2"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69C1F1FB"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506D2763"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58587C7B" w14:textId="77777777" w:rsidTr="00482C28">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7B25FFA"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118DF6C"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License allocations</w:t>
            </w:r>
            <w:r>
              <w:rPr>
                <w:rFonts w:ascii="Calibri" w:hAnsi="Calibri" w:cs="Times New Roman"/>
                <w:color w:val="000000"/>
                <w:lang w:eastAsia="en-GB"/>
              </w:rPr>
              <w:t xml:space="preserve"> </w:t>
            </w:r>
            <w:r w:rsidRPr="002815F4">
              <w:rPr>
                <w:rFonts w:ascii="Calibri" w:hAnsi="Calibri" w:cs="Times New Roman"/>
                <w:color w:val="000000"/>
                <w:lang w:eastAsia="en-GB"/>
              </w:rPr>
              <w:t>(#2.2)</w:t>
            </w:r>
            <w:r>
              <w:rPr>
                <w:rFonts w:ascii="Calibri" w:hAnsi="Calibri" w:cs="Times New Roman"/>
                <w:color w:val="000000"/>
                <w:lang w:eastAsia="en-GB"/>
              </w:rPr>
              <w:t xml:space="preserve">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24017C2"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FDC7267"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71D95E2"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750BEF57"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65E9E08D"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14D9E352" w14:textId="77777777" w:rsidTr="00863985">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55AC4CCE"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E0B57AC"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License register (#2.3)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42F3D59"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3514D55"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1109318"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13E7B1B3"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3A98D96C"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09714C3A" w14:textId="77777777" w:rsidTr="00863985">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5F28786"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445E523"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Policy on contract disclosure (#2.4)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874582A"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267250A"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A04CC0C"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514B2E9"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0076AF"/>
            <w:noWrap/>
            <w:vAlign w:val="bottom"/>
            <w:hideMark/>
          </w:tcPr>
          <w:p w14:paraId="66208A94"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1026C92C" w14:textId="77777777" w:rsidTr="00863985">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5A85F53B"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601DC00F"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Beneficial ownership (#2.5)</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705DE14E"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5C994FB7"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00940C5B"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4AAAAF9D"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vAlign w:val="bottom"/>
            <w:hideMark/>
          </w:tcPr>
          <w:p w14:paraId="111FE87D"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0E75A823" w14:textId="77777777" w:rsidTr="00863985">
        <w:trPr>
          <w:trHeight w:val="26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3B005495"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16B9A96E"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State participation (#2.6)</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6BA59782"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4AB2390F"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84AE43"/>
            <w:noWrap/>
            <w:vAlign w:val="bottom"/>
            <w:hideMark/>
          </w:tcPr>
          <w:p w14:paraId="3243BE68"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6BEC59F8"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65447627"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2B071096" w14:textId="77777777" w:rsidTr="00863985">
        <w:trPr>
          <w:trHeight w:val="234"/>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52C004C1"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Monitoring production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2B83493D"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Exploration data (#3.1)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669D7CEE"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42CE9326"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09EFE6BC"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53736A2D"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0DBD1CD0"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061D92C2" w14:textId="77777777" w:rsidTr="00863985">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491406BC"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205335A3"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Production data (#3.2)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333D71CD"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5743992B"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4AE43"/>
            <w:noWrap/>
            <w:vAlign w:val="bottom"/>
            <w:hideMark/>
          </w:tcPr>
          <w:p w14:paraId="5757DC57"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60ACC7A6"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5F742789"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49416DF5" w14:textId="77777777" w:rsidTr="00863985">
        <w:trPr>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3793C3BD"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3AC90A65"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Export data (#3.3)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4DA08B46"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230BDA51"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18C31FC2"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2D8B2A"/>
            <w:noWrap/>
            <w:vAlign w:val="bottom"/>
            <w:hideMark/>
          </w:tcPr>
          <w:p w14:paraId="10A61026"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4DC63DE6"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66F1E18F" w14:textId="77777777" w:rsidTr="00863985">
        <w:trPr>
          <w:trHeight w:val="285"/>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6E241BD4"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Revenue collection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7A4C8D52"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Comprehensiveness (#4.1)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65D685FD"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71DF16D8"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167C57CE"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3B412CB6"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4E5D28C5"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699358CD" w14:textId="77777777" w:rsidTr="00863985">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8671C8A"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56BEC20F"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In-kind revenues (#4.2)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6F2790D0"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5BEB73D2"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72C72DA8"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5E2F7539"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bottom"/>
            <w:hideMark/>
          </w:tcPr>
          <w:p w14:paraId="5DB0FAD3"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6FA4610D" w14:textId="77777777" w:rsidTr="00863985">
        <w:trPr>
          <w:trHeight w:val="77"/>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54C29CBE"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90410EC"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Barter agreements (#4.3)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3C09F6CA"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654D810B"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695C5EC8"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17AD0C0E"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64B4300D"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094C42B0" w14:textId="77777777" w:rsidTr="00863985">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102C1302"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05E1DAC5"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Transportation revenues (#4.4)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44925D08"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3E07CEDA"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center"/>
            <w:hideMark/>
          </w:tcPr>
          <w:p w14:paraId="4C975DF5" w14:textId="77777777" w:rsidR="00535CA6" w:rsidRPr="00884312" w:rsidRDefault="00535CA6" w:rsidP="00863985">
            <w:pPr>
              <w:widowControl/>
              <w:suppressAutoHyphens w:val="0"/>
              <w:spacing w:after="0" w:line="240" w:lineRule="auto"/>
              <w:jc w:val="center"/>
              <w:rPr>
                <w:rFonts w:ascii="Calibri" w:hAnsi="Calibri" w:cs="Times New Roman"/>
                <w:color w:val="00B050"/>
                <w:lang w:eastAsia="en-GB"/>
              </w:rPr>
            </w:pPr>
            <w:r w:rsidRPr="00884312">
              <w:rPr>
                <w:rFonts w:ascii="Calibri" w:hAnsi="Calibri" w:cs="Times New Roman"/>
                <w:color w:val="00B05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center"/>
            <w:hideMark/>
          </w:tcPr>
          <w:p w14:paraId="65FC54E5" w14:textId="77777777" w:rsidR="00535CA6" w:rsidRPr="00884312" w:rsidRDefault="00535CA6" w:rsidP="00863985">
            <w:pPr>
              <w:widowControl/>
              <w:suppressAutoHyphens w:val="0"/>
              <w:spacing w:after="0" w:line="240" w:lineRule="auto"/>
              <w:jc w:val="center"/>
              <w:rPr>
                <w:rFonts w:ascii="Calibri" w:hAnsi="Calibri" w:cs="Times New Roman"/>
                <w:color w:val="00B050"/>
                <w:lang w:eastAsia="en-GB"/>
              </w:rPr>
            </w:pPr>
            <w:r w:rsidRPr="00884312">
              <w:rPr>
                <w:rFonts w:ascii="Calibri" w:hAnsi="Calibri" w:cs="Times New Roman"/>
                <w:color w:val="00B05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center"/>
            <w:hideMark/>
          </w:tcPr>
          <w:p w14:paraId="1C51CDAE" w14:textId="77777777" w:rsidR="00535CA6" w:rsidRPr="00884312" w:rsidRDefault="00535CA6" w:rsidP="00863985">
            <w:pPr>
              <w:widowControl/>
              <w:suppressAutoHyphens w:val="0"/>
              <w:spacing w:after="0" w:line="240" w:lineRule="auto"/>
              <w:jc w:val="center"/>
              <w:rPr>
                <w:rFonts w:ascii="Calibri" w:hAnsi="Calibri" w:cs="Times New Roman"/>
                <w:color w:val="00B050"/>
                <w:lang w:eastAsia="en-GB"/>
              </w:rPr>
            </w:pPr>
            <w:r w:rsidRPr="00884312">
              <w:rPr>
                <w:rFonts w:ascii="Calibri" w:hAnsi="Calibri" w:cs="Times New Roman"/>
                <w:color w:val="00B050"/>
                <w:lang w:eastAsia="en-GB"/>
              </w:rPr>
              <w:t> </w:t>
            </w:r>
          </w:p>
        </w:tc>
      </w:tr>
      <w:tr w:rsidR="00535CA6" w:rsidRPr="00F67643" w14:paraId="5F6F3A06" w14:textId="77777777" w:rsidTr="00863985">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4DA70F70"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D0809B1"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SOE transactions (#4.5)</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58688226"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3C55C425"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center"/>
            <w:hideMark/>
          </w:tcPr>
          <w:p w14:paraId="41529F33" w14:textId="77777777" w:rsidR="00535CA6" w:rsidRPr="00884312" w:rsidRDefault="00535CA6" w:rsidP="00863985">
            <w:pPr>
              <w:widowControl/>
              <w:suppressAutoHyphens w:val="0"/>
              <w:spacing w:after="0" w:line="240" w:lineRule="auto"/>
              <w:jc w:val="center"/>
              <w:rPr>
                <w:rFonts w:ascii="Calibri" w:hAnsi="Calibri" w:cs="Times New Roman"/>
                <w:color w:val="00B050"/>
                <w:lang w:eastAsia="en-GB"/>
              </w:rPr>
            </w:pPr>
            <w:r w:rsidRPr="00884312">
              <w:rPr>
                <w:rFonts w:ascii="Calibri" w:hAnsi="Calibri" w:cs="Times New Roman"/>
                <w:color w:val="00B05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19B2469D"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674BBBC4"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54A6AAD2" w14:textId="77777777" w:rsidTr="00863985">
        <w:trPr>
          <w:trHeight w:val="281"/>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4911E0A1"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DE36245"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Direct subnational payments (#4.6)</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273DCC7B"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08DA553E"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3B04D4BC"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43620664"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bottom"/>
            <w:hideMark/>
          </w:tcPr>
          <w:p w14:paraId="229BF8DB"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713949E2" w14:textId="77777777" w:rsidTr="00863985">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18F41C26"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67E899D2"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Disaggregation (#4.7)</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6161FA15"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06C3EDF2"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58C0920"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0846CA8C"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1ED51FFF"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14A7CE57" w14:textId="77777777" w:rsidTr="00863985">
        <w:trPr>
          <w:trHeight w:val="56"/>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3DD4518C"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54937D0"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Data timeliness (#4.8)</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34EED2C5"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4918AFD9"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531F0155"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6782EA20"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245CBC12"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42446885" w14:textId="77777777" w:rsidTr="00863985">
        <w:trPr>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04A3A43E"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14E0A0B0"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Data quality (#4.9)</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08814254"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61DA4171"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0D0D7D59"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2D8B2A"/>
            <w:noWrap/>
            <w:vAlign w:val="bottom"/>
            <w:hideMark/>
          </w:tcPr>
          <w:p w14:paraId="598E6505"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46C658AB"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5698E48C" w14:textId="77777777" w:rsidTr="00863985">
        <w:trPr>
          <w:trHeight w:val="300"/>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vAlign w:val="center"/>
            <w:hideMark/>
          </w:tcPr>
          <w:p w14:paraId="556A8C55"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Revenue allocation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739686CC"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Distribution of revenues (#5.1)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70BE2BDB"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AA55231"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34EEF5A"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2D8B2A"/>
            <w:noWrap/>
            <w:vAlign w:val="bottom"/>
            <w:hideMark/>
          </w:tcPr>
          <w:p w14:paraId="46412976"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4CE05E92"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02DC2DAC" w14:textId="77777777" w:rsidTr="00863985">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4284C313"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7A3C7F2C"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Subnational transfers (#5.2)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tcPr>
          <w:p w14:paraId="7DE7C1ED"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3F07A68C"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238D0FAB"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759EDF8C"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auto"/>
            <w:noWrap/>
            <w:vAlign w:val="bottom"/>
            <w:hideMark/>
          </w:tcPr>
          <w:p w14:paraId="6AF2E230"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4EFA7081" w14:textId="77777777" w:rsidTr="00863985">
        <w:trPr>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53D0D80E"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vAlign w:val="center"/>
            <w:hideMark/>
          </w:tcPr>
          <w:p w14:paraId="0DFD7040"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Revenue management and expenditures (#5.3)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tcPr>
          <w:p w14:paraId="4EC80597"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6A8B507D"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7D9BB50E"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597DDEA2"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000000" w:fill="D9D9D9"/>
            <w:noWrap/>
            <w:vAlign w:val="bottom"/>
            <w:hideMark/>
          </w:tcPr>
          <w:p w14:paraId="4CD2D321"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1FB08DD6" w14:textId="77777777" w:rsidTr="00863985">
        <w:trPr>
          <w:trHeight w:val="276"/>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vAlign w:val="center"/>
            <w:hideMark/>
          </w:tcPr>
          <w:p w14:paraId="78BAE4B2"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Socio-economic contribution</w:t>
            </w:r>
          </w:p>
        </w:tc>
        <w:tc>
          <w:tcPr>
            <w:tcW w:w="4535" w:type="dxa"/>
            <w:gridSpan w:val="4"/>
            <w:tcBorders>
              <w:top w:val="single" w:sz="12" w:space="0" w:color="000000" w:themeColor="text1"/>
              <w:left w:val="single" w:sz="2" w:space="0" w:color="A6A6A6" w:themeColor="background1" w:themeShade="A6"/>
              <w:right w:val="single" w:sz="2" w:space="0" w:color="A6A6A6" w:themeColor="background1" w:themeShade="A6"/>
            </w:tcBorders>
            <w:shd w:val="clear" w:color="000000" w:fill="FFFFFF"/>
            <w:vAlign w:val="center"/>
            <w:hideMark/>
          </w:tcPr>
          <w:p w14:paraId="34E466B8" w14:textId="06D503F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Manda</w:t>
            </w:r>
            <w:r>
              <w:rPr>
                <w:rFonts w:ascii="Calibri" w:hAnsi="Calibri" w:cs="Times New Roman"/>
                <w:color w:val="000000"/>
                <w:lang w:eastAsia="en-GB"/>
              </w:rPr>
              <w:t>tory social expenditures (#6.1</w:t>
            </w:r>
            <w:r w:rsidRPr="00884312">
              <w:rPr>
                <w:rFonts w:ascii="Calibri" w:hAnsi="Calibri" w:cs="Times New Roman"/>
                <w:color w:val="000000"/>
                <w:lang w:eastAsia="en-GB"/>
              </w:rPr>
              <w:t>)</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3945639B"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60B0514" w14:textId="77777777" w:rsidR="00535CA6" w:rsidRPr="00884312" w:rsidRDefault="00535CA6" w:rsidP="00863985">
            <w:pPr>
              <w:spacing w:after="0"/>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auto"/>
            <w:noWrap/>
            <w:vAlign w:val="bottom"/>
            <w:hideMark/>
          </w:tcPr>
          <w:p w14:paraId="5FCEACF3" w14:textId="77777777" w:rsidR="00535CA6" w:rsidRPr="00884312" w:rsidRDefault="00535CA6" w:rsidP="00863985">
            <w:pPr>
              <w:spacing w:after="0"/>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6CDDA92"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0076AF"/>
            <w:noWrap/>
            <w:vAlign w:val="bottom"/>
            <w:hideMark/>
          </w:tcPr>
          <w:p w14:paraId="7246C2EA"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r>
      <w:tr w:rsidR="00535CA6" w:rsidRPr="00F67643" w14:paraId="2C20A63B" w14:textId="77777777" w:rsidTr="00863985">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533E03E9"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0D28F231"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SOE quasi-fiscal expenditures (#6.2)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tcPr>
          <w:p w14:paraId="76DFEE88"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07CEC21C"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21F95276"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74DD4BBC"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auto"/>
            <w:noWrap/>
            <w:vAlign w:val="bottom"/>
            <w:hideMark/>
          </w:tcPr>
          <w:p w14:paraId="68AF6773"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775EE3A7" w14:textId="77777777" w:rsidTr="00863985">
        <w:trPr>
          <w:trHeight w:val="300"/>
        </w:trPr>
        <w:tc>
          <w:tcPr>
            <w:tcW w:w="2127" w:type="dxa"/>
            <w:vMerge/>
            <w:tcBorders>
              <w:top w:val="single" w:sz="2" w:space="0" w:color="A6A6A6" w:themeColor="background1" w:themeShade="A6"/>
              <w:left w:val="single" w:sz="12" w:space="0" w:color="auto"/>
              <w:bottom w:val="single" w:sz="12" w:space="0" w:color="auto"/>
              <w:right w:val="single" w:sz="2" w:space="0" w:color="A6A6A6" w:themeColor="background1" w:themeShade="A6"/>
            </w:tcBorders>
            <w:vAlign w:val="center"/>
            <w:hideMark/>
          </w:tcPr>
          <w:p w14:paraId="7B95FE25"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000000" w:fill="FFFFFF"/>
            <w:vAlign w:val="center"/>
            <w:hideMark/>
          </w:tcPr>
          <w:p w14:paraId="4443D40B"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Economic contribution (#6.3)</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792A748C"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6CC614CB"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0618AC5B"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2D8B2A"/>
            <w:noWrap/>
            <w:vAlign w:val="bottom"/>
            <w:hideMark/>
          </w:tcPr>
          <w:p w14:paraId="7B98D53A"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14:paraId="31391EC9"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389D8B9E" w14:textId="77777777" w:rsidTr="00863985">
        <w:trPr>
          <w:trHeight w:val="300"/>
        </w:trPr>
        <w:tc>
          <w:tcPr>
            <w:tcW w:w="2127" w:type="dxa"/>
            <w:vMerge w:val="restart"/>
            <w:tcBorders>
              <w:top w:val="single" w:sz="12" w:space="0" w:color="auto"/>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0E506752"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Outcomes and impact</w:t>
            </w:r>
          </w:p>
        </w:tc>
        <w:tc>
          <w:tcPr>
            <w:tcW w:w="4535" w:type="dxa"/>
            <w:gridSpan w:val="4"/>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D986CC3"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Public debate (#7.1)</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tcPr>
          <w:p w14:paraId="1B91429E"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EB56FB5"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18B3119"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3E7445A"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0076AF"/>
            <w:noWrap/>
            <w:vAlign w:val="bottom"/>
            <w:hideMark/>
          </w:tcPr>
          <w:p w14:paraId="6A361A58"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0EF3BB40" w14:textId="77777777" w:rsidTr="00863985">
        <w:trPr>
          <w:trHeight w:val="282"/>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F020A96"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C5CDC54"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Data accessibility (#7.2)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717D796D"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75A82E8D"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500EBD0D"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60776FDE"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vAlign w:val="bottom"/>
            <w:hideMark/>
          </w:tcPr>
          <w:p w14:paraId="610B70D0"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535CA6" w:rsidRPr="00F67643" w14:paraId="564A48F3" w14:textId="77777777" w:rsidTr="00863985">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37633801"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bookmarkStart w:id="42" w:name="_Hlk501613451"/>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4684937"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Follow up on recommendations (#7.3)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5FCDAE6D"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70A977B7"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3062ABCE"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5465CF48"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0076AF"/>
            <w:noWrap/>
            <w:vAlign w:val="bottom"/>
            <w:hideMark/>
          </w:tcPr>
          <w:p w14:paraId="60CDE801"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bookmarkEnd w:id="42"/>
      <w:tr w:rsidR="00535CA6" w:rsidRPr="00F67643" w14:paraId="01C94A04" w14:textId="77777777" w:rsidTr="00863985">
        <w:trPr>
          <w:trHeight w:val="300"/>
        </w:trPr>
        <w:tc>
          <w:tcPr>
            <w:tcW w:w="2127" w:type="dxa"/>
            <w:vMerge/>
            <w:tcBorders>
              <w:top w:val="single" w:sz="2" w:space="0" w:color="A6A6A6" w:themeColor="background1" w:themeShade="A6"/>
              <w:left w:val="single" w:sz="12" w:space="0" w:color="auto"/>
              <w:bottom w:val="single" w:sz="12" w:space="0" w:color="auto"/>
              <w:right w:val="single" w:sz="2" w:space="0" w:color="A6A6A6" w:themeColor="background1" w:themeShade="A6"/>
            </w:tcBorders>
            <w:vAlign w:val="center"/>
            <w:hideMark/>
          </w:tcPr>
          <w:p w14:paraId="7ADD8344" w14:textId="77777777" w:rsidR="00535CA6" w:rsidRPr="00884312" w:rsidRDefault="00535CA6" w:rsidP="00863985">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1F01C49C"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Outcomes and impact of implementation (#7.4)</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21E066B8"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38D176B6"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56C40419"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000000" w:fill="2D8B2A"/>
            <w:noWrap/>
            <w:vAlign w:val="bottom"/>
            <w:hideMark/>
          </w:tcPr>
          <w:p w14:paraId="38DE2712"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14:paraId="3D8DBE46" w14:textId="77777777" w:rsidR="00535CA6" w:rsidRPr="00884312" w:rsidRDefault="00535CA6" w:rsidP="00863985">
            <w:pPr>
              <w:widowControl/>
              <w:suppressAutoHyphens w:val="0"/>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bl>
    <w:p w14:paraId="3110E0CE" w14:textId="3A24A923" w:rsidR="00903C5C" w:rsidRDefault="00903C5C" w:rsidP="00535CA6">
      <w:pPr>
        <w:rPr>
          <w:rFonts w:ascii="Calibri" w:hAnsi="Calibri"/>
        </w:rPr>
      </w:pPr>
    </w:p>
    <w:p w14:paraId="1FD7F026" w14:textId="77777777" w:rsidR="00535CA6" w:rsidRPr="002815F4" w:rsidRDefault="00535CA6" w:rsidP="00535CA6">
      <w:pPr>
        <w:rPr>
          <w:rFonts w:ascii="Calibri" w:hAnsi="Calibri"/>
        </w:rPr>
      </w:pPr>
    </w:p>
    <w:tbl>
      <w:tblPr>
        <w:tblW w:w="9493" w:type="dxa"/>
        <w:tblLayout w:type="fixed"/>
        <w:tblLook w:val="04A0" w:firstRow="1" w:lastRow="0" w:firstColumn="1" w:lastColumn="0" w:noHBand="0" w:noVBand="1"/>
      </w:tblPr>
      <w:tblGrid>
        <w:gridCol w:w="1050"/>
        <w:gridCol w:w="8443"/>
      </w:tblGrid>
      <w:tr w:rsidR="00727A05" w:rsidRPr="002815F4" w14:paraId="7B0C6C4D" w14:textId="77777777" w:rsidTr="00E03D03">
        <w:trPr>
          <w:trHeight w:val="380"/>
        </w:trPr>
        <w:tc>
          <w:tcPr>
            <w:tcW w:w="9493" w:type="dxa"/>
            <w:gridSpan w:val="2"/>
            <w:tcBorders>
              <w:top w:val="nil"/>
              <w:left w:val="nil"/>
              <w:bottom w:val="nil"/>
              <w:right w:val="nil"/>
            </w:tcBorders>
            <w:shd w:val="clear" w:color="auto" w:fill="auto"/>
            <w:noWrap/>
            <w:vAlign w:val="bottom"/>
            <w:hideMark/>
          </w:tcPr>
          <w:p w14:paraId="509EE6E3" w14:textId="77777777" w:rsidR="00727A05" w:rsidRPr="002815F4" w:rsidRDefault="00727A05" w:rsidP="00183360">
            <w:pPr>
              <w:widowControl/>
              <w:suppressAutoHyphens w:val="0"/>
              <w:spacing w:after="0" w:line="240" w:lineRule="auto"/>
              <w:rPr>
                <w:rFonts w:ascii="Calibri" w:hAnsi="Calibri" w:cs="Times New Roman"/>
                <w:bCs/>
                <w:i/>
                <w:color w:val="000000"/>
                <w:sz w:val="28"/>
                <w:szCs w:val="28"/>
              </w:rPr>
            </w:pPr>
            <w:r w:rsidRPr="002815F4">
              <w:rPr>
                <w:rFonts w:ascii="Calibri" w:hAnsi="Calibri" w:cs="Times New Roman"/>
                <w:bCs/>
                <w:i/>
                <w:color w:val="000000"/>
              </w:rPr>
              <w:t>Legend to the assessment card</w:t>
            </w:r>
          </w:p>
        </w:tc>
      </w:tr>
      <w:tr w:rsidR="00727A05" w:rsidRPr="002815F4" w14:paraId="5E5808DD" w14:textId="77777777" w:rsidTr="00E03D03">
        <w:trPr>
          <w:trHeight w:val="160"/>
        </w:trPr>
        <w:tc>
          <w:tcPr>
            <w:tcW w:w="1050" w:type="dxa"/>
            <w:tcBorders>
              <w:top w:val="nil"/>
              <w:left w:val="nil"/>
              <w:bottom w:val="nil"/>
              <w:right w:val="nil"/>
            </w:tcBorders>
            <w:shd w:val="clear" w:color="auto" w:fill="auto"/>
            <w:noWrap/>
            <w:vAlign w:val="bottom"/>
            <w:hideMark/>
          </w:tcPr>
          <w:p w14:paraId="26A3BE02" w14:textId="77777777" w:rsidR="00727A05" w:rsidRPr="002815F4" w:rsidRDefault="00727A05" w:rsidP="00183360">
            <w:pPr>
              <w:widowControl/>
              <w:suppressAutoHyphens w:val="0"/>
              <w:spacing w:after="0" w:line="240" w:lineRule="auto"/>
              <w:rPr>
                <w:rFonts w:ascii="Calibri" w:hAnsi="Calibri" w:cs="Times New Roman"/>
                <w:sz w:val="20"/>
                <w:szCs w:val="20"/>
              </w:rPr>
            </w:pPr>
          </w:p>
        </w:tc>
        <w:tc>
          <w:tcPr>
            <w:tcW w:w="8443" w:type="dxa"/>
            <w:tcBorders>
              <w:top w:val="nil"/>
              <w:left w:val="nil"/>
              <w:bottom w:val="nil"/>
              <w:right w:val="nil"/>
            </w:tcBorders>
            <w:shd w:val="clear" w:color="auto" w:fill="auto"/>
            <w:noWrap/>
            <w:vAlign w:val="bottom"/>
            <w:hideMark/>
          </w:tcPr>
          <w:p w14:paraId="72BD2C43" w14:textId="77777777" w:rsidR="00727A05" w:rsidRPr="002815F4" w:rsidRDefault="00727A05" w:rsidP="00183360">
            <w:pPr>
              <w:widowControl/>
              <w:suppressAutoHyphens w:val="0"/>
              <w:spacing w:after="0" w:line="240" w:lineRule="auto"/>
              <w:rPr>
                <w:rFonts w:ascii="Calibri" w:hAnsi="Calibri" w:cs="Times New Roman"/>
                <w:sz w:val="20"/>
                <w:szCs w:val="20"/>
              </w:rPr>
            </w:pPr>
          </w:p>
        </w:tc>
      </w:tr>
      <w:tr w:rsidR="00727A05" w:rsidRPr="002815F4" w14:paraId="1E5D7E89" w14:textId="77777777" w:rsidTr="00E03D03">
        <w:trPr>
          <w:trHeight w:val="600"/>
        </w:trPr>
        <w:tc>
          <w:tcPr>
            <w:tcW w:w="1050" w:type="dxa"/>
            <w:tcBorders>
              <w:top w:val="nil"/>
              <w:left w:val="nil"/>
              <w:bottom w:val="nil"/>
              <w:right w:val="nil"/>
            </w:tcBorders>
            <w:shd w:val="clear" w:color="000000" w:fill="C00000"/>
            <w:noWrap/>
            <w:vAlign w:val="bottom"/>
            <w:hideMark/>
          </w:tcPr>
          <w:p w14:paraId="7258F04E" w14:textId="77777777" w:rsidR="00727A05" w:rsidRPr="002815F4" w:rsidRDefault="00727A05" w:rsidP="00183360">
            <w:pPr>
              <w:widowControl/>
              <w:suppressAutoHyphens w:val="0"/>
              <w:spacing w:after="0" w:line="240" w:lineRule="auto"/>
              <w:rPr>
                <w:rFonts w:ascii="Calibri" w:hAnsi="Calibri" w:cs="Times New Roman"/>
                <w:color w:val="000000"/>
              </w:rPr>
            </w:pPr>
            <w:r w:rsidRPr="002815F4">
              <w:rPr>
                <w:rFonts w:ascii="Calibri" w:hAnsi="Calibri" w:cs="Times New Roman"/>
                <w:color w:val="000000"/>
              </w:rPr>
              <w:t> </w:t>
            </w:r>
          </w:p>
        </w:tc>
        <w:tc>
          <w:tcPr>
            <w:tcW w:w="8443" w:type="dxa"/>
            <w:tcBorders>
              <w:top w:val="nil"/>
              <w:left w:val="nil"/>
              <w:bottom w:val="single" w:sz="4" w:space="0" w:color="A6A6A6"/>
              <w:right w:val="nil"/>
            </w:tcBorders>
            <w:shd w:val="clear" w:color="auto" w:fill="auto"/>
            <w:hideMark/>
          </w:tcPr>
          <w:p w14:paraId="5907E15C" w14:textId="060F0EA3" w:rsidR="00727A05" w:rsidRPr="002815F4" w:rsidRDefault="00CF1CB5" w:rsidP="00183360">
            <w:pPr>
              <w:widowControl/>
              <w:suppressAutoHyphens w:val="0"/>
              <w:spacing w:after="0" w:line="240" w:lineRule="auto"/>
              <w:rPr>
                <w:rFonts w:ascii="Calibri" w:hAnsi="Calibri" w:cs="Times New Roman"/>
                <w:color w:val="000000"/>
                <w:sz w:val="21"/>
              </w:rPr>
            </w:pPr>
            <w:r w:rsidRPr="002815F4">
              <w:rPr>
                <w:rFonts w:ascii="Calibri" w:hAnsi="Calibri" w:cs="Times New Roman"/>
                <w:b/>
                <w:color w:val="000000"/>
                <w:sz w:val="21"/>
              </w:rPr>
              <w:t xml:space="preserve">No progress. </w:t>
            </w:r>
            <w:r w:rsidR="00727A05" w:rsidRPr="002815F4">
              <w:rPr>
                <w:rFonts w:ascii="Calibri" w:hAnsi="Calibri" w:cs="Times New Roman"/>
                <w:color w:val="000000"/>
                <w:sz w:val="21"/>
              </w:rPr>
              <w:t>The country has made no progress in addressing the requirement.  The broader objective of the requirement is in no way fulfilled.</w:t>
            </w:r>
          </w:p>
        </w:tc>
      </w:tr>
      <w:tr w:rsidR="00727A05" w:rsidRPr="002815F4" w14:paraId="10DC06D4" w14:textId="77777777" w:rsidTr="00E03D03">
        <w:trPr>
          <w:trHeight w:val="600"/>
        </w:trPr>
        <w:tc>
          <w:tcPr>
            <w:tcW w:w="1050" w:type="dxa"/>
            <w:tcBorders>
              <w:top w:val="nil"/>
              <w:left w:val="nil"/>
              <w:bottom w:val="nil"/>
              <w:right w:val="nil"/>
            </w:tcBorders>
            <w:shd w:val="clear" w:color="000000" w:fill="FAC433"/>
            <w:noWrap/>
            <w:vAlign w:val="bottom"/>
            <w:hideMark/>
          </w:tcPr>
          <w:p w14:paraId="03CC07C5" w14:textId="77777777" w:rsidR="00727A05" w:rsidRPr="002815F4" w:rsidRDefault="00727A05" w:rsidP="00183360">
            <w:pPr>
              <w:widowControl/>
              <w:suppressAutoHyphens w:val="0"/>
              <w:spacing w:after="0" w:line="240" w:lineRule="auto"/>
              <w:rPr>
                <w:rFonts w:ascii="Calibri" w:hAnsi="Calibri" w:cs="Times New Roman"/>
                <w:color w:val="000000"/>
              </w:rPr>
            </w:pPr>
            <w:r w:rsidRPr="002815F4">
              <w:rPr>
                <w:rFonts w:ascii="Calibri" w:hAnsi="Calibri" w:cs="Times New Roman"/>
                <w:color w:val="000000"/>
              </w:rPr>
              <w:t> </w:t>
            </w:r>
          </w:p>
        </w:tc>
        <w:tc>
          <w:tcPr>
            <w:tcW w:w="8443" w:type="dxa"/>
            <w:tcBorders>
              <w:top w:val="nil"/>
              <w:left w:val="nil"/>
              <w:bottom w:val="single" w:sz="4" w:space="0" w:color="A6A6A6"/>
              <w:right w:val="nil"/>
            </w:tcBorders>
            <w:shd w:val="clear" w:color="auto" w:fill="auto"/>
            <w:hideMark/>
          </w:tcPr>
          <w:p w14:paraId="4552B44F" w14:textId="6644DDF1" w:rsidR="00727A05" w:rsidRPr="002815F4" w:rsidRDefault="00CF1CB5" w:rsidP="00183360">
            <w:pPr>
              <w:widowControl/>
              <w:suppressAutoHyphens w:val="0"/>
              <w:spacing w:after="0" w:line="240" w:lineRule="auto"/>
              <w:rPr>
                <w:rFonts w:ascii="Calibri" w:hAnsi="Calibri" w:cs="Times New Roman"/>
                <w:color w:val="000000"/>
                <w:sz w:val="21"/>
              </w:rPr>
            </w:pPr>
            <w:r w:rsidRPr="002815F4">
              <w:rPr>
                <w:rFonts w:ascii="Calibri" w:hAnsi="Calibri" w:cs="Times New Roman"/>
                <w:b/>
                <w:color w:val="000000"/>
                <w:sz w:val="21"/>
              </w:rPr>
              <w:t xml:space="preserve">Inadequate progress. </w:t>
            </w:r>
            <w:r w:rsidR="00727A05" w:rsidRPr="002815F4">
              <w:rPr>
                <w:rFonts w:ascii="Calibri" w:hAnsi="Calibri" w:cs="Times New Roman"/>
                <w:color w:val="000000"/>
                <w:sz w:val="21"/>
              </w:rPr>
              <w:t>The country has made inadequate progress in meeting the requirement. Significant elements of the requirement are outstanding and the broader objective of the requirement is far from being fulfilled.</w:t>
            </w:r>
          </w:p>
        </w:tc>
      </w:tr>
      <w:tr w:rsidR="00727A05" w:rsidRPr="002815F4" w14:paraId="24B61D31" w14:textId="77777777" w:rsidTr="00E03D03">
        <w:trPr>
          <w:trHeight w:val="612"/>
        </w:trPr>
        <w:tc>
          <w:tcPr>
            <w:tcW w:w="1050" w:type="dxa"/>
            <w:tcBorders>
              <w:top w:val="nil"/>
              <w:left w:val="nil"/>
              <w:bottom w:val="nil"/>
              <w:right w:val="nil"/>
            </w:tcBorders>
            <w:shd w:val="clear" w:color="000000" w:fill="84AE42"/>
            <w:noWrap/>
            <w:vAlign w:val="bottom"/>
            <w:hideMark/>
          </w:tcPr>
          <w:p w14:paraId="63FEBB78" w14:textId="77777777" w:rsidR="00727A05" w:rsidRPr="002815F4" w:rsidRDefault="00727A05" w:rsidP="00183360">
            <w:pPr>
              <w:widowControl/>
              <w:suppressAutoHyphens w:val="0"/>
              <w:spacing w:after="0" w:line="240" w:lineRule="auto"/>
              <w:rPr>
                <w:rFonts w:ascii="Calibri" w:hAnsi="Calibri" w:cs="Times New Roman"/>
                <w:color w:val="000000"/>
              </w:rPr>
            </w:pPr>
            <w:r w:rsidRPr="002815F4">
              <w:rPr>
                <w:rFonts w:ascii="Calibri" w:hAnsi="Calibri" w:cs="Times New Roman"/>
                <w:color w:val="000000"/>
              </w:rPr>
              <w:t> </w:t>
            </w:r>
          </w:p>
        </w:tc>
        <w:tc>
          <w:tcPr>
            <w:tcW w:w="8443" w:type="dxa"/>
            <w:tcBorders>
              <w:top w:val="nil"/>
              <w:left w:val="nil"/>
              <w:bottom w:val="single" w:sz="4" w:space="0" w:color="A6A6A6"/>
              <w:right w:val="nil"/>
            </w:tcBorders>
            <w:shd w:val="clear" w:color="auto" w:fill="auto"/>
            <w:hideMark/>
          </w:tcPr>
          <w:p w14:paraId="3E6ADD3C" w14:textId="2EDF47B1" w:rsidR="00727A05" w:rsidRPr="002815F4" w:rsidRDefault="00CF1CB5" w:rsidP="00183360">
            <w:pPr>
              <w:widowControl/>
              <w:suppressAutoHyphens w:val="0"/>
              <w:spacing w:after="0" w:line="240" w:lineRule="auto"/>
              <w:rPr>
                <w:rFonts w:ascii="Calibri" w:hAnsi="Calibri" w:cs="Times New Roman"/>
                <w:color w:val="000000"/>
                <w:sz w:val="21"/>
              </w:rPr>
            </w:pPr>
            <w:r w:rsidRPr="002815F4">
              <w:rPr>
                <w:rFonts w:ascii="Calibri" w:hAnsi="Calibri" w:cs="Times New Roman"/>
                <w:b/>
                <w:color w:val="000000"/>
                <w:sz w:val="21"/>
              </w:rPr>
              <w:t xml:space="preserve">Meaningful progress. </w:t>
            </w:r>
            <w:r w:rsidR="00727A05" w:rsidRPr="002815F4">
              <w:rPr>
                <w:rFonts w:ascii="Calibri" w:hAnsi="Calibri" w:cs="Times New Roman"/>
                <w:color w:val="000000"/>
                <w:sz w:val="21"/>
              </w:rPr>
              <w:t xml:space="preserve">The country has made progress in meeting the requirement. Significant elements of the requirement are being implemented and the broader objective of the requirement is being fulfilled. </w:t>
            </w:r>
          </w:p>
        </w:tc>
      </w:tr>
      <w:tr w:rsidR="00727A05" w:rsidRPr="002815F4" w14:paraId="49DDCD88" w14:textId="77777777" w:rsidTr="00E03D03">
        <w:trPr>
          <w:trHeight w:val="580"/>
        </w:trPr>
        <w:tc>
          <w:tcPr>
            <w:tcW w:w="1050" w:type="dxa"/>
            <w:tcBorders>
              <w:top w:val="nil"/>
              <w:left w:val="nil"/>
              <w:bottom w:val="nil"/>
              <w:right w:val="nil"/>
            </w:tcBorders>
            <w:shd w:val="clear" w:color="000000" w:fill="2D8B2A"/>
            <w:noWrap/>
            <w:vAlign w:val="bottom"/>
            <w:hideMark/>
          </w:tcPr>
          <w:p w14:paraId="798AA4D5" w14:textId="77777777" w:rsidR="00727A05" w:rsidRPr="002815F4" w:rsidRDefault="00727A05" w:rsidP="00183360">
            <w:pPr>
              <w:widowControl/>
              <w:suppressAutoHyphens w:val="0"/>
              <w:spacing w:after="0" w:line="240" w:lineRule="auto"/>
              <w:rPr>
                <w:rFonts w:ascii="Calibri" w:hAnsi="Calibri" w:cs="Times New Roman"/>
                <w:color w:val="000000"/>
              </w:rPr>
            </w:pPr>
            <w:r w:rsidRPr="002815F4">
              <w:rPr>
                <w:rFonts w:ascii="Calibri" w:hAnsi="Calibri" w:cs="Times New Roman"/>
                <w:color w:val="000000"/>
              </w:rPr>
              <w:t> </w:t>
            </w:r>
          </w:p>
        </w:tc>
        <w:tc>
          <w:tcPr>
            <w:tcW w:w="8443" w:type="dxa"/>
            <w:tcBorders>
              <w:top w:val="nil"/>
              <w:left w:val="nil"/>
              <w:bottom w:val="single" w:sz="4" w:space="0" w:color="A6A6A6"/>
              <w:right w:val="nil"/>
            </w:tcBorders>
            <w:shd w:val="clear" w:color="auto" w:fill="auto"/>
            <w:hideMark/>
          </w:tcPr>
          <w:p w14:paraId="56E27CE2" w14:textId="512317D7" w:rsidR="00727A05" w:rsidRPr="002815F4" w:rsidRDefault="00CF1CB5" w:rsidP="00183360">
            <w:pPr>
              <w:widowControl/>
              <w:suppressAutoHyphens w:val="0"/>
              <w:spacing w:after="0" w:line="240" w:lineRule="auto"/>
              <w:rPr>
                <w:rFonts w:ascii="Calibri" w:hAnsi="Calibri" w:cs="Times New Roman"/>
                <w:color w:val="000000"/>
                <w:sz w:val="21"/>
              </w:rPr>
            </w:pPr>
            <w:r w:rsidRPr="002815F4">
              <w:rPr>
                <w:rFonts w:ascii="Calibri" w:hAnsi="Calibri" w:cs="Times New Roman"/>
                <w:b/>
                <w:color w:val="000000"/>
                <w:sz w:val="21"/>
              </w:rPr>
              <w:t xml:space="preserve">Satisfactory progress. </w:t>
            </w:r>
            <w:r w:rsidR="00727A05" w:rsidRPr="002815F4">
              <w:rPr>
                <w:rFonts w:ascii="Calibri" w:hAnsi="Calibri" w:cs="Times New Roman"/>
                <w:color w:val="000000"/>
                <w:sz w:val="21"/>
              </w:rPr>
              <w:t xml:space="preserve">The country is compliant with the EITI requirement. </w:t>
            </w:r>
          </w:p>
        </w:tc>
      </w:tr>
      <w:tr w:rsidR="00727A05" w:rsidRPr="002815F4" w14:paraId="7A617142" w14:textId="77777777" w:rsidTr="00E03D03">
        <w:trPr>
          <w:trHeight w:val="600"/>
        </w:trPr>
        <w:tc>
          <w:tcPr>
            <w:tcW w:w="1050" w:type="dxa"/>
            <w:tcBorders>
              <w:top w:val="nil"/>
              <w:left w:val="nil"/>
              <w:bottom w:val="nil"/>
              <w:right w:val="nil"/>
            </w:tcBorders>
            <w:shd w:val="clear" w:color="000000" w:fill="0076AF"/>
            <w:noWrap/>
            <w:vAlign w:val="bottom"/>
            <w:hideMark/>
          </w:tcPr>
          <w:p w14:paraId="5D22B5AB" w14:textId="77777777" w:rsidR="00727A05" w:rsidRPr="002815F4" w:rsidRDefault="00727A05" w:rsidP="00183360">
            <w:pPr>
              <w:widowControl/>
              <w:suppressAutoHyphens w:val="0"/>
              <w:spacing w:after="0" w:line="240" w:lineRule="auto"/>
              <w:rPr>
                <w:rFonts w:ascii="Calibri" w:hAnsi="Calibri" w:cs="Times New Roman"/>
                <w:color w:val="000000"/>
              </w:rPr>
            </w:pPr>
            <w:r w:rsidRPr="002815F4">
              <w:rPr>
                <w:rFonts w:ascii="Calibri" w:hAnsi="Calibri" w:cs="Times New Roman"/>
                <w:color w:val="000000"/>
              </w:rPr>
              <w:t> </w:t>
            </w:r>
          </w:p>
        </w:tc>
        <w:tc>
          <w:tcPr>
            <w:tcW w:w="8443" w:type="dxa"/>
            <w:tcBorders>
              <w:top w:val="nil"/>
              <w:left w:val="nil"/>
              <w:bottom w:val="single" w:sz="4" w:space="0" w:color="A6A6A6"/>
              <w:right w:val="nil"/>
            </w:tcBorders>
            <w:shd w:val="clear" w:color="auto" w:fill="auto"/>
            <w:hideMark/>
          </w:tcPr>
          <w:p w14:paraId="17A0441B" w14:textId="296213CA" w:rsidR="00727A05" w:rsidRPr="002815F4" w:rsidRDefault="00692867" w:rsidP="00183360">
            <w:pPr>
              <w:widowControl/>
              <w:suppressAutoHyphens w:val="0"/>
              <w:spacing w:after="0" w:line="240" w:lineRule="auto"/>
              <w:rPr>
                <w:rFonts w:ascii="Calibri" w:hAnsi="Calibri" w:cs="Times New Roman"/>
                <w:color w:val="000000"/>
                <w:sz w:val="21"/>
              </w:rPr>
            </w:pPr>
            <w:r w:rsidRPr="002815F4">
              <w:rPr>
                <w:rFonts w:ascii="Calibri" w:hAnsi="Calibri" w:cs="Times New Roman"/>
                <w:b/>
                <w:color w:val="000000"/>
                <w:sz w:val="21"/>
              </w:rPr>
              <w:t xml:space="preserve">Beyond. </w:t>
            </w:r>
            <w:r w:rsidR="00727A05" w:rsidRPr="002815F4">
              <w:rPr>
                <w:rFonts w:ascii="Calibri" w:hAnsi="Calibri" w:cs="Times New Roman"/>
                <w:color w:val="000000"/>
                <w:sz w:val="21"/>
              </w:rPr>
              <w:t xml:space="preserve">The country has gone beyond the requirement. </w:t>
            </w:r>
          </w:p>
        </w:tc>
      </w:tr>
      <w:tr w:rsidR="00727A05" w:rsidRPr="002815F4" w14:paraId="7446EE6B" w14:textId="77777777" w:rsidTr="00E03D03">
        <w:trPr>
          <w:trHeight w:val="600"/>
        </w:trPr>
        <w:tc>
          <w:tcPr>
            <w:tcW w:w="1050" w:type="dxa"/>
            <w:tcBorders>
              <w:top w:val="nil"/>
              <w:left w:val="nil"/>
              <w:right w:val="nil"/>
            </w:tcBorders>
            <w:shd w:val="clear" w:color="000000" w:fill="D9D9D9"/>
            <w:noWrap/>
            <w:vAlign w:val="bottom"/>
            <w:hideMark/>
          </w:tcPr>
          <w:p w14:paraId="0742ECB0" w14:textId="77777777" w:rsidR="00727A05" w:rsidRPr="002815F4" w:rsidRDefault="00727A05" w:rsidP="00183360">
            <w:pPr>
              <w:widowControl/>
              <w:suppressAutoHyphens w:val="0"/>
              <w:spacing w:after="0" w:line="240" w:lineRule="auto"/>
              <w:jc w:val="center"/>
              <w:rPr>
                <w:rFonts w:ascii="Calibri" w:hAnsi="Calibri" w:cs="Times New Roman"/>
                <w:color w:val="000000"/>
              </w:rPr>
            </w:pPr>
            <w:r w:rsidRPr="002815F4">
              <w:rPr>
                <w:rFonts w:ascii="Calibri" w:hAnsi="Calibri" w:cs="Times New Roman"/>
                <w:color w:val="000000"/>
              </w:rPr>
              <w:t> </w:t>
            </w:r>
          </w:p>
        </w:tc>
        <w:tc>
          <w:tcPr>
            <w:tcW w:w="8443" w:type="dxa"/>
            <w:tcBorders>
              <w:top w:val="nil"/>
              <w:left w:val="nil"/>
              <w:bottom w:val="single" w:sz="4" w:space="0" w:color="A6A6A6"/>
              <w:right w:val="nil"/>
            </w:tcBorders>
            <w:shd w:val="clear" w:color="auto" w:fill="auto"/>
            <w:hideMark/>
          </w:tcPr>
          <w:p w14:paraId="2D7ECB38" w14:textId="77777777" w:rsidR="00727A05" w:rsidRPr="002815F4" w:rsidRDefault="00727A05" w:rsidP="00183360">
            <w:pPr>
              <w:widowControl/>
              <w:suppressAutoHyphens w:val="0"/>
              <w:spacing w:after="0" w:line="240" w:lineRule="auto"/>
              <w:rPr>
                <w:rFonts w:ascii="Calibri" w:hAnsi="Calibri" w:cs="Times New Roman"/>
                <w:color w:val="000000"/>
                <w:sz w:val="21"/>
              </w:rPr>
            </w:pPr>
            <w:r w:rsidRPr="002815F4">
              <w:rPr>
                <w:rFonts w:ascii="Calibri" w:hAnsi="Calibri" w:cs="Times New Roman"/>
                <w:color w:val="000000"/>
                <w:sz w:val="21"/>
              </w:rPr>
              <w:t>This requirement is only encouraged or recommended and should not be taken into account in assessing compliance.</w:t>
            </w:r>
          </w:p>
        </w:tc>
      </w:tr>
      <w:tr w:rsidR="00727A05" w:rsidRPr="002815F4" w14:paraId="69630D71" w14:textId="77777777" w:rsidTr="00E03D03">
        <w:trPr>
          <w:trHeight w:val="560"/>
        </w:trPr>
        <w:tc>
          <w:tcPr>
            <w:tcW w:w="1050" w:type="dxa"/>
            <w:tcBorders>
              <w:top w:val="nil"/>
              <w:left w:val="nil"/>
              <w:bottom w:val="single" w:sz="4" w:space="0" w:color="A6A6A6" w:themeColor="background1" w:themeShade="A6"/>
              <w:right w:val="nil"/>
            </w:tcBorders>
            <w:shd w:val="diagStripe" w:color="7F7F7F" w:themeColor="text1" w:themeTint="80" w:fill="auto"/>
            <w:noWrap/>
            <w:vAlign w:val="bottom"/>
            <w:hideMark/>
          </w:tcPr>
          <w:p w14:paraId="60357F39" w14:textId="77777777" w:rsidR="00727A05" w:rsidRPr="002815F4" w:rsidRDefault="00727A05" w:rsidP="00183360">
            <w:pPr>
              <w:widowControl/>
              <w:suppressAutoHyphens w:val="0"/>
              <w:spacing w:after="0" w:line="240" w:lineRule="auto"/>
              <w:rPr>
                <w:rFonts w:ascii="Calibri" w:hAnsi="Calibri" w:cs="Times New Roman"/>
                <w:color w:val="000000"/>
              </w:rPr>
            </w:pPr>
          </w:p>
        </w:tc>
        <w:tc>
          <w:tcPr>
            <w:tcW w:w="8443" w:type="dxa"/>
            <w:tcBorders>
              <w:top w:val="nil"/>
              <w:left w:val="nil"/>
              <w:bottom w:val="single" w:sz="4" w:space="0" w:color="A6A6A6" w:themeColor="background1" w:themeShade="A6"/>
              <w:right w:val="nil"/>
            </w:tcBorders>
            <w:shd w:val="clear" w:color="auto" w:fill="auto"/>
            <w:hideMark/>
          </w:tcPr>
          <w:p w14:paraId="7F5E8D63" w14:textId="77777777" w:rsidR="00727A05" w:rsidRPr="002815F4" w:rsidRDefault="00727A05" w:rsidP="00183360">
            <w:pPr>
              <w:widowControl/>
              <w:suppressAutoHyphens w:val="0"/>
              <w:spacing w:after="0" w:line="240" w:lineRule="auto"/>
              <w:rPr>
                <w:rFonts w:ascii="Calibri" w:hAnsi="Calibri" w:cs="Times New Roman"/>
                <w:color w:val="000000"/>
                <w:sz w:val="21"/>
              </w:rPr>
            </w:pPr>
            <w:r w:rsidRPr="002815F4">
              <w:rPr>
                <w:rFonts w:ascii="Calibri" w:hAnsi="Calibri" w:cs="Times New Roman"/>
                <w:color w:val="000000"/>
                <w:sz w:val="21"/>
              </w:rPr>
              <w:t xml:space="preserve">The MSG has demonstrated that this requirement is not applicable in the country. </w:t>
            </w:r>
          </w:p>
        </w:tc>
      </w:tr>
      <w:bookmarkEnd w:id="35"/>
    </w:tbl>
    <w:p w14:paraId="41D247BD" w14:textId="3D09081C" w:rsidR="00FB489B" w:rsidRPr="002815F4" w:rsidRDefault="00FB489B" w:rsidP="00764C60">
      <w:pPr>
        <w:pStyle w:val="Heading1"/>
        <w:rPr>
          <w:rFonts w:eastAsia="Calibri"/>
        </w:rPr>
        <w:sectPr w:rsidR="00FB489B" w:rsidRPr="002815F4" w:rsidSect="00505DFB">
          <w:headerReference w:type="first" r:id="rId19"/>
          <w:pgSz w:w="11905" w:h="16837"/>
          <w:pgMar w:top="1175" w:right="1273" w:bottom="1418" w:left="1134" w:header="567" w:footer="0" w:gutter="0"/>
          <w:cols w:space="708"/>
          <w:titlePg/>
          <w:docGrid w:linePitch="326"/>
        </w:sectPr>
      </w:pPr>
    </w:p>
    <w:p w14:paraId="681A483F" w14:textId="75A951FD" w:rsidR="00D47A3F" w:rsidRPr="002815F4" w:rsidRDefault="00D47A3F">
      <w:pPr>
        <w:pStyle w:val="Heading1"/>
      </w:pPr>
      <w:r w:rsidRPr="002815F4">
        <w:lastRenderedPageBreak/>
        <w:t>Introduction</w:t>
      </w:r>
      <w:bookmarkEnd w:id="36"/>
      <w:bookmarkEnd w:id="37"/>
      <w:bookmarkEnd w:id="38"/>
      <w:bookmarkEnd w:id="39"/>
      <w:bookmarkEnd w:id="40"/>
      <w:bookmarkEnd w:id="41"/>
    </w:p>
    <w:p w14:paraId="4957D45B" w14:textId="6B444222" w:rsidR="000B70D0" w:rsidRPr="002815F4" w:rsidRDefault="000B70D0" w:rsidP="009B3E66">
      <w:pPr>
        <w:pStyle w:val="Heading2notindexed"/>
      </w:pPr>
      <w:bookmarkStart w:id="43" w:name="_Toc307943897"/>
      <w:bookmarkStart w:id="44" w:name="_Toc459133077"/>
      <w:bookmarkStart w:id="45" w:name="_Toc461803026"/>
      <w:bookmarkStart w:id="46" w:name="_Toc461787307"/>
      <w:r w:rsidRPr="002815F4">
        <w:t>Brief recap of the sign-up phase</w:t>
      </w:r>
      <w:bookmarkEnd w:id="43"/>
      <w:bookmarkEnd w:id="44"/>
      <w:bookmarkEnd w:id="45"/>
      <w:bookmarkEnd w:id="46"/>
    </w:p>
    <w:p w14:paraId="767E4364" w14:textId="70168FB0" w:rsidR="00DB6A5F" w:rsidRPr="00FC405C" w:rsidRDefault="00996FA1" w:rsidP="003A74F4">
      <w:pPr>
        <w:rPr>
          <w:rFonts w:ascii="Calibri" w:hAnsi="Calibri"/>
          <w:bCs/>
        </w:rPr>
      </w:pPr>
      <w:r w:rsidRPr="002815F4">
        <w:rPr>
          <w:rFonts w:ascii="Calibri" w:hAnsi="Calibri"/>
        </w:rPr>
        <w:t xml:space="preserve">On 2 February 2012, the Council of Ministers of the Government of Senegal committed to implement the EITI, </w:t>
      </w:r>
      <w:r w:rsidRPr="002815F4">
        <w:rPr>
          <w:rFonts w:ascii="Calibri" w:hAnsi="Calibri"/>
          <w:bCs/>
        </w:rPr>
        <w:t xml:space="preserve">upon a motion from Minister of State for Mines, Industry and SMEs Abdoulaye Baldé </w:t>
      </w:r>
      <w:sdt>
        <w:sdtPr>
          <w:rPr>
            <w:rFonts w:ascii="Calibri" w:hAnsi="Calibri"/>
            <w:bCs/>
          </w:rPr>
          <w:id w:val="297336798"/>
          <w:citation/>
        </w:sdtPr>
        <w:sdtEndPr/>
        <w:sdtContent>
          <w:r w:rsidRPr="002815F4">
            <w:rPr>
              <w:rFonts w:ascii="Calibri" w:hAnsi="Calibri"/>
              <w:bCs/>
            </w:rPr>
            <w:fldChar w:fldCharType="begin"/>
          </w:r>
          <w:r w:rsidRPr="002815F4">
            <w:rPr>
              <w:rFonts w:ascii="Calibri" w:hAnsi="Calibri"/>
              <w:bCs/>
            </w:rPr>
            <w:instrText xml:space="preserve"> CITATION Con12 \l 1033 </w:instrText>
          </w:r>
          <w:r w:rsidRPr="002815F4">
            <w:rPr>
              <w:rFonts w:ascii="Calibri" w:hAnsi="Calibri"/>
              <w:bCs/>
            </w:rPr>
            <w:fldChar w:fldCharType="separate"/>
          </w:r>
          <w:r w:rsidR="003E626E" w:rsidRPr="002815F4">
            <w:rPr>
              <w:rFonts w:ascii="Calibri" w:hAnsi="Calibri"/>
              <w:noProof/>
            </w:rPr>
            <w:t>(Conseil des Ministres, 2012)</w:t>
          </w:r>
          <w:r w:rsidRPr="002815F4">
            <w:rPr>
              <w:rFonts w:ascii="Calibri" w:hAnsi="Calibri"/>
              <w:bCs/>
            </w:rPr>
            <w:fldChar w:fldCharType="end"/>
          </w:r>
        </w:sdtContent>
      </w:sdt>
      <w:r w:rsidRPr="002815F4">
        <w:rPr>
          <w:rFonts w:ascii="Calibri" w:hAnsi="Calibri"/>
          <w:bCs/>
        </w:rPr>
        <w:t xml:space="preserve">. The Ministry of Energy and Mines led consultations in 2012 </w:t>
      </w:r>
      <w:sdt>
        <w:sdtPr>
          <w:rPr>
            <w:rFonts w:ascii="Calibri" w:hAnsi="Calibri"/>
            <w:bCs/>
          </w:rPr>
          <w:id w:val="458309287"/>
          <w:citation/>
        </w:sdtPr>
        <w:sdtEndPr/>
        <w:sdtContent>
          <w:r w:rsidRPr="002815F4">
            <w:rPr>
              <w:rFonts w:ascii="Calibri" w:hAnsi="Calibri"/>
              <w:bCs/>
            </w:rPr>
            <w:fldChar w:fldCharType="begin"/>
          </w:r>
          <w:r w:rsidRPr="002815F4">
            <w:rPr>
              <w:rFonts w:ascii="Calibri" w:hAnsi="Calibri"/>
              <w:bCs/>
            </w:rPr>
            <w:instrText xml:space="preserve"> CITATION ITI1319 \l 1033 </w:instrText>
          </w:r>
          <w:r w:rsidRPr="002815F4">
            <w:rPr>
              <w:rFonts w:ascii="Calibri" w:hAnsi="Calibri"/>
              <w:bCs/>
            </w:rPr>
            <w:fldChar w:fldCharType="separate"/>
          </w:r>
          <w:r w:rsidR="003E626E" w:rsidRPr="002815F4">
            <w:rPr>
              <w:rFonts w:ascii="Calibri" w:hAnsi="Calibri"/>
              <w:noProof/>
            </w:rPr>
            <w:t>(ITIE Senegal, 2013)</w:t>
          </w:r>
          <w:r w:rsidRPr="002815F4">
            <w:rPr>
              <w:rFonts w:ascii="Calibri" w:hAnsi="Calibri"/>
              <w:bCs/>
            </w:rPr>
            <w:fldChar w:fldCharType="end"/>
          </w:r>
        </w:sdtContent>
      </w:sdt>
      <w:r w:rsidRPr="002815F4">
        <w:rPr>
          <w:rFonts w:ascii="Calibri" w:hAnsi="Calibri"/>
          <w:bCs/>
        </w:rPr>
        <w:t xml:space="preserve">. </w:t>
      </w:r>
      <w:r w:rsidR="009D6AD9" w:rsidRPr="002815F4">
        <w:rPr>
          <w:rFonts w:ascii="Calibri" w:hAnsi="Calibri"/>
          <w:bCs/>
        </w:rPr>
        <w:t xml:space="preserve">Prime Minister Abdoul Mbaye issued Decree 2013-881 establishing the EITI in Senegal </w:t>
      </w:r>
      <w:sdt>
        <w:sdtPr>
          <w:rPr>
            <w:rFonts w:ascii="Calibri" w:hAnsi="Calibri"/>
            <w:bCs/>
          </w:rPr>
          <w:id w:val="544955362"/>
          <w:citation/>
        </w:sdtPr>
        <w:sdtEndPr/>
        <w:sdtContent>
          <w:r w:rsidR="009D6AD9" w:rsidRPr="002815F4">
            <w:rPr>
              <w:rFonts w:ascii="Calibri" w:hAnsi="Calibri"/>
              <w:bCs/>
            </w:rPr>
            <w:fldChar w:fldCharType="begin"/>
          </w:r>
          <w:r w:rsidR="009D6AD9" w:rsidRPr="002815F4">
            <w:rPr>
              <w:rFonts w:ascii="Calibri" w:hAnsi="Calibri"/>
              <w:bCs/>
            </w:rPr>
            <w:instrText xml:space="preserve"> CITATION Min13 \l 1033 </w:instrText>
          </w:r>
          <w:r w:rsidR="009D6AD9" w:rsidRPr="002815F4">
            <w:rPr>
              <w:rFonts w:ascii="Calibri" w:hAnsi="Calibri"/>
              <w:bCs/>
            </w:rPr>
            <w:fldChar w:fldCharType="separate"/>
          </w:r>
          <w:r w:rsidR="003E626E" w:rsidRPr="002815F4">
            <w:rPr>
              <w:rFonts w:ascii="Calibri" w:hAnsi="Calibri"/>
              <w:noProof/>
            </w:rPr>
            <w:t>(Premier Ministre, 2013)</w:t>
          </w:r>
          <w:r w:rsidR="009D6AD9" w:rsidRPr="002815F4">
            <w:rPr>
              <w:rFonts w:ascii="Calibri" w:hAnsi="Calibri"/>
              <w:bCs/>
            </w:rPr>
            <w:fldChar w:fldCharType="end"/>
          </w:r>
        </w:sdtContent>
      </w:sdt>
      <w:r w:rsidR="009D6AD9" w:rsidRPr="002815F4">
        <w:rPr>
          <w:rFonts w:ascii="Calibri" w:hAnsi="Calibri"/>
          <w:bCs/>
        </w:rPr>
        <w:t xml:space="preserve"> and the multi-stakeholder group (MSG), the National EITI Committee (Comité National ITIE), met for the first time on 3 July 2013 </w:t>
      </w:r>
      <w:sdt>
        <w:sdtPr>
          <w:rPr>
            <w:rFonts w:ascii="Calibri" w:hAnsi="Calibri"/>
            <w:bCs/>
          </w:rPr>
          <w:id w:val="420067275"/>
          <w:citation/>
        </w:sdtPr>
        <w:sdtEndPr/>
        <w:sdtContent>
          <w:r w:rsidR="009D6AD9" w:rsidRPr="002815F4">
            <w:rPr>
              <w:rFonts w:ascii="Calibri" w:hAnsi="Calibri"/>
              <w:bCs/>
            </w:rPr>
            <w:fldChar w:fldCharType="begin"/>
          </w:r>
          <w:r w:rsidR="009D6AD9" w:rsidRPr="002815F4">
            <w:rPr>
              <w:rFonts w:ascii="Calibri" w:hAnsi="Calibri"/>
              <w:bCs/>
            </w:rPr>
            <w:instrText xml:space="preserve"> CITATION ITI1319 \l 1033 </w:instrText>
          </w:r>
          <w:r w:rsidR="009D6AD9" w:rsidRPr="002815F4">
            <w:rPr>
              <w:rFonts w:ascii="Calibri" w:hAnsi="Calibri"/>
              <w:bCs/>
            </w:rPr>
            <w:fldChar w:fldCharType="separate"/>
          </w:r>
          <w:r w:rsidR="003E626E" w:rsidRPr="002815F4">
            <w:rPr>
              <w:rFonts w:ascii="Calibri" w:hAnsi="Calibri"/>
              <w:noProof/>
            </w:rPr>
            <w:t>(ITIE Senegal, 2013)</w:t>
          </w:r>
          <w:r w:rsidR="009D6AD9" w:rsidRPr="002815F4">
            <w:rPr>
              <w:rFonts w:ascii="Calibri" w:hAnsi="Calibri"/>
              <w:bCs/>
            </w:rPr>
            <w:fldChar w:fldCharType="end"/>
          </w:r>
        </w:sdtContent>
      </w:sdt>
      <w:r w:rsidR="009D6AD9" w:rsidRPr="002815F4">
        <w:rPr>
          <w:rFonts w:ascii="Calibri" w:hAnsi="Calibri"/>
          <w:bCs/>
        </w:rPr>
        <w:t xml:space="preserve">. The senior government lead on EITI and MSG Chair, Prof. Ismaïla Madiore Fall, Minister Legal Councillor to the President, was nominated by Prime Ministerial Decree 2013-887 of 20 June 2013 </w:t>
      </w:r>
      <w:sdt>
        <w:sdtPr>
          <w:rPr>
            <w:rFonts w:ascii="Calibri" w:hAnsi="Calibri"/>
            <w:bCs/>
          </w:rPr>
          <w:id w:val="-364902268"/>
          <w:citation/>
        </w:sdtPr>
        <w:sdtEndPr/>
        <w:sdtContent>
          <w:r w:rsidR="009D6AD9" w:rsidRPr="002815F4">
            <w:rPr>
              <w:rFonts w:ascii="Calibri" w:hAnsi="Calibri"/>
              <w:bCs/>
            </w:rPr>
            <w:fldChar w:fldCharType="begin"/>
          </w:r>
          <w:r w:rsidR="009D6AD9" w:rsidRPr="002815F4">
            <w:rPr>
              <w:rFonts w:ascii="Calibri" w:hAnsi="Calibri"/>
              <w:bCs/>
            </w:rPr>
            <w:instrText xml:space="preserve"> CITATION Pre13 \l 1033 </w:instrText>
          </w:r>
          <w:r w:rsidR="009D6AD9" w:rsidRPr="002815F4">
            <w:rPr>
              <w:rFonts w:ascii="Calibri" w:hAnsi="Calibri"/>
              <w:bCs/>
            </w:rPr>
            <w:fldChar w:fldCharType="separate"/>
          </w:r>
          <w:r w:rsidR="003E626E" w:rsidRPr="002815F4">
            <w:rPr>
              <w:rFonts w:ascii="Calibri" w:hAnsi="Calibri"/>
              <w:noProof/>
            </w:rPr>
            <w:t>(President de la Republique, 2013)</w:t>
          </w:r>
          <w:r w:rsidR="009D6AD9" w:rsidRPr="002815F4">
            <w:rPr>
              <w:rFonts w:ascii="Calibri" w:hAnsi="Calibri"/>
              <w:bCs/>
            </w:rPr>
            <w:fldChar w:fldCharType="end"/>
          </w:r>
        </w:sdtContent>
      </w:sdt>
      <w:r w:rsidR="009D6AD9" w:rsidRPr="002815F4">
        <w:rPr>
          <w:rFonts w:ascii="Calibri" w:hAnsi="Calibri"/>
          <w:bCs/>
        </w:rPr>
        <w:t>. Senegal submitted it EITI Candidature application on 23 July 2013 and Senegal was accepted as the 40</w:t>
      </w:r>
      <w:r w:rsidR="009D6AD9" w:rsidRPr="002815F4">
        <w:rPr>
          <w:rFonts w:ascii="Calibri" w:hAnsi="Calibri"/>
          <w:bCs/>
          <w:vertAlign w:val="superscript"/>
        </w:rPr>
        <w:t>th</w:t>
      </w:r>
      <w:r w:rsidR="009D6AD9" w:rsidRPr="002815F4">
        <w:rPr>
          <w:rFonts w:ascii="Calibri" w:hAnsi="Calibri"/>
          <w:bCs/>
        </w:rPr>
        <w:t xml:space="preserve"> EITI Candidate country by the EITI Board at its 25</w:t>
      </w:r>
      <w:r w:rsidR="009D6AD9" w:rsidRPr="002815F4">
        <w:rPr>
          <w:rFonts w:ascii="Calibri" w:hAnsi="Calibri"/>
          <w:bCs/>
          <w:vertAlign w:val="superscript"/>
        </w:rPr>
        <w:t>th</w:t>
      </w:r>
      <w:r w:rsidR="009D6AD9" w:rsidRPr="002815F4">
        <w:rPr>
          <w:rFonts w:ascii="Calibri" w:hAnsi="Calibri"/>
          <w:bCs/>
        </w:rPr>
        <w:t xml:space="preserve"> meeting</w:t>
      </w:r>
      <w:r w:rsidR="009D6AD9" w:rsidRPr="002815F4">
        <w:rPr>
          <w:rStyle w:val="FootnoteReference"/>
          <w:rFonts w:ascii="Calibri" w:hAnsi="Calibri"/>
          <w:bCs/>
        </w:rPr>
        <w:footnoteReference w:id="5"/>
      </w:r>
      <w:r w:rsidR="009D6AD9" w:rsidRPr="002815F4">
        <w:rPr>
          <w:rFonts w:ascii="Calibri" w:hAnsi="Calibri"/>
          <w:bCs/>
        </w:rPr>
        <w:t xml:space="preserve"> in Abidjan on 17 October 2013 </w:t>
      </w:r>
      <w:sdt>
        <w:sdtPr>
          <w:rPr>
            <w:rFonts w:ascii="Calibri" w:hAnsi="Calibri"/>
            <w:bCs/>
          </w:rPr>
          <w:id w:val="877199178"/>
          <w:citation/>
        </w:sdtPr>
        <w:sdtEndPr/>
        <w:sdtContent>
          <w:r w:rsidR="009D6AD9" w:rsidRPr="002815F4">
            <w:rPr>
              <w:rFonts w:ascii="Calibri" w:hAnsi="Calibri"/>
              <w:bCs/>
            </w:rPr>
            <w:fldChar w:fldCharType="begin"/>
          </w:r>
          <w:r w:rsidR="009D6AD9" w:rsidRPr="002815F4">
            <w:rPr>
              <w:rFonts w:ascii="Calibri" w:hAnsi="Calibri"/>
              <w:bCs/>
            </w:rPr>
            <w:instrText xml:space="preserve">CITATION ITI1319 \l 1033 </w:instrText>
          </w:r>
          <w:r w:rsidR="009D6AD9" w:rsidRPr="002815F4">
            <w:rPr>
              <w:rFonts w:ascii="Calibri" w:hAnsi="Calibri"/>
              <w:bCs/>
            </w:rPr>
            <w:fldChar w:fldCharType="separate"/>
          </w:r>
          <w:r w:rsidR="003E626E" w:rsidRPr="002815F4">
            <w:rPr>
              <w:rFonts w:ascii="Calibri" w:hAnsi="Calibri"/>
              <w:noProof/>
            </w:rPr>
            <w:t>(ITIE Senegal, 2013)</w:t>
          </w:r>
          <w:r w:rsidR="009D6AD9" w:rsidRPr="002815F4">
            <w:rPr>
              <w:rFonts w:ascii="Calibri" w:hAnsi="Calibri"/>
              <w:bCs/>
            </w:rPr>
            <w:fldChar w:fldCharType="end"/>
          </w:r>
        </w:sdtContent>
      </w:sdt>
      <w:r w:rsidR="009D6AD9" w:rsidRPr="002815F4">
        <w:rPr>
          <w:rFonts w:ascii="Calibri" w:hAnsi="Calibri"/>
          <w:bCs/>
        </w:rPr>
        <w:t xml:space="preserve"> </w:t>
      </w:r>
      <w:sdt>
        <w:sdtPr>
          <w:rPr>
            <w:rFonts w:ascii="Calibri" w:hAnsi="Calibri"/>
            <w:bCs/>
          </w:rPr>
          <w:id w:val="1841424987"/>
          <w:citation/>
        </w:sdtPr>
        <w:sdtEndPr/>
        <w:sdtContent>
          <w:r w:rsidR="009D6AD9" w:rsidRPr="002815F4">
            <w:rPr>
              <w:rFonts w:ascii="Calibri" w:hAnsi="Calibri"/>
              <w:bCs/>
            </w:rPr>
            <w:fldChar w:fldCharType="begin"/>
          </w:r>
          <w:r w:rsidR="009D6AD9" w:rsidRPr="002815F4">
            <w:rPr>
              <w:rFonts w:ascii="Calibri" w:hAnsi="Calibri"/>
              <w:bCs/>
            </w:rPr>
            <w:instrText xml:space="preserve"> CITATION EIT131 \l 1033 </w:instrText>
          </w:r>
          <w:r w:rsidR="009D6AD9" w:rsidRPr="002815F4">
            <w:rPr>
              <w:rFonts w:ascii="Calibri" w:hAnsi="Calibri"/>
              <w:bCs/>
            </w:rPr>
            <w:fldChar w:fldCharType="separate"/>
          </w:r>
          <w:r w:rsidR="003E626E" w:rsidRPr="002815F4">
            <w:rPr>
              <w:rFonts w:ascii="Calibri" w:hAnsi="Calibri"/>
              <w:noProof/>
            </w:rPr>
            <w:t>(EITI, 2013)</w:t>
          </w:r>
          <w:r w:rsidR="009D6AD9" w:rsidRPr="002815F4">
            <w:rPr>
              <w:rFonts w:ascii="Calibri" w:hAnsi="Calibri"/>
              <w:bCs/>
            </w:rPr>
            <w:fldChar w:fldCharType="end"/>
          </w:r>
        </w:sdtContent>
      </w:sdt>
      <w:r w:rsidR="00FC405C">
        <w:rPr>
          <w:rFonts w:ascii="Calibri" w:hAnsi="Calibri"/>
          <w:bCs/>
        </w:rPr>
        <w:t xml:space="preserve">. </w:t>
      </w:r>
      <w:r w:rsidR="00DB6A5F" w:rsidRPr="002815F4">
        <w:rPr>
          <w:rFonts w:ascii="Calibri" w:hAnsi="Calibri"/>
        </w:rPr>
        <w:t xml:space="preserve">Implementation of the EITI has been central to President Sall’s good governance and transparency priorities since his election in 2012 </w:t>
      </w:r>
      <w:sdt>
        <w:sdtPr>
          <w:rPr>
            <w:rFonts w:ascii="Calibri" w:hAnsi="Calibri"/>
            <w:bCs/>
          </w:rPr>
          <w:id w:val="1317525453"/>
          <w:citation/>
        </w:sdtPr>
        <w:sdtEndPr/>
        <w:sdtContent>
          <w:r w:rsidR="00DB6A5F" w:rsidRPr="002815F4">
            <w:rPr>
              <w:rFonts w:ascii="Calibri" w:hAnsi="Calibri"/>
              <w:bCs/>
            </w:rPr>
            <w:fldChar w:fldCharType="begin"/>
          </w:r>
          <w:r w:rsidR="00DB6A5F" w:rsidRPr="002815F4">
            <w:rPr>
              <w:rFonts w:ascii="Calibri" w:hAnsi="Calibri"/>
              <w:bCs/>
            </w:rPr>
            <w:instrText xml:space="preserve"> CITATION Rep171 \l 1033 </w:instrText>
          </w:r>
          <w:r w:rsidR="00DB6A5F" w:rsidRPr="002815F4">
            <w:rPr>
              <w:rFonts w:ascii="Calibri" w:hAnsi="Calibri"/>
              <w:bCs/>
            </w:rPr>
            <w:fldChar w:fldCharType="separate"/>
          </w:r>
          <w:r w:rsidR="003E626E" w:rsidRPr="002815F4">
            <w:rPr>
              <w:rFonts w:ascii="Calibri" w:hAnsi="Calibri"/>
              <w:noProof/>
            </w:rPr>
            <w:t>(Republic of Senegal, 2017)</w:t>
          </w:r>
          <w:r w:rsidR="00DB6A5F" w:rsidRPr="002815F4">
            <w:rPr>
              <w:rFonts w:ascii="Calibri" w:hAnsi="Calibri"/>
              <w:bCs/>
            </w:rPr>
            <w:fldChar w:fldCharType="end"/>
          </w:r>
        </w:sdtContent>
      </w:sdt>
      <w:r w:rsidR="00DB6A5F" w:rsidRPr="002815F4">
        <w:rPr>
          <w:rFonts w:ascii="Calibri" w:hAnsi="Calibri"/>
        </w:rPr>
        <w:t xml:space="preserve">. </w:t>
      </w:r>
      <w:r w:rsidR="00DB6A5F" w:rsidRPr="002815F4">
        <w:rPr>
          <w:rFonts w:ascii="Calibri" w:hAnsi="Calibri"/>
          <w:bCs/>
        </w:rPr>
        <w:t xml:space="preserve">Senegal’s ranking in Transparency International’s Corruption Perceptions Index </w:t>
      </w:r>
      <w:r w:rsidR="00FA6DD8">
        <w:rPr>
          <w:rFonts w:ascii="Calibri" w:hAnsi="Calibri"/>
          <w:bCs/>
        </w:rPr>
        <w:t>improved</w:t>
      </w:r>
      <w:r w:rsidR="00FA6DD8" w:rsidRPr="002815F4">
        <w:rPr>
          <w:rFonts w:ascii="Calibri" w:hAnsi="Calibri"/>
          <w:bCs/>
        </w:rPr>
        <w:t xml:space="preserve"> </w:t>
      </w:r>
      <w:r w:rsidR="00DB6A5F" w:rsidRPr="002815F4">
        <w:rPr>
          <w:rFonts w:ascii="Calibri" w:hAnsi="Calibri"/>
          <w:bCs/>
        </w:rPr>
        <w:t>from 77 of 94 in 2012 to 64 of 176 in 2016</w:t>
      </w:r>
      <w:r w:rsidR="00DB6A5F" w:rsidRPr="002815F4">
        <w:rPr>
          <w:rStyle w:val="FootnoteReference"/>
          <w:rFonts w:ascii="Calibri" w:hAnsi="Calibri"/>
          <w:bCs/>
        </w:rPr>
        <w:footnoteReference w:id="6"/>
      </w:r>
      <w:r w:rsidR="00FA6DD8">
        <w:rPr>
          <w:rFonts w:ascii="Calibri" w:hAnsi="Calibri"/>
          <w:bCs/>
        </w:rPr>
        <w:t>.</w:t>
      </w:r>
      <w:r w:rsidR="009D6AD9" w:rsidRPr="002815F4">
        <w:rPr>
          <w:rFonts w:ascii="Calibri" w:hAnsi="Calibri"/>
          <w:bCs/>
        </w:rPr>
        <w:t xml:space="preserve"> Its ranking in the Open Budget survey improved from 10 of 100 in 2012 to 43 of 100 in 2015 </w:t>
      </w:r>
      <w:sdt>
        <w:sdtPr>
          <w:rPr>
            <w:rFonts w:ascii="Calibri" w:hAnsi="Calibri"/>
          </w:rPr>
          <w:id w:val="1741744132"/>
          <w:citation/>
        </w:sdtPr>
        <w:sdtEndPr/>
        <w:sdtContent>
          <w:r w:rsidR="00DB6A5F" w:rsidRPr="002815F4">
            <w:rPr>
              <w:rFonts w:ascii="Calibri" w:hAnsi="Calibri"/>
            </w:rPr>
            <w:fldChar w:fldCharType="begin"/>
          </w:r>
          <w:r w:rsidR="00DB6A5F" w:rsidRPr="002815F4">
            <w:rPr>
              <w:rFonts w:ascii="Calibri" w:hAnsi="Calibri"/>
            </w:rPr>
            <w:instrText xml:space="preserve"> CITATION ITI1629 \l 1033 </w:instrText>
          </w:r>
          <w:r w:rsidR="00DB6A5F" w:rsidRPr="002815F4">
            <w:rPr>
              <w:rFonts w:ascii="Calibri" w:hAnsi="Calibri"/>
            </w:rPr>
            <w:fldChar w:fldCharType="separate"/>
          </w:r>
          <w:r w:rsidR="003E626E" w:rsidRPr="002815F4">
            <w:rPr>
              <w:rFonts w:ascii="Calibri" w:hAnsi="Calibri"/>
              <w:noProof/>
            </w:rPr>
            <w:t>(ITIE Senegal, 2016)</w:t>
          </w:r>
          <w:r w:rsidR="00DB6A5F" w:rsidRPr="002815F4">
            <w:rPr>
              <w:rFonts w:ascii="Calibri" w:hAnsi="Calibri"/>
            </w:rPr>
            <w:fldChar w:fldCharType="end"/>
          </w:r>
        </w:sdtContent>
      </w:sdt>
      <w:r w:rsidR="00DB6A5F" w:rsidRPr="002815F4">
        <w:rPr>
          <w:rFonts w:ascii="Calibri" w:hAnsi="Calibri"/>
        </w:rPr>
        <w:t>.</w:t>
      </w:r>
    </w:p>
    <w:p w14:paraId="1A4AAF1C" w14:textId="058DF631" w:rsidR="004A1656" w:rsidRPr="002815F4" w:rsidRDefault="000B70D0" w:rsidP="009B3E66">
      <w:pPr>
        <w:pStyle w:val="Heading2notindexed"/>
      </w:pPr>
      <w:bookmarkStart w:id="47" w:name="_Toc307943898"/>
      <w:bookmarkStart w:id="48" w:name="_Toc459133078"/>
      <w:bookmarkStart w:id="49" w:name="_Toc461803027"/>
      <w:bookmarkStart w:id="50" w:name="_Toc461787308"/>
      <w:r w:rsidRPr="002815F4">
        <w:t xml:space="preserve">Objectives for implementation and overall progress in implementing the </w:t>
      </w:r>
      <w:bookmarkEnd w:id="47"/>
      <w:r w:rsidR="0060718C" w:rsidRPr="002815F4">
        <w:t>work</w:t>
      </w:r>
      <w:r w:rsidR="00D72C69" w:rsidRPr="002815F4">
        <w:t xml:space="preserve"> </w:t>
      </w:r>
      <w:r w:rsidR="0060718C" w:rsidRPr="002815F4">
        <w:t>plan</w:t>
      </w:r>
      <w:bookmarkEnd w:id="48"/>
      <w:bookmarkEnd w:id="49"/>
      <w:bookmarkEnd w:id="50"/>
    </w:p>
    <w:p w14:paraId="434F6DE0" w14:textId="32BA80E9" w:rsidR="00746B0D" w:rsidRPr="002815F4" w:rsidRDefault="009C6D72" w:rsidP="00FC405C">
      <w:pPr>
        <w:rPr>
          <w:rFonts w:ascii="Calibri" w:hAnsi="Calibri"/>
        </w:rPr>
      </w:pPr>
      <w:r w:rsidRPr="002815F4">
        <w:rPr>
          <w:rFonts w:ascii="Calibri" w:hAnsi="Calibri"/>
          <w:bCs/>
        </w:rPr>
        <w:t xml:space="preserve">While </w:t>
      </w:r>
      <w:r w:rsidRPr="002815F4">
        <w:rPr>
          <w:rFonts w:ascii="Calibri" w:hAnsi="Calibri"/>
        </w:rPr>
        <w:t>Senegal’s MSG initially agreed a 2013-16 EITI work plan</w:t>
      </w:r>
      <w:r w:rsidRPr="002815F4">
        <w:rPr>
          <w:rStyle w:val="FootnoteReference"/>
          <w:rFonts w:ascii="Calibri" w:hAnsi="Calibri"/>
        </w:rPr>
        <w:footnoteReference w:id="7"/>
      </w:r>
      <w:r w:rsidRPr="002815F4">
        <w:rPr>
          <w:rFonts w:ascii="Calibri" w:hAnsi="Calibri"/>
        </w:rPr>
        <w:t xml:space="preserve"> as part of its application for EITI Candidature in July 2013 </w:t>
      </w:r>
      <w:sdt>
        <w:sdtPr>
          <w:rPr>
            <w:rFonts w:ascii="Calibri" w:hAnsi="Calibri"/>
          </w:rPr>
          <w:id w:val="429623996"/>
          <w:citation/>
        </w:sdtPr>
        <w:sdtEndPr/>
        <w:sdtContent>
          <w:r w:rsidRPr="002815F4">
            <w:rPr>
              <w:rFonts w:ascii="Calibri" w:hAnsi="Calibri"/>
            </w:rPr>
            <w:fldChar w:fldCharType="begin"/>
          </w:r>
          <w:r w:rsidRPr="002815F4">
            <w:rPr>
              <w:rFonts w:ascii="Calibri" w:hAnsi="Calibri"/>
            </w:rPr>
            <w:instrText xml:space="preserve"> CITATION ITI1320 \l 1033 </w:instrText>
          </w:r>
          <w:r w:rsidRPr="002815F4">
            <w:rPr>
              <w:rFonts w:ascii="Calibri" w:hAnsi="Calibri"/>
            </w:rPr>
            <w:fldChar w:fldCharType="separate"/>
          </w:r>
          <w:r w:rsidR="003E626E" w:rsidRPr="002815F4">
            <w:rPr>
              <w:rFonts w:ascii="Calibri" w:hAnsi="Calibri"/>
              <w:noProof/>
            </w:rPr>
            <w:t>(ITIE Senegal, 2013)</w:t>
          </w:r>
          <w:r w:rsidRPr="002815F4">
            <w:rPr>
              <w:rFonts w:ascii="Calibri" w:hAnsi="Calibri"/>
            </w:rPr>
            <w:fldChar w:fldCharType="end"/>
          </w:r>
        </w:sdtContent>
      </w:sdt>
      <w:r w:rsidRPr="002815F4">
        <w:rPr>
          <w:rFonts w:ascii="Calibri" w:hAnsi="Calibri"/>
        </w:rPr>
        <w:t xml:space="preserve"> and a 2016-2017 EITI work plan in January 2016</w:t>
      </w:r>
      <w:sdt>
        <w:sdtPr>
          <w:rPr>
            <w:rFonts w:ascii="Calibri" w:hAnsi="Calibri"/>
          </w:rPr>
          <w:id w:val="-1148588393"/>
          <w:citation/>
        </w:sdtPr>
        <w:sdtEndPr/>
        <w:sdtContent>
          <w:r w:rsidRPr="002815F4">
            <w:rPr>
              <w:rFonts w:ascii="Calibri" w:hAnsi="Calibri"/>
            </w:rPr>
            <w:fldChar w:fldCharType="begin"/>
          </w:r>
          <w:r w:rsidRPr="002815F4">
            <w:rPr>
              <w:rFonts w:ascii="Calibri" w:hAnsi="Calibri"/>
            </w:rPr>
            <w:instrText xml:space="preserve"> CITATION ITI1647 \l 1033 </w:instrText>
          </w:r>
          <w:r w:rsidRPr="002815F4">
            <w:rPr>
              <w:rFonts w:ascii="Calibri" w:hAnsi="Calibri"/>
            </w:rPr>
            <w:fldChar w:fldCharType="separate"/>
          </w:r>
          <w:r w:rsidR="003E626E" w:rsidRPr="002815F4">
            <w:rPr>
              <w:rFonts w:ascii="Calibri" w:hAnsi="Calibri"/>
              <w:noProof/>
            </w:rPr>
            <w:t xml:space="preserve"> (ITIE Senegal, 2016)</w:t>
          </w:r>
          <w:r w:rsidRPr="002815F4">
            <w:rPr>
              <w:rFonts w:ascii="Calibri" w:hAnsi="Calibri"/>
            </w:rPr>
            <w:fldChar w:fldCharType="end"/>
          </w:r>
        </w:sdtContent>
      </w:sdt>
      <w:r w:rsidRPr="002815F4">
        <w:rPr>
          <w:rFonts w:ascii="Calibri" w:hAnsi="Calibri"/>
        </w:rPr>
        <w:t xml:space="preserve"> covering the Validation period, it now has three distinct work planning instruments. It agreed a four-year strategic plan (2017-2021) in March 2017</w:t>
      </w:r>
      <w:r w:rsidRPr="002815F4">
        <w:rPr>
          <w:rFonts w:ascii="Calibri" w:hAnsi="Calibri"/>
          <w:bCs/>
        </w:rPr>
        <w:t xml:space="preserve"> </w:t>
      </w:r>
      <w:sdt>
        <w:sdtPr>
          <w:rPr>
            <w:rFonts w:ascii="Calibri" w:hAnsi="Calibri"/>
            <w:bCs/>
          </w:rPr>
          <w:id w:val="-172414588"/>
          <w:citation/>
        </w:sdtPr>
        <w:sdtEndPr/>
        <w:sdtContent>
          <w:r w:rsidRPr="002815F4">
            <w:rPr>
              <w:rFonts w:ascii="Calibri" w:hAnsi="Calibri"/>
              <w:bCs/>
            </w:rPr>
            <w:fldChar w:fldCharType="begin"/>
          </w:r>
          <w:r w:rsidRPr="002815F4">
            <w:rPr>
              <w:rFonts w:ascii="Calibri" w:hAnsi="Calibri"/>
              <w:bCs/>
            </w:rPr>
            <w:instrText xml:space="preserve"> CITATION ITI1711 \l 1033 </w:instrText>
          </w:r>
          <w:r w:rsidRPr="002815F4">
            <w:rPr>
              <w:rFonts w:ascii="Calibri" w:hAnsi="Calibri"/>
              <w:bCs/>
            </w:rPr>
            <w:fldChar w:fldCharType="separate"/>
          </w:r>
          <w:r w:rsidR="003E626E" w:rsidRPr="002815F4">
            <w:rPr>
              <w:rFonts w:ascii="Calibri" w:hAnsi="Calibri"/>
              <w:noProof/>
            </w:rPr>
            <w:t>(ITIE Senegal, 2017)</w:t>
          </w:r>
          <w:r w:rsidRPr="002815F4">
            <w:rPr>
              <w:rFonts w:ascii="Calibri" w:hAnsi="Calibri"/>
              <w:bCs/>
            </w:rPr>
            <w:fldChar w:fldCharType="end"/>
          </w:r>
        </w:sdtContent>
      </w:sdt>
      <w:r w:rsidRPr="002815F4">
        <w:rPr>
          <w:rFonts w:ascii="Calibri" w:hAnsi="Calibri"/>
          <w:bCs/>
        </w:rPr>
        <w:t xml:space="preserve">, an annual work plan for 2017 in January and a three-year medium-term plan </w:t>
      </w:r>
      <w:r w:rsidRPr="002815F4">
        <w:rPr>
          <w:rFonts w:ascii="Calibri" w:hAnsi="Calibri"/>
        </w:rPr>
        <w:t xml:space="preserve">(2017-2019) </w:t>
      </w:r>
      <w:sdt>
        <w:sdtPr>
          <w:rPr>
            <w:rFonts w:ascii="Calibri" w:hAnsi="Calibri"/>
          </w:rPr>
          <w:id w:val="-875613740"/>
          <w:citation/>
        </w:sdtPr>
        <w:sdtEndPr/>
        <w:sdtContent>
          <w:r w:rsidRPr="002815F4">
            <w:rPr>
              <w:rFonts w:ascii="Calibri" w:hAnsi="Calibri"/>
            </w:rPr>
            <w:fldChar w:fldCharType="begin"/>
          </w:r>
          <w:r w:rsidRPr="002815F4">
            <w:rPr>
              <w:rFonts w:ascii="Calibri" w:hAnsi="Calibri"/>
            </w:rPr>
            <w:instrText xml:space="preserve"> CITATION ITI1723 \l 1033 </w:instrText>
          </w:r>
          <w:r w:rsidRPr="002815F4">
            <w:rPr>
              <w:rFonts w:ascii="Calibri" w:hAnsi="Calibri"/>
            </w:rPr>
            <w:fldChar w:fldCharType="separate"/>
          </w:r>
          <w:r w:rsidR="003E626E" w:rsidRPr="002815F4">
            <w:rPr>
              <w:rFonts w:ascii="Calibri" w:hAnsi="Calibri"/>
              <w:noProof/>
            </w:rPr>
            <w:t>(ITIE Senegal, 2017)</w:t>
          </w:r>
          <w:r w:rsidRPr="002815F4">
            <w:rPr>
              <w:rFonts w:ascii="Calibri" w:hAnsi="Calibri"/>
            </w:rPr>
            <w:fldChar w:fldCharType="end"/>
          </w:r>
        </w:sdtContent>
      </w:sdt>
      <w:r w:rsidRPr="002815F4">
        <w:rPr>
          <w:rFonts w:ascii="Calibri" w:hAnsi="Calibri"/>
        </w:rPr>
        <w:t>. The goals of</w:t>
      </w:r>
      <w:r w:rsidRPr="002815F4">
        <w:rPr>
          <w:rFonts w:ascii="Calibri" w:hAnsi="Calibri"/>
          <w:i/>
        </w:rPr>
        <w:t xml:space="preserve"> </w:t>
      </w:r>
      <w:r w:rsidRPr="002815F4">
        <w:rPr>
          <w:rFonts w:ascii="Calibri" w:hAnsi="Calibri"/>
        </w:rPr>
        <w:t xml:space="preserve">all EITI Senegal work plans appear aligned with national priorities and the product of extensive consultations. The four strategic axes of Senegal EITI’s four-year strategic plan (2017-2021) are the improvement of the legal and regulatory framework, the institutionalisation of access to information, building stakeholders’ capacity and coordination, oversight and consultation </w:t>
      </w:r>
      <w:sdt>
        <w:sdtPr>
          <w:rPr>
            <w:rFonts w:ascii="Calibri" w:hAnsi="Calibri"/>
          </w:rPr>
          <w:id w:val="-369693461"/>
          <w:citation/>
        </w:sdtPr>
        <w:sdtEndPr/>
        <w:sdtContent>
          <w:r w:rsidRPr="002815F4">
            <w:rPr>
              <w:rFonts w:ascii="Calibri" w:hAnsi="Calibri"/>
            </w:rPr>
            <w:fldChar w:fldCharType="begin"/>
          </w:r>
          <w:r w:rsidRPr="002815F4">
            <w:rPr>
              <w:rFonts w:ascii="Calibri" w:hAnsi="Calibri"/>
            </w:rPr>
            <w:instrText xml:space="preserve"> CITATION ITI1722 \l 1033 </w:instrText>
          </w:r>
          <w:r w:rsidRPr="002815F4">
            <w:rPr>
              <w:rFonts w:ascii="Calibri" w:hAnsi="Calibri"/>
            </w:rPr>
            <w:fldChar w:fldCharType="separate"/>
          </w:r>
          <w:r w:rsidR="003E626E" w:rsidRPr="002815F4">
            <w:rPr>
              <w:rFonts w:ascii="Calibri" w:hAnsi="Calibri"/>
              <w:noProof/>
            </w:rPr>
            <w:t>(ITIE Senegal, 2017)</w:t>
          </w:r>
          <w:r w:rsidRPr="002815F4">
            <w:rPr>
              <w:rFonts w:ascii="Calibri" w:hAnsi="Calibri"/>
            </w:rPr>
            <w:fldChar w:fldCharType="end"/>
          </w:r>
        </w:sdtContent>
      </w:sdt>
      <w:r w:rsidRPr="002815F4">
        <w:rPr>
          <w:rFonts w:ascii="Calibri" w:hAnsi="Calibri"/>
        </w:rPr>
        <w:t xml:space="preserve">. The goals for the three-year MSG work plan (2017-2019) vary slightly and include creating conditions for consolidating progress, institutionalise access to information and implement communications strategy, coordination, oversight and consultations to drive good governance reforms, build stakeholders’ capacity on the extractive industries and improve the MSG’s performance and coordination </w:t>
      </w:r>
      <w:sdt>
        <w:sdtPr>
          <w:rPr>
            <w:rFonts w:ascii="Calibri" w:hAnsi="Calibri"/>
          </w:rPr>
          <w:id w:val="1721785445"/>
          <w:citation/>
        </w:sdtPr>
        <w:sdtEndPr/>
        <w:sdtContent>
          <w:r w:rsidRPr="002815F4">
            <w:rPr>
              <w:rFonts w:ascii="Calibri" w:hAnsi="Calibri"/>
            </w:rPr>
            <w:fldChar w:fldCharType="begin"/>
          </w:r>
          <w:r w:rsidRPr="002815F4">
            <w:rPr>
              <w:rFonts w:ascii="Calibri" w:hAnsi="Calibri"/>
            </w:rPr>
            <w:instrText xml:space="preserve"> CITATION ITI1723 \l 1033 </w:instrText>
          </w:r>
          <w:r w:rsidRPr="002815F4">
            <w:rPr>
              <w:rFonts w:ascii="Calibri" w:hAnsi="Calibri"/>
            </w:rPr>
            <w:fldChar w:fldCharType="separate"/>
          </w:r>
          <w:r w:rsidR="003E626E" w:rsidRPr="002815F4">
            <w:rPr>
              <w:rFonts w:ascii="Calibri" w:hAnsi="Calibri"/>
              <w:noProof/>
            </w:rPr>
            <w:t>(ITIE Senegal, 2017)</w:t>
          </w:r>
          <w:r w:rsidRPr="002815F4">
            <w:rPr>
              <w:rFonts w:ascii="Calibri" w:hAnsi="Calibri"/>
            </w:rPr>
            <w:fldChar w:fldCharType="end"/>
          </w:r>
        </w:sdtContent>
      </w:sdt>
      <w:r w:rsidRPr="002815F4">
        <w:rPr>
          <w:rFonts w:ascii="Calibri" w:hAnsi="Calibri"/>
        </w:rPr>
        <w:t xml:space="preserve">. The main activities not yet completed in 2017 included </w:t>
      </w:r>
      <w:r w:rsidR="0088774C" w:rsidRPr="002815F4">
        <w:rPr>
          <w:rFonts w:ascii="Calibri" w:hAnsi="Calibri"/>
        </w:rPr>
        <w:t xml:space="preserve">production of half-yearly EITI newsletters, accountancy training for MSG members and a team building workshop, while all </w:t>
      </w:r>
      <w:r w:rsidR="00E217A9" w:rsidRPr="002815F4">
        <w:rPr>
          <w:rFonts w:ascii="Calibri" w:hAnsi="Calibri"/>
        </w:rPr>
        <w:t xml:space="preserve">35 other activities of the 2017 work plan had either been completed or had been initiated as of 1 September 2017. </w:t>
      </w:r>
    </w:p>
    <w:p w14:paraId="2C458A78" w14:textId="6C1EECA1" w:rsidR="000B70D0" w:rsidRPr="002815F4" w:rsidRDefault="000B70D0" w:rsidP="009B3E66">
      <w:pPr>
        <w:pStyle w:val="Heading2notindexed"/>
      </w:pPr>
      <w:bookmarkStart w:id="51" w:name="_Toc307943899"/>
      <w:bookmarkStart w:id="52" w:name="_Toc459133079"/>
      <w:bookmarkStart w:id="53" w:name="_Toc461803028"/>
      <w:bookmarkStart w:id="54" w:name="_Toc461787309"/>
      <w:r w:rsidRPr="002815F4">
        <w:lastRenderedPageBreak/>
        <w:t>History of EITI Reporting</w:t>
      </w:r>
      <w:bookmarkEnd w:id="51"/>
      <w:bookmarkEnd w:id="52"/>
      <w:bookmarkEnd w:id="53"/>
      <w:bookmarkEnd w:id="54"/>
    </w:p>
    <w:p w14:paraId="67DAF0AF" w14:textId="30AB8E7C" w:rsidR="005C3BF1" w:rsidRPr="00FC405C" w:rsidRDefault="005C3BF1">
      <w:pPr>
        <w:rPr>
          <w:rFonts w:ascii="Calibri" w:hAnsi="Calibri"/>
        </w:rPr>
      </w:pPr>
      <w:r w:rsidRPr="002815F4">
        <w:rPr>
          <w:rFonts w:ascii="Calibri" w:hAnsi="Calibri"/>
          <w:bCs/>
        </w:rPr>
        <w:t xml:space="preserve">Senegal has produced two EITI Reports covering the fiscal years 2013-2014. The MSG has published reports with a two-year time-lag but are attempting to catch up in 2017 by preparing the third report covering fiscal years 2015-2016. The MSG has undertaken extensive outreach and consultations as well as targeted studies alongside its main EITI reporting. With EITI implementation welcomed by the investment community from the start </w:t>
      </w:r>
      <w:sdt>
        <w:sdtPr>
          <w:rPr>
            <w:rFonts w:ascii="Calibri" w:hAnsi="Calibri"/>
          </w:rPr>
          <w:id w:val="-1126310250"/>
          <w:citation/>
        </w:sdtPr>
        <w:sdtEndPr/>
        <w:sdtContent>
          <w:r w:rsidRPr="002815F4">
            <w:rPr>
              <w:rFonts w:ascii="Calibri" w:hAnsi="Calibri"/>
            </w:rPr>
            <w:fldChar w:fldCharType="begin"/>
          </w:r>
          <w:r w:rsidRPr="002815F4">
            <w:rPr>
              <w:rFonts w:ascii="Calibri" w:hAnsi="Calibri"/>
            </w:rPr>
            <w:instrText xml:space="preserve"> CITATION Wor14 \l 1033 </w:instrText>
          </w:r>
          <w:r w:rsidRPr="002815F4">
            <w:rPr>
              <w:rFonts w:ascii="Calibri" w:hAnsi="Calibri"/>
            </w:rPr>
            <w:fldChar w:fldCharType="separate"/>
          </w:r>
          <w:r w:rsidR="003E626E" w:rsidRPr="002815F4">
            <w:rPr>
              <w:rFonts w:ascii="Calibri" w:hAnsi="Calibri"/>
              <w:noProof/>
            </w:rPr>
            <w:t>(World Bank, 2014)</w:t>
          </w:r>
          <w:r w:rsidRPr="002815F4">
            <w:rPr>
              <w:rFonts w:ascii="Calibri" w:hAnsi="Calibri"/>
            </w:rPr>
            <w:fldChar w:fldCharType="end"/>
          </w:r>
        </w:sdtContent>
      </w:sdt>
      <w:r w:rsidRPr="002815F4">
        <w:rPr>
          <w:rFonts w:ascii="Calibri" w:hAnsi="Calibri"/>
        </w:rPr>
        <w:t xml:space="preserve"> </w:t>
      </w:r>
      <w:sdt>
        <w:sdtPr>
          <w:rPr>
            <w:rFonts w:ascii="Calibri" w:hAnsi="Calibri"/>
          </w:rPr>
          <w:id w:val="-1974899039"/>
          <w:citation/>
        </w:sdtPr>
        <w:sdtEndPr/>
        <w:sdtContent>
          <w:r w:rsidRPr="002815F4">
            <w:rPr>
              <w:rFonts w:ascii="Calibri" w:hAnsi="Calibri"/>
            </w:rPr>
            <w:fldChar w:fldCharType="begin"/>
          </w:r>
          <w:r w:rsidRPr="002815F4">
            <w:rPr>
              <w:rFonts w:ascii="Calibri" w:hAnsi="Calibri"/>
            </w:rPr>
            <w:instrText xml:space="preserve"> CITATION Moo13 \l 1033 </w:instrText>
          </w:r>
          <w:r w:rsidRPr="002815F4">
            <w:rPr>
              <w:rFonts w:ascii="Calibri" w:hAnsi="Calibri"/>
            </w:rPr>
            <w:fldChar w:fldCharType="separate"/>
          </w:r>
          <w:r w:rsidR="003E626E" w:rsidRPr="002815F4">
            <w:rPr>
              <w:rFonts w:ascii="Calibri" w:hAnsi="Calibri"/>
              <w:noProof/>
            </w:rPr>
            <w:t>(Moody's, 2013)</w:t>
          </w:r>
          <w:r w:rsidRPr="002815F4">
            <w:rPr>
              <w:rFonts w:ascii="Calibri" w:hAnsi="Calibri"/>
            </w:rPr>
            <w:fldChar w:fldCharType="end"/>
          </w:r>
        </w:sdtContent>
      </w:sdt>
      <w:r w:rsidRPr="002815F4">
        <w:rPr>
          <w:rFonts w:ascii="Calibri" w:hAnsi="Calibri"/>
        </w:rPr>
        <w:t xml:space="preserve">, there has been a commercial impetus to using the EITI to open up information on the oversight of the mining, oil and gas sectors, both for the general public and investors. </w:t>
      </w:r>
      <w:r w:rsidRPr="002815F4">
        <w:rPr>
          <w:rFonts w:ascii="Calibri" w:hAnsi="Calibri"/>
          <w:bCs/>
        </w:rPr>
        <w:t xml:space="preserve">Additional details on the Senegal’s EITI Reports are provided in Annex </w:t>
      </w:r>
      <w:r w:rsidR="007C2295" w:rsidRPr="002815F4">
        <w:rPr>
          <w:rFonts w:ascii="Calibri" w:hAnsi="Calibri"/>
          <w:bCs/>
        </w:rPr>
        <w:t>C</w:t>
      </w:r>
      <w:r w:rsidRPr="002815F4">
        <w:rPr>
          <w:rFonts w:ascii="Calibri" w:hAnsi="Calibri"/>
          <w:bCs/>
        </w:rPr>
        <w:t>.</w:t>
      </w:r>
    </w:p>
    <w:p w14:paraId="66E23BC4" w14:textId="066A7D45" w:rsidR="000B70D0" w:rsidRPr="002815F4" w:rsidRDefault="000B70D0" w:rsidP="009B3E66">
      <w:pPr>
        <w:pStyle w:val="Heading2notindexed"/>
      </w:pPr>
      <w:bookmarkStart w:id="55" w:name="_Toc307943900"/>
      <w:bookmarkStart w:id="56" w:name="_Toc459133080"/>
      <w:bookmarkStart w:id="57" w:name="_Toc461803029"/>
      <w:bookmarkStart w:id="58" w:name="_Toc461787310"/>
      <w:r w:rsidRPr="002815F4">
        <w:t>Summary of engagement by government, civil society and industry</w:t>
      </w:r>
      <w:bookmarkEnd w:id="55"/>
      <w:bookmarkEnd w:id="56"/>
      <w:bookmarkEnd w:id="57"/>
      <w:bookmarkEnd w:id="58"/>
    </w:p>
    <w:p w14:paraId="7A3572D7" w14:textId="603B7BF5" w:rsidR="00C61441" w:rsidRPr="002815F4" w:rsidRDefault="00C61441" w:rsidP="006A19CC">
      <w:pPr>
        <w:rPr>
          <w:rFonts w:ascii="Calibri" w:hAnsi="Calibri"/>
          <w:bCs/>
        </w:rPr>
      </w:pPr>
      <w:r w:rsidRPr="002815F4">
        <w:rPr>
          <w:rFonts w:ascii="Calibri" w:hAnsi="Calibri"/>
          <w:bCs/>
        </w:rPr>
        <w:t xml:space="preserve">Permanent members of the MSG were selected </w:t>
      </w:r>
      <w:r w:rsidR="009C6D72" w:rsidRPr="002815F4">
        <w:rPr>
          <w:rFonts w:ascii="Calibri" w:hAnsi="Calibri"/>
          <w:bCs/>
        </w:rPr>
        <w:t>in June 2013</w:t>
      </w:r>
      <w:r w:rsidRPr="002815F4">
        <w:rPr>
          <w:rFonts w:ascii="Calibri" w:hAnsi="Calibri"/>
          <w:bCs/>
        </w:rPr>
        <w:t xml:space="preserve">, </w:t>
      </w:r>
      <w:r w:rsidR="009C6D72" w:rsidRPr="002815F4">
        <w:rPr>
          <w:rFonts w:ascii="Calibri" w:hAnsi="Calibri"/>
          <w:bCs/>
        </w:rPr>
        <w:t>following targeted outreach by the Ministry of Energy and Mines in 2012</w:t>
      </w:r>
      <w:r w:rsidRPr="002815F4">
        <w:rPr>
          <w:rFonts w:ascii="Calibri" w:hAnsi="Calibri"/>
          <w:bCs/>
        </w:rPr>
        <w:t xml:space="preserve">. </w:t>
      </w:r>
      <w:r w:rsidR="00EF78B5" w:rsidRPr="002815F4">
        <w:rPr>
          <w:rFonts w:ascii="Calibri" w:hAnsi="Calibri"/>
          <w:bCs/>
        </w:rPr>
        <w:t>An updated list of MSG members is available on the Senegal EITI website</w:t>
      </w:r>
      <w:r w:rsidR="00EF78B5" w:rsidRPr="002815F4">
        <w:rPr>
          <w:rStyle w:val="FootnoteReference"/>
          <w:rFonts w:ascii="Calibri" w:hAnsi="Calibri"/>
          <w:bCs/>
        </w:rPr>
        <w:footnoteReference w:id="8"/>
      </w:r>
      <w:r w:rsidR="00EF78B5" w:rsidRPr="002815F4">
        <w:rPr>
          <w:rFonts w:ascii="Calibri" w:hAnsi="Calibri"/>
          <w:bCs/>
        </w:rPr>
        <w:t xml:space="preserve"> and in Annex A. </w:t>
      </w:r>
      <w:r w:rsidR="009C6D72" w:rsidRPr="002815F4">
        <w:rPr>
          <w:rFonts w:ascii="Calibri" w:hAnsi="Calibri"/>
          <w:bCs/>
        </w:rPr>
        <w:t xml:space="preserve">The MSG members were renewed in stages in the July 2015-August 2016 period, with changes in MSG members staggered per constituency six months apart. The new MSG membership was approved by Decree 11672 on 9 August 2016 </w:t>
      </w:r>
      <w:sdt>
        <w:sdtPr>
          <w:rPr>
            <w:rFonts w:ascii="Calibri" w:hAnsi="Calibri"/>
            <w:bCs/>
          </w:rPr>
          <w:id w:val="1143091371"/>
          <w:citation/>
        </w:sdtPr>
        <w:sdtEndPr/>
        <w:sdtContent>
          <w:r w:rsidR="009C6D72" w:rsidRPr="002815F4">
            <w:rPr>
              <w:rFonts w:ascii="Calibri" w:hAnsi="Calibri"/>
              <w:bCs/>
            </w:rPr>
            <w:fldChar w:fldCharType="begin"/>
          </w:r>
          <w:r w:rsidR="009C6D72" w:rsidRPr="002815F4">
            <w:rPr>
              <w:rFonts w:ascii="Calibri" w:hAnsi="Calibri"/>
              <w:bCs/>
            </w:rPr>
            <w:instrText xml:space="preserve"> CITATION Pre161 \l 1033 </w:instrText>
          </w:r>
          <w:r w:rsidR="009C6D72" w:rsidRPr="002815F4">
            <w:rPr>
              <w:rFonts w:ascii="Calibri" w:hAnsi="Calibri"/>
              <w:bCs/>
            </w:rPr>
            <w:fldChar w:fldCharType="separate"/>
          </w:r>
          <w:r w:rsidR="003E626E" w:rsidRPr="002815F4">
            <w:rPr>
              <w:rFonts w:ascii="Calibri" w:hAnsi="Calibri"/>
              <w:noProof/>
            </w:rPr>
            <w:t>(President de la Republique, 2016)</w:t>
          </w:r>
          <w:r w:rsidR="009C6D72" w:rsidRPr="002815F4">
            <w:rPr>
              <w:rFonts w:ascii="Calibri" w:hAnsi="Calibri"/>
              <w:bCs/>
            </w:rPr>
            <w:fldChar w:fldCharType="end"/>
          </w:r>
        </w:sdtContent>
      </w:sdt>
      <w:r w:rsidR="009C6D72" w:rsidRPr="002815F4">
        <w:rPr>
          <w:rFonts w:ascii="Calibri" w:hAnsi="Calibri"/>
          <w:bCs/>
        </w:rPr>
        <w:t xml:space="preserve">. </w:t>
      </w:r>
      <w:r w:rsidRPr="002815F4">
        <w:rPr>
          <w:rFonts w:ascii="Calibri" w:hAnsi="Calibri"/>
          <w:bCs/>
        </w:rPr>
        <w:t xml:space="preserve">Analysis of meeting attendance shows that attendance in the 2013-2017 period has been consistent from </w:t>
      </w:r>
      <w:r w:rsidR="000554D3" w:rsidRPr="002815F4">
        <w:rPr>
          <w:rFonts w:ascii="Calibri" w:hAnsi="Calibri"/>
          <w:bCs/>
        </w:rPr>
        <w:t xml:space="preserve">a majority of each of the three constituencies on the MSG, with over three </w:t>
      </w:r>
      <w:r w:rsidR="001F24F8" w:rsidRPr="002815F4">
        <w:rPr>
          <w:rFonts w:ascii="Calibri" w:hAnsi="Calibri"/>
          <w:bCs/>
        </w:rPr>
        <w:t xml:space="preserve">representatives </w:t>
      </w:r>
      <w:r w:rsidR="000554D3" w:rsidRPr="002815F4">
        <w:rPr>
          <w:rFonts w:ascii="Calibri" w:hAnsi="Calibri"/>
          <w:bCs/>
        </w:rPr>
        <w:t xml:space="preserve">from each attending every MSG meeting in the 2014-2017 period. </w:t>
      </w:r>
      <w:r w:rsidRPr="002815F4">
        <w:rPr>
          <w:rFonts w:ascii="Calibri" w:hAnsi="Calibri"/>
          <w:bCs/>
        </w:rPr>
        <w:t>Stakeholder engagement in the design, implementation and monitoring of the EITI process has been constantly strong.</w:t>
      </w:r>
      <w:r w:rsidR="00FC405C">
        <w:rPr>
          <w:rFonts w:ascii="Calibri" w:hAnsi="Calibri"/>
          <w:bCs/>
        </w:rPr>
        <w:t xml:space="preserve"> </w:t>
      </w:r>
      <w:r w:rsidRPr="002815F4">
        <w:rPr>
          <w:rFonts w:ascii="Calibri" w:hAnsi="Calibri"/>
          <w:bCs/>
        </w:rPr>
        <w:t xml:space="preserve">Additional details on MSG members’ meeting attendance are provided in Annex </w:t>
      </w:r>
      <w:r w:rsidR="00EF78B5" w:rsidRPr="002815F4">
        <w:rPr>
          <w:rFonts w:ascii="Calibri" w:hAnsi="Calibri"/>
          <w:bCs/>
        </w:rPr>
        <w:t>B</w:t>
      </w:r>
      <w:r w:rsidRPr="002815F4">
        <w:rPr>
          <w:rFonts w:ascii="Calibri" w:hAnsi="Calibri"/>
          <w:bCs/>
        </w:rPr>
        <w:t xml:space="preserve">. </w:t>
      </w:r>
    </w:p>
    <w:p w14:paraId="1354B9C7" w14:textId="406527AD" w:rsidR="000B70D0" w:rsidRPr="002815F4" w:rsidRDefault="000B70D0" w:rsidP="009B3E66">
      <w:pPr>
        <w:pStyle w:val="Heading2notindexed"/>
      </w:pPr>
      <w:bookmarkStart w:id="59" w:name="_Toc307943901"/>
      <w:bookmarkStart w:id="60" w:name="_Toc459133081"/>
      <w:bookmarkStart w:id="61" w:name="_Toc461803030"/>
      <w:bookmarkStart w:id="62" w:name="_Toc461787311"/>
      <w:bookmarkStart w:id="63" w:name="_Toc461795826"/>
      <w:r w:rsidRPr="002815F4">
        <w:t>Key features of the extractive industry</w:t>
      </w:r>
      <w:bookmarkEnd w:id="59"/>
      <w:bookmarkEnd w:id="60"/>
      <w:bookmarkEnd w:id="61"/>
      <w:bookmarkEnd w:id="62"/>
      <w:bookmarkEnd w:id="63"/>
    </w:p>
    <w:p w14:paraId="3B9A3661" w14:textId="098C4B56" w:rsidR="00E27D03" w:rsidRPr="002815F4" w:rsidRDefault="0090657B" w:rsidP="00737947">
      <w:pPr>
        <w:rPr>
          <w:rFonts w:ascii="Calibri" w:hAnsi="Calibri"/>
          <w:bCs/>
        </w:rPr>
      </w:pPr>
      <w:bookmarkStart w:id="64" w:name="_Toc307943902"/>
      <w:r w:rsidRPr="002815F4">
        <w:rPr>
          <w:rFonts w:ascii="Calibri" w:hAnsi="Calibri"/>
          <w:bCs/>
        </w:rPr>
        <w:t xml:space="preserve">Senegal is not an economy dependent on extractive industries, with revenues from mining, oil and gas accounting for only less than 2% of government revenues. Yet the country holds significant reserves of </w:t>
      </w:r>
      <w:r w:rsidR="00737947" w:rsidRPr="002815F4">
        <w:rPr>
          <w:rFonts w:ascii="Calibri" w:hAnsi="Calibri"/>
          <w:bCs/>
        </w:rPr>
        <w:t>gold, iron ore, uranium, copper</w:t>
      </w:r>
      <w:r w:rsidRPr="002815F4">
        <w:rPr>
          <w:rFonts w:ascii="Calibri" w:hAnsi="Calibri"/>
          <w:bCs/>
        </w:rPr>
        <w:t>,</w:t>
      </w:r>
      <w:r w:rsidR="00737947" w:rsidRPr="002815F4">
        <w:rPr>
          <w:rFonts w:ascii="Calibri" w:hAnsi="Calibri"/>
          <w:bCs/>
        </w:rPr>
        <w:t xml:space="preserve"> chromium</w:t>
      </w:r>
      <w:r w:rsidRPr="002815F4">
        <w:rPr>
          <w:rFonts w:ascii="Calibri" w:hAnsi="Calibri"/>
          <w:bCs/>
        </w:rPr>
        <w:t xml:space="preserve"> and marble </w:t>
      </w:r>
      <w:sdt>
        <w:sdtPr>
          <w:rPr>
            <w:rFonts w:ascii="Calibri" w:hAnsi="Calibri"/>
            <w:bCs/>
          </w:rPr>
          <w:id w:val="1586259913"/>
          <w:citation/>
        </w:sdtPr>
        <w:sdtEndPr/>
        <w:sdtContent>
          <w:r w:rsidRPr="002815F4">
            <w:rPr>
              <w:rFonts w:ascii="Calibri" w:hAnsi="Calibri"/>
              <w:bCs/>
            </w:rPr>
            <w:fldChar w:fldCharType="begin"/>
          </w:r>
          <w:r w:rsidRPr="002815F4">
            <w:rPr>
              <w:rFonts w:ascii="Calibri" w:hAnsi="Calibri"/>
              <w:bCs/>
            </w:rPr>
            <w:instrText xml:space="preserve"> CITATION Amn14 \l 1033 </w:instrText>
          </w:r>
          <w:r w:rsidRPr="002815F4">
            <w:rPr>
              <w:rFonts w:ascii="Calibri" w:hAnsi="Calibri"/>
              <w:bCs/>
            </w:rPr>
            <w:fldChar w:fldCharType="separate"/>
          </w:r>
          <w:r w:rsidR="003E626E" w:rsidRPr="002815F4">
            <w:rPr>
              <w:rFonts w:ascii="Calibri" w:hAnsi="Calibri"/>
              <w:noProof/>
            </w:rPr>
            <w:t>(Amnesty International, 2014)</w:t>
          </w:r>
          <w:r w:rsidRPr="002815F4">
            <w:rPr>
              <w:rFonts w:ascii="Calibri" w:hAnsi="Calibri"/>
              <w:bCs/>
            </w:rPr>
            <w:fldChar w:fldCharType="end"/>
          </w:r>
        </w:sdtContent>
      </w:sdt>
      <w:r w:rsidRPr="002815F4">
        <w:rPr>
          <w:rFonts w:ascii="Calibri" w:hAnsi="Calibri"/>
          <w:bCs/>
        </w:rPr>
        <w:t xml:space="preserve"> </w:t>
      </w:r>
      <w:r w:rsidR="00CD066E" w:rsidRPr="002815F4">
        <w:rPr>
          <w:rFonts w:ascii="Calibri" w:hAnsi="Calibri"/>
          <w:bCs/>
        </w:rPr>
        <w:t>Senegal is among the world’s leading producers of phosphate</w:t>
      </w:r>
      <w:r w:rsidR="00932F87" w:rsidRPr="002815F4">
        <w:rPr>
          <w:rFonts w:ascii="Calibri" w:hAnsi="Calibri"/>
          <w:bCs/>
        </w:rPr>
        <w:t>, with annual production of 1.4m tons a year in 2015</w:t>
      </w:r>
      <w:r w:rsidR="00CD066E" w:rsidRPr="002815F4">
        <w:rPr>
          <w:rFonts w:ascii="Calibri" w:hAnsi="Calibri"/>
          <w:bCs/>
        </w:rPr>
        <w:t xml:space="preserve">, alongside smaller production of gold, natural gas and various construction materials </w:t>
      </w:r>
      <w:sdt>
        <w:sdtPr>
          <w:rPr>
            <w:rFonts w:ascii="Calibri" w:hAnsi="Calibri"/>
            <w:bCs/>
          </w:rPr>
          <w:id w:val="1431706489"/>
          <w:citation/>
        </w:sdtPr>
        <w:sdtEndPr/>
        <w:sdtContent>
          <w:r w:rsidR="00932F87" w:rsidRPr="002815F4">
            <w:rPr>
              <w:rFonts w:ascii="Calibri" w:hAnsi="Calibri"/>
              <w:bCs/>
            </w:rPr>
            <w:fldChar w:fldCharType="begin"/>
          </w:r>
          <w:r w:rsidR="00932F87" w:rsidRPr="002815F4">
            <w:rPr>
              <w:rFonts w:ascii="Calibri" w:hAnsi="Calibri"/>
              <w:bCs/>
            </w:rPr>
            <w:instrText xml:space="preserve"> CITATION Wor162 \l 1033 </w:instrText>
          </w:r>
          <w:r w:rsidR="00932F87" w:rsidRPr="002815F4">
            <w:rPr>
              <w:rFonts w:ascii="Calibri" w:hAnsi="Calibri"/>
              <w:bCs/>
            </w:rPr>
            <w:fldChar w:fldCharType="separate"/>
          </w:r>
          <w:r w:rsidR="00932F87" w:rsidRPr="002815F4">
            <w:rPr>
              <w:rFonts w:ascii="Calibri" w:hAnsi="Calibri"/>
              <w:noProof/>
            </w:rPr>
            <w:t>(World Bank, 2016)</w:t>
          </w:r>
          <w:r w:rsidR="00932F87" w:rsidRPr="002815F4">
            <w:rPr>
              <w:rFonts w:ascii="Calibri" w:hAnsi="Calibri"/>
              <w:bCs/>
            </w:rPr>
            <w:fldChar w:fldCharType="end"/>
          </w:r>
        </w:sdtContent>
      </w:sdt>
      <w:r w:rsidR="00932F87" w:rsidRPr="002815F4">
        <w:rPr>
          <w:rFonts w:ascii="Calibri" w:hAnsi="Calibri"/>
          <w:bCs/>
        </w:rPr>
        <w:t xml:space="preserve"> </w:t>
      </w:r>
      <w:sdt>
        <w:sdtPr>
          <w:rPr>
            <w:rFonts w:ascii="Calibri" w:hAnsi="Calibri"/>
            <w:bCs/>
          </w:rPr>
          <w:id w:val="1485891665"/>
          <w:citation/>
        </w:sdtPr>
        <w:sdtEndPr/>
        <w:sdtContent>
          <w:r w:rsidRPr="002815F4">
            <w:rPr>
              <w:rFonts w:ascii="Calibri" w:hAnsi="Calibri"/>
              <w:bCs/>
            </w:rPr>
            <w:fldChar w:fldCharType="begin"/>
          </w:r>
          <w:r w:rsidRPr="002815F4">
            <w:rPr>
              <w:rFonts w:ascii="Calibri" w:hAnsi="Calibri"/>
              <w:bCs/>
            </w:rPr>
            <w:instrText xml:space="preserve"> CITATION USG161 \l 1033 </w:instrText>
          </w:r>
          <w:r w:rsidRPr="002815F4">
            <w:rPr>
              <w:rFonts w:ascii="Calibri" w:hAnsi="Calibri"/>
              <w:bCs/>
            </w:rPr>
            <w:fldChar w:fldCharType="separate"/>
          </w:r>
          <w:r w:rsidR="003E626E" w:rsidRPr="002815F4">
            <w:rPr>
              <w:rFonts w:ascii="Calibri" w:hAnsi="Calibri"/>
              <w:noProof/>
            </w:rPr>
            <w:t>(USGS, 2016)</w:t>
          </w:r>
          <w:r w:rsidRPr="002815F4">
            <w:rPr>
              <w:rFonts w:ascii="Calibri" w:hAnsi="Calibri"/>
              <w:bCs/>
            </w:rPr>
            <w:fldChar w:fldCharType="end"/>
          </w:r>
        </w:sdtContent>
      </w:sdt>
      <w:r w:rsidR="00737947" w:rsidRPr="002815F4">
        <w:rPr>
          <w:rFonts w:ascii="Calibri" w:hAnsi="Calibri"/>
          <w:bCs/>
        </w:rPr>
        <w:t>.</w:t>
      </w:r>
      <w:r w:rsidR="00E2555C" w:rsidRPr="002815F4">
        <w:rPr>
          <w:rFonts w:ascii="Calibri" w:hAnsi="Calibri"/>
          <w:bCs/>
        </w:rPr>
        <w:t xml:space="preserve"> The Birimian Greenstone Gold Belt runs through the south-eastern region of Kedougou, which holds 10m oz of gold reserves alone </w:t>
      </w:r>
      <w:sdt>
        <w:sdtPr>
          <w:rPr>
            <w:rFonts w:ascii="Calibri" w:hAnsi="Calibri"/>
            <w:bCs/>
          </w:rPr>
          <w:id w:val="-1752878202"/>
          <w:citation/>
        </w:sdtPr>
        <w:sdtEndPr/>
        <w:sdtContent>
          <w:r w:rsidR="00E2555C" w:rsidRPr="002815F4">
            <w:rPr>
              <w:rFonts w:ascii="Calibri" w:hAnsi="Calibri"/>
              <w:bCs/>
            </w:rPr>
            <w:fldChar w:fldCharType="begin"/>
          </w:r>
          <w:r w:rsidR="00E2555C" w:rsidRPr="002815F4">
            <w:rPr>
              <w:rFonts w:ascii="Calibri" w:hAnsi="Calibri"/>
              <w:bCs/>
            </w:rPr>
            <w:instrText xml:space="preserve"> CITATION Amn14 \l 1033 </w:instrText>
          </w:r>
          <w:r w:rsidR="00E2555C" w:rsidRPr="002815F4">
            <w:rPr>
              <w:rFonts w:ascii="Calibri" w:hAnsi="Calibri"/>
              <w:bCs/>
            </w:rPr>
            <w:fldChar w:fldCharType="separate"/>
          </w:r>
          <w:r w:rsidR="003E626E" w:rsidRPr="002815F4">
            <w:rPr>
              <w:rFonts w:ascii="Calibri" w:hAnsi="Calibri"/>
              <w:noProof/>
            </w:rPr>
            <w:t>(Amnesty International, 2014)</w:t>
          </w:r>
          <w:r w:rsidR="00E2555C" w:rsidRPr="002815F4">
            <w:rPr>
              <w:rFonts w:ascii="Calibri" w:hAnsi="Calibri"/>
              <w:bCs/>
            </w:rPr>
            <w:fldChar w:fldCharType="end"/>
          </w:r>
        </w:sdtContent>
      </w:sdt>
      <w:r w:rsidR="00E27D03" w:rsidRPr="002815F4">
        <w:rPr>
          <w:rFonts w:ascii="Calibri" w:hAnsi="Calibri"/>
          <w:bCs/>
        </w:rPr>
        <w:t xml:space="preserve">. </w:t>
      </w:r>
      <w:r w:rsidR="00932F87" w:rsidRPr="002815F4">
        <w:rPr>
          <w:rFonts w:ascii="Calibri" w:hAnsi="Calibri"/>
          <w:bCs/>
        </w:rPr>
        <w:t>Senegal also has sufficient reserves to become a world-leading producer of heavy metals like ilmenite and zircon</w:t>
      </w:r>
      <w:sdt>
        <w:sdtPr>
          <w:rPr>
            <w:rFonts w:ascii="Calibri" w:hAnsi="Calibri"/>
            <w:bCs/>
          </w:rPr>
          <w:id w:val="1322781159"/>
          <w:citation/>
        </w:sdtPr>
        <w:sdtEndPr/>
        <w:sdtContent>
          <w:r w:rsidR="00F8523E" w:rsidRPr="002815F4">
            <w:rPr>
              <w:rFonts w:ascii="Calibri" w:hAnsi="Calibri"/>
              <w:bCs/>
            </w:rPr>
            <w:fldChar w:fldCharType="begin"/>
          </w:r>
          <w:r w:rsidR="00F8523E" w:rsidRPr="002815F4">
            <w:rPr>
              <w:rFonts w:ascii="Calibri" w:hAnsi="Calibri"/>
              <w:bCs/>
            </w:rPr>
            <w:instrText xml:space="preserve"> CITATION Wor162 \l 1033 </w:instrText>
          </w:r>
          <w:r w:rsidR="00F8523E" w:rsidRPr="002815F4">
            <w:rPr>
              <w:rFonts w:ascii="Calibri" w:hAnsi="Calibri"/>
              <w:bCs/>
            </w:rPr>
            <w:fldChar w:fldCharType="separate"/>
          </w:r>
          <w:r w:rsidR="00F8523E" w:rsidRPr="002815F4">
            <w:rPr>
              <w:rFonts w:ascii="Calibri" w:hAnsi="Calibri"/>
              <w:bCs/>
              <w:noProof/>
            </w:rPr>
            <w:t xml:space="preserve"> </w:t>
          </w:r>
          <w:r w:rsidR="00F8523E" w:rsidRPr="002815F4">
            <w:rPr>
              <w:rFonts w:ascii="Calibri" w:hAnsi="Calibri"/>
              <w:noProof/>
            </w:rPr>
            <w:t>(World Bank, 2016)</w:t>
          </w:r>
          <w:r w:rsidR="00F8523E" w:rsidRPr="002815F4">
            <w:rPr>
              <w:rFonts w:ascii="Calibri" w:hAnsi="Calibri"/>
              <w:bCs/>
            </w:rPr>
            <w:fldChar w:fldCharType="end"/>
          </w:r>
        </w:sdtContent>
      </w:sdt>
      <w:r w:rsidR="00932F87" w:rsidRPr="002815F4">
        <w:rPr>
          <w:rFonts w:ascii="Calibri" w:hAnsi="Calibri"/>
          <w:bCs/>
        </w:rPr>
        <w:t xml:space="preserve">. </w:t>
      </w:r>
      <w:r w:rsidR="00E27D03" w:rsidRPr="002815F4">
        <w:rPr>
          <w:rFonts w:ascii="Calibri" w:hAnsi="Calibri"/>
          <w:bCs/>
        </w:rPr>
        <w:t xml:space="preserve">The government has given priority to the development of mining through a new mining code in October 2016 and investing in supporting transportation infrastructure. Senegal boasts some of the largest deposits of gold in Africa, an estimated 2.24m oz, and of high-quality iron ore, an estimated 750m tons of reserves </w:t>
      </w:r>
      <w:sdt>
        <w:sdtPr>
          <w:rPr>
            <w:rFonts w:ascii="Calibri" w:hAnsi="Calibri"/>
            <w:bCs/>
          </w:rPr>
          <w:id w:val="1832487860"/>
          <w:citation/>
        </w:sdtPr>
        <w:sdtEndPr/>
        <w:sdtContent>
          <w:r w:rsidR="00E27D03" w:rsidRPr="002815F4">
            <w:rPr>
              <w:rFonts w:ascii="Calibri" w:hAnsi="Calibri"/>
              <w:bCs/>
            </w:rPr>
            <w:fldChar w:fldCharType="begin"/>
          </w:r>
          <w:r w:rsidR="00E27D03" w:rsidRPr="002815F4">
            <w:rPr>
              <w:rFonts w:ascii="Calibri" w:hAnsi="Calibri"/>
              <w:bCs/>
            </w:rPr>
            <w:instrText xml:space="preserve"> CITATION Laz171 \l 1033 </w:instrText>
          </w:r>
          <w:r w:rsidR="00E27D03" w:rsidRPr="002815F4">
            <w:rPr>
              <w:rFonts w:ascii="Calibri" w:hAnsi="Calibri"/>
              <w:bCs/>
            </w:rPr>
            <w:fldChar w:fldCharType="separate"/>
          </w:r>
          <w:r w:rsidR="003E626E" w:rsidRPr="002815F4">
            <w:rPr>
              <w:rFonts w:ascii="Calibri" w:hAnsi="Calibri"/>
              <w:noProof/>
            </w:rPr>
            <w:t>(Lazard Asset Management , 2017)</w:t>
          </w:r>
          <w:r w:rsidR="00E27D03" w:rsidRPr="002815F4">
            <w:rPr>
              <w:rFonts w:ascii="Calibri" w:hAnsi="Calibri"/>
              <w:bCs/>
            </w:rPr>
            <w:fldChar w:fldCharType="end"/>
          </w:r>
        </w:sdtContent>
      </w:sdt>
      <w:r w:rsidR="00E27D03" w:rsidRPr="002815F4">
        <w:rPr>
          <w:rFonts w:ascii="Calibri" w:hAnsi="Calibri"/>
          <w:bCs/>
        </w:rPr>
        <w:t xml:space="preserve"> </w:t>
      </w:r>
      <w:sdt>
        <w:sdtPr>
          <w:rPr>
            <w:rFonts w:ascii="Calibri" w:hAnsi="Calibri"/>
            <w:bCs/>
          </w:rPr>
          <w:id w:val="997697395"/>
          <w:citation/>
        </w:sdtPr>
        <w:sdtEndPr/>
        <w:sdtContent>
          <w:r w:rsidR="00E27D03" w:rsidRPr="002815F4">
            <w:rPr>
              <w:rFonts w:ascii="Calibri" w:hAnsi="Calibri"/>
              <w:bCs/>
            </w:rPr>
            <w:fldChar w:fldCharType="begin"/>
          </w:r>
          <w:r w:rsidR="00E27D03" w:rsidRPr="002815F4">
            <w:rPr>
              <w:rFonts w:ascii="Calibri" w:hAnsi="Calibri"/>
              <w:bCs/>
            </w:rPr>
            <w:instrText xml:space="preserve"> CITATION USG161 \l 1033 </w:instrText>
          </w:r>
          <w:r w:rsidR="00E27D03" w:rsidRPr="002815F4">
            <w:rPr>
              <w:rFonts w:ascii="Calibri" w:hAnsi="Calibri"/>
              <w:bCs/>
            </w:rPr>
            <w:fldChar w:fldCharType="separate"/>
          </w:r>
          <w:r w:rsidR="003E626E" w:rsidRPr="002815F4">
            <w:rPr>
              <w:rFonts w:ascii="Calibri" w:hAnsi="Calibri"/>
              <w:noProof/>
            </w:rPr>
            <w:t>(USGS, 2016)</w:t>
          </w:r>
          <w:r w:rsidR="00E27D03" w:rsidRPr="002815F4">
            <w:rPr>
              <w:rFonts w:ascii="Calibri" w:hAnsi="Calibri"/>
              <w:bCs/>
            </w:rPr>
            <w:fldChar w:fldCharType="end"/>
          </w:r>
        </w:sdtContent>
      </w:sdt>
      <w:r w:rsidR="00E27D03" w:rsidRPr="002815F4">
        <w:rPr>
          <w:rFonts w:ascii="Calibri" w:hAnsi="Calibri"/>
          <w:bCs/>
        </w:rPr>
        <w:t xml:space="preserve">. </w:t>
      </w:r>
    </w:p>
    <w:p w14:paraId="32C6EB4B" w14:textId="52A5BCE6" w:rsidR="001F7504" w:rsidRPr="002815F4" w:rsidRDefault="00E2555C" w:rsidP="007D3C6C">
      <w:pPr>
        <w:rPr>
          <w:rFonts w:ascii="Calibri" w:hAnsi="Calibri"/>
          <w:bCs/>
        </w:rPr>
      </w:pPr>
      <w:r w:rsidRPr="002815F4">
        <w:rPr>
          <w:rFonts w:ascii="Calibri" w:hAnsi="Calibri"/>
          <w:bCs/>
        </w:rPr>
        <w:t xml:space="preserve">With its extractive industries long dominated by mining, Senegal does not produce crude oil and its small gas production is earmarked for (insufficient) domestic electricity generation. Senegal imports crude oil – 1.4m tons from Nigeria in 2016 – to supply its domestic refinery, the SAR </w:t>
      </w:r>
      <w:sdt>
        <w:sdtPr>
          <w:rPr>
            <w:rFonts w:ascii="Calibri" w:hAnsi="Calibri"/>
            <w:bCs/>
          </w:rPr>
          <w:id w:val="1222789544"/>
          <w:citation/>
        </w:sdtPr>
        <w:sdtEndPr/>
        <w:sdtContent>
          <w:r w:rsidRPr="002815F4">
            <w:rPr>
              <w:rFonts w:ascii="Calibri" w:hAnsi="Calibri"/>
              <w:bCs/>
            </w:rPr>
            <w:fldChar w:fldCharType="begin"/>
          </w:r>
          <w:r w:rsidRPr="002815F4">
            <w:rPr>
              <w:rFonts w:ascii="Calibri" w:hAnsi="Calibri"/>
              <w:bCs/>
            </w:rPr>
            <w:instrText xml:space="preserve"> CITATION Rep171 \l 1033 </w:instrText>
          </w:r>
          <w:r w:rsidRPr="002815F4">
            <w:rPr>
              <w:rFonts w:ascii="Calibri" w:hAnsi="Calibri"/>
              <w:bCs/>
            </w:rPr>
            <w:fldChar w:fldCharType="separate"/>
          </w:r>
          <w:r w:rsidR="003E626E" w:rsidRPr="002815F4">
            <w:rPr>
              <w:rFonts w:ascii="Calibri" w:hAnsi="Calibri"/>
              <w:noProof/>
            </w:rPr>
            <w:t>(Republic of Senegal, 2017)</w:t>
          </w:r>
          <w:r w:rsidRPr="002815F4">
            <w:rPr>
              <w:rFonts w:ascii="Calibri" w:hAnsi="Calibri"/>
              <w:bCs/>
            </w:rPr>
            <w:fldChar w:fldCharType="end"/>
          </w:r>
        </w:sdtContent>
      </w:sdt>
      <w:r w:rsidR="00E27D03" w:rsidRPr="002815F4">
        <w:rPr>
          <w:rFonts w:ascii="Calibri" w:hAnsi="Calibri"/>
          <w:bCs/>
        </w:rPr>
        <w:t xml:space="preserve">. </w:t>
      </w:r>
      <w:r w:rsidR="00CD066E" w:rsidRPr="002815F4">
        <w:rPr>
          <w:rFonts w:ascii="Calibri" w:hAnsi="Calibri"/>
          <w:bCs/>
        </w:rPr>
        <w:lastRenderedPageBreak/>
        <w:t>While o</w:t>
      </w:r>
      <w:r w:rsidRPr="002815F4">
        <w:rPr>
          <w:rFonts w:ascii="Calibri" w:hAnsi="Calibri"/>
          <w:iCs/>
        </w:rPr>
        <w:t xml:space="preserve">ffshore oil and gas exploration in Senegal started in the 1950s, </w:t>
      </w:r>
      <w:r w:rsidR="00CD066E" w:rsidRPr="002815F4">
        <w:rPr>
          <w:rFonts w:ascii="Calibri" w:hAnsi="Calibri"/>
          <w:iCs/>
        </w:rPr>
        <w:t xml:space="preserve">major commercially-viable discoveries were only struck in 2014. </w:t>
      </w:r>
      <w:r w:rsidR="00E27D03" w:rsidRPr="002815F4">
        <w:rPr>
          <w:rFonts w:ascii="Calibri" w:hAnsi="Calibri"/>
          <w:bCs/>
        </w:rPr>
        <w:t xml:space="preserve">Senegal’s sole hydrocarbons production comes from relatively minor natural gas production (of 100k cu m a day) by Fortesa, which sells its entire production domestically to state-owned power producer SENELEC and industrial users like SOCOCIM </w:t>
      </w:r>
      <w:sdt>
        <w:sdtPr>
          <w:rPr>
            <w:rFonts w:ascii="Calibri" w:hAnsi="Calibri"/>
            <w:bCs/>
          </w:rPr>
          <w:id w:val="-869981723"/>
          <w:citation/>
        </w:sdtPr>
        <w:sdtEndPr/>
        <w:sdtContent>
          <w:r w:rsidR="00E27D03" w:rsidRPr="002815F4">
            <w:rPr>
              <w:rFonts w:ascii="Calibri" w:hAnsi="Calibri"/>
              <w:bCs/>
            </w:rPr>
            <w:fldChar w:fldCharType="begin"/>
          </w:r>
          <w:r w:rsidR="00E27D03" w:rsidRPr="002815F4">
            <w:rPr>
              <w:rFonts w:ascii="Calibri" w:hAnsi="Calibri"/>
              <w:bCs/>
            </w:rPr>
            <w:instrText xml:space="preserve"> CITATION Rep171 \l 1033 </w:instrText>
          </w:r>
          <w:r w:rsidR="00E27D03" w:rsidRPr="002815F4">
            <w:rPr>
              <w:rFonts w:ascii="Calibri" w:hAnsi="Calibri"/>
              <w:bCs/>
            </w:rPr>
            <w:fldChar w:fldCharType="separate"/>
          </w:r>
          <w:r w:rsidR="003E626E" w:rsidRPr="002815F4">
            <w:rPr>
              <w:rFonts w:ascii="Calibri" w:hAnsi="Calibri"/>
              <w:noProof/>
            </w:rPr>
            <w:t>(Republic of Senegal, 2017)</w:t>
          </w:r>
          <w:r w:rsidR="00E27D03" w:rsidRPr="002815F4">
            <w:rPr>
              <w:rFonts w:ascii="Calibri" w:hAnsi="Calibri"/>
              <w:bCs/>
            </w:rPr>
            <w:fldChar w:fldCharType="end"/>
          </w:r>
        </w:sdtContent>
      </w:sdt>
      <w:r w:rsidR="00E27D03" w:rsidRPr="002815F4">
        <w:rPr>
          <w:rFonts w:ascii="Calibri" w:hAnsi="Calibri"/>
          <w:bCs/>
        </w:rPr>
        <w:t>.</w:t>
      </w:r>
      <w:r w:rsidR="002140C1" w:rsidRPr="002815F4">
        <w:rPr>
          <w:rFonts w:ascii="Calibri" w:hAnsi="Calibri"/>
          <w:bCs/>
        </w:rPr>
        <w:t xml:space="preserve"> </w:t>
      </w:r>
      <w:r w:rsidR="00E27D03" w:rsidRPr="002815F4">
        <w:rPr>
          <w:rFonts w:ascii="Calibri" w:hAnsi="Calibri"/>
          <w:bCs/>
        </w:rPr>
        <w:t xml:space="preserve">Yet since November 2014, when </w:t>
      </w:r>
      <w:r w:rsidR="002815F4" w:rsidRPr="002815F4">
        <w:rPr>
          <w:rFonts w:ascii="Calibri" w:hAnsi="Calibri"/>
          <w:iCs/>
        </w:rPr>
        <w:t>Edinburgh</w:t>
      </w:r>
      <w:r w:rsidR="00CD066E" w:rsidRPr="002815F4">
        <w:rPr>
          <w:rFonts w:ascii="Calibri" w:hAnsi="Calibri"/>
          <w:iCs/>
        </w:rPr>
        <w:t xml:space="preserve">-based Cairn Energy acquired three licenses from FAR Ltd and Petrosen, </w:t>
      </w:r>
      <w:r w:rsidR="00E27D03" w:rsidRPr="002815F4">
        <w:rPr>
          <w:rFonts w:ascii="Calibri" w:hAnsi="Calibri"/>
          <w:iCs/>
        </w:rPr>
        <w:t>the operator has announced</w:t>
      </w:r>
      <w:r w:rsidR="00CD066E" w:rsidRPr="002815F4">
        <w:rPr>
          <w:rFonts w:ascii="Calibri" w:hAnsi="Calibri"/>
          <w:iCs/>
        </w:rPr>
        <w:t xml:space="preserve"> discoveries of up to 1.5bn barrels on the country’s deepest offshore wells </w:t>
      </w:r>
      <w:sdt>
        <w:sdtPr>
          <w:rPr>
            <w:rFonts w:ascii="Calibri" w:hAnsi="Calibri"/>
            <w:iCs/>
          </w:rPr>
          <w:id w:val="-1123071578"/>
          <w:citation/>
        </w:sdtPr>
        <w:sdtEndPr/>
        <w:sdtContent>
          <w:r w:rsidR="00CD066E" w:rsidRPr="002815F4">
            <w:rPr>
              <w:rFonts w:ascii="Calibri" w:hAnsi="Calibri"/>
              <w:iCs/>
            </w:rPr>
            <w:fldChar w:fldCharType="begin"/>
          </w:r>
          <w:r w:rsidR="00CD066E" w:rsidRPr="002815F4">
            <w:rPr>
              <w:rFonts w:ascii="Calibri" w:hAnsi="Calibri"/>
              <w:iCs/>
            </w:rPr>
            <w:instrText xml:space="preserve"> CITATION Cai15 \l 1033 </w:instrText>
          </w:r>
          <w:r w:rsidR="00CD066E" w:rsidRPr="002815F4">
            <w:rPr>
              <w:rFonts w:ascii="Calibri" w:hAnsi="Calibri"/>
              <w:iCs/>
            </w:rPr>
            <w:fldChar w:fldCharType="separate"/>
          </w:r>
          <w:r w:rsidR="003E626E" w:rsidRPr="002815F4">
            <w:rPr>
              <w:rFonts w:ascii="Calibri" w:hAnsi="Calibri"/>
              <w:noProof/>
            </w:rPr>
            <w:t>(Cairn Energy, 2015)</w:t>
          </w:r>
          <w:r w:rsidR="00CD066E" w:rsidRPr="002815F4">
            <w:rPr>
              <w:rFonts w:ascii="Calibri" w:hAnsi="Calibri"/>
              <w:iCs/>
            </w:rPr>
            <w:fldChar w:fldCharType="end"/>
          </w:r>
        </w:sdtContent>
      </w:sdt>
      <w:r w:rsidR="00CD066E" w:rsidRPr="002815F4">
        <w:rPr>
          <w:rFonts w:ascii="Calibri" w:hAnsi="Calibri"/>
          <w:iCs/>
        </w:rPr>
        <w:t xml:space="preserve"> </w:t>
      </w:r>
      <w:sdt>
        <w:sdtPr>
          <w:rPr>
            <w:rFonts w:ascii="Calibri" w:hAnsi="Calibri"/>
            <w:iCs/>
          </w:rPr>
          <w:id w:val="1508182704"/>
          <w:citation/>
        </w:sdtPr>
        <w:sdtEndPr/>
        <w:sdtContent>
          <w:r w:rsidR="00CD066E" w:rsidRPr="002815F4">
            <w:rPr>
              <w:rFonts w:ascii="Calibri" w:hAnsi="Calibri"/>
              <w:iCs/>
            </w:rPr>
            <w:fldChar w:fldCharType="begin"/>
          </w:r>
          <w:r w:rsidR="00CD066E" w:rsidRPr="002815F4">
            <w:rPr>
              <w:rFonts w:ascii="Calibri" w:hAnsi="Calibri"/>
              <w:iCs/>
            </w:rPr>
            <w:instrText xml:space="preserve"> CITATION Fin16 \l 1033 </w:instrText>
          </w:r>
          <w:r w:rsidR="00CD066E" w:rsidRPr="002815F4">
            <w:rPr>
              <w:rFonts w:ascii="Calibri" w:hAnsi="Calibri"/>
              <w:iCs/>
            </w:rPr>
            <w:fldChar w:fldCharType="separate"/>
          </w:r>
          <w:r w:rsidR="003E626E" w:rsidRPr="002815F4">
            <w:rPr>
              <w:rFonts w:ascii="Calibri" w:hAnsi="Calibri"/>
              <w:noProof/>
            </w:rPr>
            <w:t>(Financial Times, 2016)</w:t>
          </w:r>
          <w:r w:rsidR="00CD066E" w:rsidRPr="002815F4">
            <w:rPr>
              <w:rFonts w:ascii="Calibri" w:hAnsi="Calibri"/>
              <w:iCs/>
            </w:rPr>
            <w:fldChar w:fldCharType="end"/>
          </w:r>
        </w:sdtContent>
      </w:sdt>
      <w:r w:rsidR="00CD066E" w:rsidRPr="002815F4">
        <w:rPr>
          <w:rFonts w:ascii="Calibri" w:hAnsi="Calibri"/>
          <w:iCs/>
        </w:rPr>
        <w:t xml:space="preserve"> </w:t>
      </w:r>
      <w:sdt>
        <w:sdtPr>
          <w:rPr>
            <w:rFonts w:ascii="Calibri" w:hAnsi="Calibri"/>
            <w:iCs/>
          </w:rPr>
          <w:id w:val="290253162"/>
          <w:citation/>
        </w:sdtPr>
        <w:sdtEndPr/>
        <w:sdtContent>
          <w:r w:rsidR="00CD066E" w:rsidRPr="002815F4">
            <w:rPr>
              <w:rFonts w:ascii="Calibri" w:hAnsi="Calibri"/>
              <w:iCs/>
            </w:rPr>
            <w:fldChar w:fldCharType="begin"/>
          </w:r>
          <w:r w:rsidR="00CD066E" w:rsidRPr="002815F4">
            <w:rPr>
              <w:rFonts w:ascii="Calibri" w:hAnsi="Calibri"/>
              <w:iCs/>
            </w:rPr>
            <w:instrText xml:space="preserve"> CITATION IDA17 \l 1033 </w:instrText>
          </w:r>
          <w:r w:rsidR="00CD066E" w:rsidRPr="002815F4">
            <w:rPr>
              <w:rFonts w:ascii="Calibri" w:hAnsi="Calibri"/>
              <w:iCs/>
            </w:rPr>
            <w:fldChar w:fldCharType="separate"/>
          </w:r>
          <w:r w:rsidR="003E626E" w:rsidRPr="002815F4">
            <w:rPr>
              <w:rFonts w:ascii="Calibri" w:hAnsi="Calibri"/>
              <w:noProof/>
            </w:rPr>
            <w:t>(IDA Africa Watch, 2017)</w:t>
          </w:r>
          <w:r w:rsidR="00CD066E" w:rsidRPr="002815F4">
            <w:rPr>
              <w:rFonts w:ascii="Calibri" w:hAnsi="Calibri"/>
              <w:iCs/>
            </w:rPr>
            <w:fldChar w:fldCharType="end"/>
          </w:r>
        </w:sdtContent>
      </w:sdt>
      <w:r w:rsidR="00CD066E" w:rsidRPr="002815F4">
        <w:rPr>
          <w:rFonts w:ascii="Calibri" w:hAnsi="Calibri"/>
          <w:iCs/>
        </w:rPr>
        <w:t xml:space="preserve"> </w:t>
      </w:r>
      <w:sdt>
        <w:sdtPr>
          <w:rPr>
            <w:rFonts w:ascii="Calibri" w:hAnsi="Calibri"/>
            <w:iCs/>
          </w:rPr>
          <w:id w:val="701823390"/>
          <w:citation/>
        </w:sdtPr>
        <w:sdtEndPr/>
        <w:sdtContent>
          <w:r w:rsidR="00CD066E" w:rsidRPr="002815F4">
            <w:rPr>
              <w:rFonts w:ascii="Calibri" w:hAnsi="Calibri"/>
              <w:iCs/>
            </w:rPr>
            <w:fldChar w:fldCharType="begin"/>
          </w:r>
          <w:r w:rsidR="00CD066E" w:rsidRPr="002815F4">
            <w:rPr>
              <w:rFonts w:ascii="Calibri" w:hAnsi="Calibri"/>
              <w:iCs/>
            </w:rPr>
            <w:instrText xml:space="preserve"> CITATION FAR17 \l 1033 </w:instrText>
          </w:r>
          <w:r w:rsidR="00CD066E" w:rsidRPr="002815F4">
            <w:rPr>
              <w:rFonts w:ascii="Calibri" w:hAnsi="Calibri"/>
              <w:iCs/>
            </w:rPr>
            <w:fldChar w:fldCharType="separate"/>
          </w:r>
          <w:r w:rsidR="003E626E" w:rsidRPr="002815F4">
            <w:rPr>
              <w:rFonts w:ascii="Calibri" w:hAnsi="Calibri"/>
              <w:noProof/>
            </w:rPr>
            <w:t>(FAR Ltd, 2017)</w:t>
          </w:r>
          <w:r w:rsidR="00CD066E" w:rsidRPr="002815F4">
            <w:rPr>
              <w:rFonts w:ascii="Calibri" w:hAnsi="Calibri"/>
              <w:iCs/>
            </w:rPr>
            <w:fldChar w:fldCharType="end"/>
          </w:r>
        </w:sdtContent>
      </w:sdt>
      <w:r w:rsidR="00CD066E" w:rsidRPr="002815F4">
        <w:rPr>
          <w:rFonts w:ascii="Calibri" w:hAnsi="Calibri"/>
          <w:iCs/>
        </w:rPr>
        <w:t xml:space="preserve">. </w:t>
      </w:r>
      <w:r w:rsidR="00E27D03" w:rsidRPr="002815F4">
        <w:rPr>
          <w:rFonts w:ascii="Calibri" w:hAnsi="Calibri"/>
          <w:iCs/>
        </w:rPr>
        <w:t xml:space="preserve">The UK-listed firm has said the project would break even at USD 35 a barrel oil price </w:t>
      </w:r>
      <w:sdt>
        <w:sdtPr>
          <w:rPr>
            <w:rFonts w:ascii="Calibri" w:hAnsi="Calibri"/>
            <w:iCs/>
          </w:rPr>
          <w:id w:val="417532879"/>
          <w:citation/>
        </w:sdtPr>
        <w:sdtEndPr/>
        <w:sdtContent>
          <w:r w:rsidR="00E27D03" w:rsidRPr="002815F4">
            <w:rPr>
              <w:rFonts w:ascii="Calibri" w:hAnsi="Calibri"/>
              <w:iCs/>
            </w:rPr>
            <w:fldChar w:fldCharType="begin"/>
          </w:r>
          <w:r w:rsidR="00E27D03" w:rsidRPr="002815F4">
            <w:rPr>
              <w:rFonts w:ascii="Calibri" w:hAnsi="Calibri"/>
              <w:iCs/>
            </w:rPr>
            <w:instrText xml:space="preserve"> CITATION Fin162 \l 1033 </w:instrText>
          </w:r>
          <w:r w:rsidR="00E27D03" w:rsidRPr="002815F4">
            <w:rPr>
              <w:rFonts w:ascii="Calibri" w:hAnsi="Calibri"/>
              <w:iCs/>
            </w:rPr>
            <w:fldChar w:fldCharType="separate"/>
          </w:r>
          <w:r w:rsidR="003E626E" w:rsidRPr="002815F4">
            <w:rPr>
              <w:rFonts w:ascii="Calibri" w:hAnsi="Calibri"/>
              <w:noProof/>
            </w:rPr>
            <w:t>(Financial Times, 2016)</w:t>
          </w:r>
          <w:r w:rsidR="00E27D03" w:rsidRPr="002815F4">
            <w:rPr>
              <w:rFonts w:ascii="Calibri" w:hAnsi="Calibri"/>
              <w:iCs/>
            </w:rPr>
            <w:fldChar w:fldCharType="end"/>
          </w:r>
        </w:sdtContent>
      </w:sdt>
      <w:r w:rsidR="00E27D03" w:rsidRPr="002815F4">
        <w:rPr>
          <w:rFonts w:ascii="Calibri" w:hAnsi="Calibri"/>
          <w:iCs/>
        </w:rPr>
        <w:t xml:space="preserve">. </w:t>
      </w:r>
    </w:p>
    <w:p w14:paraId="0D5B79E2" w14:textId="0514DB98" w:rsidR="002140C1" w:rsidRPr="002815F4" w:rsidRDefault="00E27D03" w:rsidP="007D3C6C">
      <w:pPr>
        <w:rPr>
          <w:rFonts w:ascii="Calibri" w:hAnsi="Calibri"/>
          <w:bCs/>
        </w:rPr>
      </w:pPr>
      <w:r w:rsidRPr="002815F4">
        <w:rPr>
          <w:rFonts w:ascii="Calibri" w:hAnsi="Calibri"/>
          <w:iCs/>
        </w:rPr>
        <w:t xml:space="preserve">Meanwhile </w:t>
      </w:r>
      <w:r w:rsidR="009D0A19" w:rsidRPr="002815F4">
        <w:rPr>
          <w:rFonts w:ascii="Calibri" w:hAnsi="Calibri"/>
          <w:iCs/>
        </w:rPr>
        <w:t xml:space="preserve">Kosmos Energy and its oil major partner BP announced a series of elephant discoveries in 2015-2017 of around 50tn cu ft (tcf) of unassociated natural gas </w:t>
      </w:r>
      <w:sdt>
        <w:sdtPr>
          <w:rPr>
            <w:rFonts w:ascii="Calibri" w:hAnsi="Calibri"/>
            <w:iCs/>
          </w:rPr>
          <w:id w:val="1675293904"/>
          <w:citation/>
        </w:sdtPr>
        <w:sdtEndPr/>
        <w:sdtContent>
          <w:r w:rsidR="009D0A19" w:rsidRPr="002815F4">
            <w:rPr>
              <w:rFonts w:ascii="Calibri" w:hAnsi="Calibri"/>
              <w:iCs/>
            </w:rPr>
            <w:fldChar w:fldCharType="begin"/>
          </w:r>
          <w:r w:rsidR="009D0A19" w:rsidRPr="002815F4">
            <w:rPr>
              <w:rFonts w:ascii="Calibri" w:hAnsi="Calibri"/>
              <w:iCs/>
            </w:rPr>
            <w:instrText xml:space="preserve"> CITATION IDA17 \l 1033 </w:instrText>
          </w:r>
          <w:r w:rsidR="009D0A19" w:rsidRPr="002815F4">
            <w:rPr>
              <w:rFonts w:ascii="Calibri" w:hAnsi="Calibri"/>
              <w:iCs/>
            </w:rPr>
            <w:fldChar w:fldCharType="separate"/>
          </w:r>
          <w:r w:rsidR="003E626E" w:rsidRPr="002815F4">
            <w:rPr>
              <w:rFonts w:ascii="Calibri" w:hAnsi="Calibri"/>
              <w:noProof/>
            </w:rPr>
            <w:t>(IDA Africa Watch, 2017)</w:t>
          </w:r>
          <w:r w:rsidR="009D0A19" w:rsidRPr="002815F4">
            <w:rPr>
              <w:rFonts w:ascii="Calibri" w:hAnsi="Calibri"/>
              <w:iCs/>
            </w:rPr>
            <w:fldChar w:fldCharType="end"/>
          </w:r>
        </w:sdtContent>
      </w:sdt>
      <w:r w:rsidR="009D0A19" w:rsidRPr="002815F4">
        <w:rPr>
          <w:rFonts w:ascii="Calibri" w:hAnsi="Calibri"/>
          <w:iCs/>
        </w:rPr>
        <w:t xml:space="preserve">. The </w:t>
      </w:r>
      <w:r w:rsidR="002A26D2" w:rsidRPr="002815F4">
        <w:rPr>
          <w:rFonts w:ascii="Calibri" w:hAnsi="Calibri"/>
          <w:iCs/>
        </w:rPr>
        <w:t>largest natural gas discovery in West Africa</w:t>
      </w:r>
      <w:r w:rsidR="009D0A19" w:rsidRPr="002815F4">
        <w:rPr>
          <w:rFonts w:ascii="Calibri" w:hAnsi="Calibri"/>
          <w:iCs/>
        </w:rPr>
        <w:t xml:space="preserve">, the 15tfc Tortue field, straddles the maritime border between Mauritania and Senegal, and prompted BP to buy into 60% of the project and announce plans for USD 1bn investment in exploration in 2016 </w:t>
      </w:r>
      <w:sdt>
        <w:sdtPr>
          <w:rPr>
            <w:rFonts w:ascii="Calibri" w:hAnsi="Calibri"/>
            <w:iCs/>
          </w:rPr>
          <w:id w:val="464087711"/>
          <w:citation/>
        </w:sdtPr>
        <w:sdtEndPr/>
        <w:sdtContent>
          <w:r w:rsidR="009D0A19" w:rsidRPr="002815F4">
            <w:rPr>
              <w:rFonts w:ascii="Calibri" w:hAnsi="Calibri"/>
              <w:iCs/>
            </w:rPr>
            <w:fldChar w:fldCharType="begin"/>
          </w:r>
          <w:r w:rsidR="009D0A19" w:rsidRPr="002815F4">
            <w:rPr>
              <w:rFonts w:ascii="Calibri" w:hAnsi="Calibri"/>
              <w:iCs/>
            </w:rPr>
            <w:instrText xml:space="preserve"> CITATION Fin17 \l 1033 </w:instrText>
          </w:r>
          <w:r w:rsidR="009D0A19" w:rsidRPr="002815F4">
            <w:rPr>
              <w:rFonts w:ascii="Calibri" w:hAnsi="Calibri"/>
              <w:iCs/>
            </w:rPr>
            <w:fldChar w:fldCharType="separate"/>
          </w:r>
          <w:r w:rsidR="003E626E" w:rsidRPr="002815F4">
            <w:rPr>
              <w:rFonts w:ascii="Calibri" w:hAnsi="Calibri"/>
              <w:noProof/>
            </w:rPr>
            <w:t>(Financial Times, 2017)</w:t>
          </w:r>
          <w:r w:rsidR="009D0A19" w:rsidRPr="002815F4">
            <w:rPr>
              <w:rFonts w:ascii="Calibri" w:hAnsi="Calibri"/>
              <w:iCs/>
            </w:rPr>
            <w:fldChar w:fldCharType="end"/>
          </w:r>
        </w:sdtContent>
      </w:sdt>
      <w:r w:rsidR="009D0A19" w:rsidRPr="002815F4">
        <w:rPr>
          <w:rFonts w:ascii="Calibri" w:hAnsi="Calibri"/>
          <w:iCs/>
        </w:rPr>
        <w:t xml:space="preserve">. Kosmos has led </w:t>
      </w:r>
      <w:r w:rsidR="00420A4E" w:rsidRPr="002815F4">
        <w:rPr>
          <w:rFonts w:ascii="Calibri" w:hAnsi="Calibri"/>
          <w:iCs/>
        </w:rPr>
        <w:t xml:space="preserve">estimated USD 5bn </w:t>
      </w:r>
      <w:r w:rsidR="009D0A19" w:rsidRPr="002815F4">
        <w:rPr>
          <w:rFonts w:ascii="Calibri" w:hAnsi="Calibri"/>
          <w:iCs/>
        </w:rPr>
        <w:t>project development on both Mauritanian and Senegalese sides and expects to develop an offshore LNG export terminal</w:t>
      </w:r>
      <w:r w:rsidR="002A26D2" w:rsidRPr="002815F4">
        <w:rPr>
          <w:rFonts w:ascii="Calibri" w:hAnsi="Calibri"/>
          <w:iCs/>
        </w:rPr>
        <w:t xml:space="preserve"> </w:t>
      </w:r>
      <w:r w:rsidR="00420A4E" w:rsidRPr="002815F4">
        <w:rPr>
          <w:rFonts w:ascii="Calibri" w:hAnsi="Calibri"/>
          <w:iCs/>
        </w:rPr>
        <w:t xml:space="preserve">and refinery based on three </w:t>
      </w:r>
      <w:r w:rsidR="002815F4" w:rsidRPr="002815F4">
        <w:rPr>
          <w:rFonts w:ascii="Calibri" w:hAnsi="Calibri"/>
          <w:iCs/>
        </w:rPr>
        <w:t>gas fields</w:t>
      </w:r>
      <w:r w:rsidR="002A26D2" w:rsidRPr="002815F4">
        <w:rPr>
          <w:rFonts w:ascii="Calibri" w:hAnsi="Calibri"/>
          <w:iCs/>
        </w:rPr>
        <w:t xml:space="preserve"> (Tortue, Marsouin and Teranga)</w:t>
      </w:r>
      <w:r w:rsidR="009D0A19" w:rsidRPr="002815F4">
        <w:rPr>
          <w:rFonts w:ascii="Calibri" w:hAnsi="Calibri"/>
          <w:iCs/>
        </w:rPr>
        <w:t xml:space="preserve"> by 2021 </w:t>
      </w:r>
      <w:sdt>
        <w:sdtPr>
          <w:rPr>
            <w:rFonts w:ascii="Calibri" w:hAnsi="Calibri"/>
            <w:iCs/>
          </w:rPr>
          <w:id w:val="1194645330"/>
          <w:citation/>
        </w:sdtPr>
        <w:sdtEndPr/>
        <w:sdtContent>
          <w:r w:rsidR="009D0A19" w:rsidRPr="002815F4">
            <w:rPr>
              <w:rFonts w:ascii="Calibri" w:hAnsi="Calibri"/>
              <w:iCs/>
            </w:rPr>
            <w:fldChar w:fldCharType="begin"/>
          </w:r>
          <w:r w:rsidR="009D0A19" w:rsidRPr="002815F4">
            <w:rPr>
              <w:rFonts w:ascii="Calibri" w:hAnsi="Calibri"/>
              <w:iCs/>
            </w:rPr>
            <w:instrText xml:space="preserve"> CITATION Kos161 \l 1033 </w:instrText>
          </w:r>
          <w:r w:rsidR="009D0A19" w:rsidRPr="002815F4">
            <w:rPr>
              <w:rFonts w:ascii="Calibri" w:hAnsi="Calibri"/>
              <w:iCs/>
            </w:rPr>
            <w:fldChar w:fldCharType="separate"/>
          </w:r>
          <w:r w:rsidR="003E626E" w:rsidRPr="002815F4">
            <w:rPr>
              <w:rFonts w:ascii="Calibri" w:hAnsi="Calibri"/>
              <w:noProof/>
            </w:rPr>
            <w:t>(Kosmos Energy, 2016)</w:t>
          </w:r>
          <w:r w:rsidR="009D0A19" w:rsidRPr="002815F4">
            <w:rPr>
              <w:rFonts w:ascii="Calibri" w:hAnsi="Calibri"/>
              <w:iCs/>
            </w:rPr>
            <w:fldChar w:fldCharType="end"/>
          </w:r>
        </w:sdtContent>
      </w:sdt>
      <w:r w:rsidR="009D0A19" w:rsidRPr="002815F4">
        <w:rPr>
          <w:rFonts w:ascii="Calibri" w:hAnsi="Calibri"/>
          <w:iCs/>
        </w:rPr>
        <w:t xml:space="preserve">. In May 2017, the partners discovered another 15tcf discovery at the Yakaar-1 </w:t>
      </w:r>
      <w:r w:rsidR="002815F4" w:rsidRPr="002815F4">
        <w:rPr>
          <w:rFonts w:ascii="Calibri" w:hAnsi="Calibri"/>
          <w:iCs/>
        </w:rPr>
        <w:t>deep-water</w:t>
      </w:r>
      <w:r w:rsidR="009D0A19" w:rsidRPr="002815F4">
        <w:rPr>
          <w:rFonts w:ascii="Calibri" w:hAnsi="Calibri"/>
          <w:iCs/>
        </w:rPr>
        <w:t xml:space="preserve"> offshore well </w:t>
      </w:r>
      <w:sdt>
        <w:sdtPr>
          <w:rPr>
            <w:rFonts w:ascii="Calibri" w:hAnsi="Calibri"/>
            <w:iCs/>
          </w:rPr>
          <w:id w:val="373894864"/>
          <w:citation/>
        </w:sdtPr>
        <w:sdtEndPr/>
        <w:sdtContent>
          <w:r w:rsidR="009D0A19" w:rsidRPr="002815F4">
            <w:rPr>
              <w:rFonts w:ascii="Calibri" w:hAnsi="Calibri"/>
              <w:iCs/>
            </w:rPr>
            <w:fldChar w:fldCharType="begin"/>
          </w:r>
          <w:r w:rsidR="009D0A19" w:rsidRPr="002815F4">
            <w:rPr>
              <w:rFonts w:ascii="Calibri" w:hAnsi="Calibri"/>
              <w:iCs/>
            </w:rPr>
            <w:instrText xml:space="preserve"> CITATION Fin17 \l 1033 </w:instrText>
          </w:r>
          <w:r w:rsidR="009D0A19" w:rsidRPr="002815F4">
            <w:rPr>
              <w:rFonts w:ascii="Calibri" w:hAnsi="Calibri"/>
              <w:iCs/>
            </w:rPr>
            <w:fldChar w:fldCharType="separate"/>
          </w:r>
          <w:r w:rsidR="003E626E" w:rsidRPr="002815F4">
            <w:rPr>
              <w:rFonts w:ascii="Calibri" w:hAnsi="Calibri"/>
              <w:noProof/>
            </w:rPr>
            <w:t>(Financial Times, 2017)</w:t>
          </w:r>
          <w:r w:rsidR="009D0A19" w:rsidRPr="002815F4">
            <w:rPr>
              <w:rFonts w:ascii="Calibri" w:hAnsi="Calibri"/>
              <w:iCs/>
            </w:rPr>
            <w:fldChar w:fldCharType="end"/>
          </w:r>
        </w:sdtContent>
      </w:sdt>
      <w:r w:rsidR="009D0A19" w:rsidRPr="002815F4">
        <w:rPr>
          <w:rFonts w:ascii="Calibri" w:hAnsi="Calibri"/>
          <w:iCs/>
        </w:rPr>
        <w:t xml:space="preserve"> </w:t>
      </w:r>
      <w:sdt>
        <w:sdtPr>
          <w:rPr>
            <w:rFonts w:ascii="Calibri" w:hAnsi="Calibri"/>
            <w:iCs/>
          </w:rPr>
          <w:id w:val="1651483884"/>
          <w:citation/>
        </w:sdtPr>
        <w:sdtEndPr/>
        <w:sdtContent>
          <w:r w:rsidR="009D0A19" w:rsidRPr="002815F4">
            <w:rPr>
              <w:rFonts w:ascii="Calibri" w:hAnsi="Calibri"/>
              <w:iCs/>
            </w:rPr>
            <w:fldChar w:fldCharType="begin"/>
          </w:r>
          <w:r w:rsidR="009D0A19" w:rsidRPr="002815F4">
            <w:rPr>
              <w:rFonts w:ascii="Calibri" w:hAnsi="Calibri"/>
              <w:iCs/>
            </w:rPr>
            <w:instrText xml:space="preserve"> CITATION Pla17 \l 1033 </w:instrText>
          </w:r>
          <w:r w:rsidR="009D0A19" w:rsidRPr="002815F4">
            <w:rPr>
              <w:rFonts w:ascii="Calibri" w:hAnsi="Calibri"/>
              <w:iCs/>
            </w:rPr>
            <w:fldChar w:fldCharType="separate"/>
          </w:r>
          <w:r w:rsidR="003E626E" w:rsidRPr="002815F4">
            <w:rPr>
              <w:rFonts w:ascii="Calibri" w:hAnsi="Calibri"/>
              <w:noProof/>
            </w:rPr>
            <w:t>(Platts, 2017)</w:t>
          </w:r>
          <w:r w:rsidR="009D0A19" w:rsidRPr="002815F4">
            <w:rPr>
              <w:rFonts w:ascii="Calibri" w:hAnsi="Calibri"/>
              <w:iCs/>
            </w:rPr>
            <w:fldChar w:fldCharType="end"/>
          </w:r>
        </w:sdtContent>
      </w:sdt>
      <w:r w:rsidR="009D0A19" w:rsidRPr="002815F4">
        <w:rPr>
          <w:rFonts w:ascii="Calibri" w:hAnsi="Calibri"/>
          <w:iCs/>
        </w:rPr>
        <w:t xml:space="preserve">. </w:t>
      </w:r>
      <w:r w:rsidR="002A26D2" w:rsidRPr="002815F4">
        <w:rPr>
          <w:rFonts w:ascii="Calibri" w:hAnsi="Calibri"/>
          <w:iCs/>
        </w:rPr>
        <w:t xml:space="preserve">While the discoveries have raised public expectations over the projected windfall, the earliest commercial gas production would only start at earliest in 2020-2021 and commercial oil production in 2022-2023 </w:t>
      </w:r>
      <w:sdt>
        <w:sdtPr>
          <w:rPr>
            <w:rFonts w:ascii="Calibri" w:hAnsi="Calibri"/>
            <w:bCs/>
          </w:rPr>
          <w:id w:val="1571926899"/>
          <w:citation/>
        </w:sdtPr>
        <w:sdtEndPr/>
        <w:sdtContent>
          <w:r w:rsidR="002A26D2" w:rsidRPr="002815F4">
            <w:rPr>
              <w:rFonts w:ascii="Calibri" w:hAnsi="Calibri"/>
              <w:bCs/>
            </w:rPr>
            <w:fldChar w:fldCharType="begin"/>
          </w:r>
          <w:r w:rsidR="002A26D2" w:rsidRPr="002815F4">
            <w:rPr>
              <w:rFonts w:ascii="Calibri" w:hAnsi="Calibri"/>
              <w:bCs/>
            </w:rPr>
            <w:instrText xml:space="preserve"> CITATION Rep171 \l 1033 </w:instrText>
          </w:r>
          <w:r w:rsidR="002A26D2" w:rsidRPr="002815F4">
            <w:rPr>
              <w:rFonts w:ascii="Calibri" w:hAnsi="Calibri"/>
              <w:bCs/>
            </w:rPr>
            <w:fldChar w:fldCharType="separate"/>
          </w:r>
          <w:r w:rsidR="003E626E" w:rsidRPr="002815F4">
            <w:rPr>
              <w:rFonts w:ascii="Calibri" w:hAnsi="Calibri"/>
              <w:noProof/>
            </w:rPr>
            <w:t>(Republic of Senegal, 2017)</w:t>
          </w:r>
          <w:r w:rsidR="002A26D2" w:rsidRPr="002815F4">
            <w:rPr>
              <w:rFonts w:ascii="Calibri" w:hAnsi="Calibri"/>
              <w:bCs/>
            </w:rPr>
            <w:fldChar w:fldCharType="end"/>
          </w:r>
        </w:sdtContent>
      </w:sdt>
      <w:r w:rsidR="002A26D2" w:rsidRPr="002815F4">
        <w:rPr>
          <w:rFonts w:ascii="Calibri" w:hAnsi="Calibri"/>
          <w:bCs/>
        </w:rPr>
        <w:t xml:space="preserve">. Yet the oil and gas discoveries have sparked public debate about many of the issues at the core of the EITI, including license award and transfer practices, contract transparency, beneficial ownership and state participation in the extractive industries. </w:t>
      </w:r>
      <w:r w:rsidR="00420A4E" w:rsidRPr="002815F4">
        <w:rPr>
          <w:rFonts w:ascii="Calibri" w:hAnsi="Calibri"/>
          <w:bCs/>
        </w:rPr>
        <w:t>For instance, in 2016 p</w:t>
      </w:r>
      <w:r w:rsidR="002A26D2" w:rsidRPr="002815F4">
        <w:rPr>
          <w:rFonts w:ascii="Calibri" w:hAnsi="Calibri"/>
          <w:bCs/>
        </w:rPr>
        <w:t>ublic scrutiny focused on the role of President</w:t>
      </w:r>
      <w:r w:rsidR="00420A4E" w:rsidRPr="002815F4">
        <w:rPr>
          <w:rFonts w:ascii="Calibri" w:hAnsi="Calibri"/>
          <w:bCs/>
        </w:rPr>
        <w:t xml:space="preserve"> Sall’s brother as the head of Timis Corp. when it acquired two oil and gas licenses in 2012 that subsequently led to the Tortue discovery after they were sold on to Kosmos Energy in 2014 </w:t>
      </w:r>
      <w:sdt>
        <w:sdtPr>
          <w:rPr>
            <w:rFonts w:ascii="Calibri" w:hAnsi="Calibri"/>
            <w:bCs/>
          </w:rPr>
          <w:id w:val="-356499774"/>
          <w:citation/>
        </w:sdtPr>
        <w:sdtEndPr/>
        <w:sdtContent>
          <w:r w:rsidR="00420A4E" w:rsidRPr="002815F4">
            <w:rPr>
              <w:rFonts w:ascii="Calibri" w:hAnsi="Calibri"/>
              <w:bCs/>
            </w:rPr>
            <w:fldChar w:fldCharType="begin"/>
          </w:r>
          <w:r w:rsidR="00420A4E" w:rsidRPr="002815F4">
            <w:rPr>
              <w:rFonts w:ascii="Calibri" w:hAnsi="Calibri"/>
              <w:bCs/>
            </w:rPr>
            <w:instrText xml:space="preserve"> CITATION Fin162 \l 1033 </w:instrText>
          </w:r>
          <w:r w:rsidR="00420A4E" w:rsidRPr="002815F4">
            <w:rPr>
              <w:rFonts w:ascii="Calibri" w:hAnsi="Calibri"/>
              <w:bCs/>
            </w:rPr>
            <w:fldChar w:fldCharType="separate"/>
          </w:r>
          <w:r w:rsidR="003E626E" w:rsidRPr="002815F4">
            <w:rPr>
              <w:rFonts w:ascii="Calibri" w:hAnsi="Calibri"/>
              <w:noProof/>
            </w:rPr>
            <w:t>(Financial Times, 2016)</w:t>
          </w:r>
          <w:r w:rsidR="00420A4E" w:rsidRPr="002815F4">
            <w:rPr>
              <w:rFonts w:ascii="Calibri" w:hAnsi="Calibri"/>
              <w:bCs/>
            </w:rPr>
            <w:fldChar w:fldCharType="end"/>
          </w:r>
        </w:sdtContent>
      </w:sdt>
      <w:r w:rsidR="00420A4E" w:rsidRPr="002815F4">
        <w:rPr>
          <w:rFonts w:ascii="Calibri" w:hAnsi="Calibri"/>
          <w:bCs/>
        </w:rPr>
        <w:t xml:space="preserve">. In October 2016, President Sall established a high-level strategic committee to steer oil and gas reforms (COS-PETROGAZ), partly as a response to popular pressure </w:t>
      </w:r>
      <w:sdt>
        <w:sdtPr>
          <w:rPr>
            <w:rFonts w:ascii="Calibri" w:hAnsi="Calibri"/>
            <w:bCs/>
          </w:rPr>
          <w:id w:val="-385870752"/>
          <w:citation/>
        </w:sdtPr>
        <w:sdtEndPr/>
        <w:sdtContent>
          <w:r w:rsidR="00420A4E" w:rsidRPr="002815F4">
            <w:rPr>
              <w:rFonts w:ascii="Calibri" w:hAnsi="Calibri"/>
              <w:bCs/>
            </w:rPr>
            <w:fldChar w:fldCharType="begin"/>
          </w:r>
          <w:r w:rsidR="00420A4E" w:rsidRPr="002815F4">
            <w:rPr>
              <w:rFonts w:ascii="Calibri" w:hAnsi="Calibri"/>
              <w:bCs/>
            </w:rPr>
            <w:instrText xml:space="preserve"> CITATION ITI1626 \l 1033 </w:instrText>
          </w:r>
          <w:r w:rsidR="00420A4E" w:rsidRPr="002815F4">
            <w:rPr>
              <w:rFonts w:ascii="Calibri" w:hAnsi="Calibri"/>
              <w:bCs/>
            </w:rPr>
            <w:fldChar w:fldCharType="separate"/>
          </w:r>
          <w:r w:rsidR="003E626E" w:rsidRPr="002815F4">
            <w:rPr>
              <w:rFonts w:ascii="Calibri" w:hAnsi="Calibri"/>
              <w:noProof/>
            </w:rPr>
            <w:t>(ITIE Senegal, 2016)</w:t>
          </w:r>
          <w:r w:rsidR="00420A4E" w:rsidRPr="002815F4">
            <w:rPr>
              <w:rFonts w:ascii="Calibri" w:hAnsi="Calibri"/>
              <w:bCs/>
            </w:rPr>
            <w:fldChar w:fldCharType="end"/>
          </w:r>
        </w:sdtContent>
      </w:sdt>
      <w:r w:rsidR="00420A4E" w:rsidRPr="002815F4">
        <w:rPr>
          <w:rFonts w:ascii="Calibri" w:hAnsi="Calibri"/>
          <w:bCs/>
        </w:rPr>
        <w:t xml:space="preserve">. </w:t>
      </w:r>
    </w:p>
    <w:p w14:paraId="731D45D9" w14:textId="72618A16" w:rsidR="00020135" w:rsidRPr="002815F4" w:rsidRDefault="002140C1" w:rsidP="007D3C6C">
      <w:pPr>
        <w:rPr>
          <w:rFonts w:ascii="Calibri" w:hAnsi="Calibri"/>
          <w:bCs/>
        </w:rPr>
      </w:pPr>
      <w:r w:rsidRPr="002815F4">
        <w:rPr>
          <w:rFonts w:ascii="Calibri" w:hAnsi="Calibri"/>
          <w:bCs/>
        </w:rPr>
        <w:t>The common maritime zone between Guinea-Bissau and Senegal is managed by an inter-governmental agency, the Management and Cooperation Agency Between Senegal and Guinea-BIssau (AGC</w:t>
      </w:r>
      <w:r w:rsidRPr="002815F4">
        <w:rPr>
          <w:rStyle w:val="FootnoteReference"/>
          <w:rFonts w:ascii="Calibri" w:hAnsi="Calibri"/>
          <w:bCs/>
        </w:rPr>
        <w:footnoteReference w:id="9"/>
      </w:r>
      <w:r w:rsidRPr="002815F4">
        <w:rPr>
          <w:rFonts w:ascii="Calibri" w:hAnsi="Calibri"/>
          <w:bCs/>
        </w:rPr>
        <w:t xml:space="preserve">), established by treaty between the two governments in 1993 and covers two major </w:t>
      </w:r>
      <w:r w:rsidR="002815F4" w:rsidRPr="002815F4">
        <w:rPr>
          <w:rFonts w:ascii="Calibri" w:hAnsi="Calibri"/>
          <w:bCs/>
        </w:rPr>
        <w:t>deep-water</w:t>
      </w:r>
      <w:r w:rsidRPr="002815F4">
        <w:rPr>
          <w:rFonts w:ascii="Calibri" w:hAnsi="Calibri"/>
          <w:bCs/>
        </w:rPr>
        <w:t xml:space="preserve"> offshore exploration blocks. Senegal holds 67.5% of the AGC, while Guinea-Bissau holds 32.5% </w:t>
      </w:r>
      <w:sdt>
        <w:sdtPr>
          <w:rPr>
            <w:rFonts w:ascii="Calibri" w:hAnsi="Calibri"/>
            <w:bCs/>
          </w:rPr>
          <w:id w:val="-777169896"/>
          <w:citation/>
        </w:sdtPr>
        <w:sdtEndPr/>
        <w:sdtContent>
          <w:r w:rsidRPr="002815F4">
            <w:rPr>
              <w:rFonts w:ascii="Calibri" w:hAnsi="Calibri"/>
              <w:bCs/>
            </w:rPr>
            <w:fldChar w:fldCharType="begin"/>
          </w:r>
          <w:r w:rsidRPr="002815F4">
            <w:rPr>
              <w:rFonts w:ascii="Calibri" w:hAnsi="Calibri"/>
              <w:bCs/>
            </w:rPr>
            <w:instrText xml:space="preserve"> CITATION ITI1610 \l 1033 </w:instrText>
          </w:r>
          <w:r w:rsidRPr="002815F4">
            <w:rPr>
              <w:rFonts w:ascii="Calibri" w:hAnsi="Calibri"/>
              <w:bCs/>
            </w:rPr>
            <w:fldChar w:fldCharType="separate"/>
          </w:r>
          <w:r w:rsidR="003E626E" w:rsidRPr="002815F4">
            <w:rPr>
              <w:rFonts w:ascii="Calibri" w:hAnsi="Calibri"/>
              <w:noProof/>
            </w:rPr>
            <w:t>(ITIE Senegal, 2016)</w:t>
          </w:r>
          <w:r w:rsidRPr="002815F4">
            <w:rPr>
              <w:rFonts w:ascii="Calibri" w:hAnsi="Calibri"/>
              <w:bCs/>
            </w:rPr>
            <w:fldChar w:fldCharType="end"/>
          </w:r>
        </w:sdtContent>
      </w:sdt>
      <w:r w:rsidRPr="002815F4">
        <w:rPr>
          <w:rFonts w:ascii="Calibri" w:hAnsi="Calibri"/>
          <w:bCs/>
        </w:rPr>
        <w:t xml:space="preserve">. While the exploration blocks under AGC ownership have yet to yield any commercially-viable discoveries to date, they have attracted sizable operators like CNOOC to farm-in agreements </w:t>
      </w:r>
      <w:sdt>
        <w:sdtPr>
          <w:rPr>
            <w:rFonts w:ascii="Calibri" w:hAnsi="Calibri"/>
            <w:bCs/>
          </w:rPr>
          <w:id w:val="1211685670"/>
          <w:citation/>
        </w:sdtPr>
        <w:sdtEndPr/>
        <w:sdtContent>
          <w:r w:rsidRPr="002815F4">
            <w:rPr>
              <w:rFonts w:ascii="Calibri" w:hAnsi="Calibri"/>
              <w:bCs/>
            </w:rPr>
            <w:fldChar w:fldCharType="begin"/>
          </w:r>
          <w:r w:rsidRPr="002815F4">
            <w:rPr>
              <w:rFonts w:ascii="Calibri" w:hAnsi="Calibri"/>
              <w:bCs/>
            </w:rPr>
            <w:instrText xml:space="preserve"> CITATION OED17 \l 1033 </w:instrText>
          </w:r>
          <w:r w:rsidRPr="002815F4">
            <w:rPr>
              <w:rFonts w:ascii="Calibri" w:hAnsi="Calibri"/>
              <w:bCs/>
            </w:rPr>
            <w:fldChar w:fldCharType="separate"/>
          </w:r>
          <w:r w:rsidR="003E626E" w:rsidRPr="002815F4">
            <w:rPr>
              <w:rFonts w:ascii="Calibri" w:hAnsi="Calibri"/>
              <w:noProof/>
            </w:rPr>
            <w:t>(OEDigital, 2017)</w:t>
          </w:r>
          <w:r w:rsidRPr="002815F4">
            <w:rPr>
              <w:rFonts w:ascii="Calibri" w:hAnsi="Calibri"/>
              <w:bCs/>
            </w:rPr>
            <w:fldChar w:fldCharType="end"/>
          </w:r>
        </w:sdtContent>
      </w:sdt>
      <w:r w:rsidRPr="002815F4">
        <w:rPr>
          <w:rFonts w:ascii="Calibri" w:hAnsi="Calibri"/>
          <w:bCs/>
        </w:rPr>
        <w:t xml:space="preserve">. </w:t>
      </w:r>
      <w:r w:rsidR="00E27D03" w:rsidRPr="002815F4">
        <w:rPr>
          <w:rFonts w:ascii="Calibri" w:hAnsi="Calibri"/>
          <w:bCs/>
        </w:rPr>
        <w:t xml:space="preserve">While Senegal has had a checkered history in attracting </w:t>
      </w:r>
      <w:r w:rsidRPr="002815F4">
        <w:rPr>
          <w:rFonts w:ascii="Calibri" w:hAnsi="Calibri"/>
          <w:bCs/>
        </w:rPr>
        <w:t xml:space="preserve">large </w:t>
      </w:r>
      <w:r w:rsidR="00E27D03" w:rsidRPr="002815F4">
        <w:rPr>
          <w:rFonts w:ascii="Calibri" w:hAnsi="Calibri"/>
          <w:bCs/>
        </w:rPr>
        <w:t>investors to its mining sector, having paid USD 150m to ArcelorMittal following international arbitration, the government is seek</w:t>
      </w:r>
      <w:r w:rsidRPr="002815F4">
        <w:rPr>
          <w:rFonts w:ascii="Calibri" w:hAnsi="Calibri"/>
          <w:bCs/>
        </w:rPr>
        <w:t xml:space="preserve">ing to attract </w:t>
      </w:r>
      <w:r w:rsidR="00E27D03" w:rsidRPr="002815F4">
        <w:rPr>
          <w:rFonts w:ascii="Calibri" w:hAnsi="Calibri"/>
          <w:bCs/>
        </w:rPr>
        <w:t>new anchor investor</w:t>
      </w:r>
      <w:r w:rsidRPr="002815F4">
        <w:rPr>
          <w:rFonts w:ascii="Calibri" w:hAnsi="Calibri"/>
          <w:bCs/>
        </w:rPr>
        <w:t>s</w:t>
      </w:r>
      <w:r w:rsidR="00E27D03" w:rsidRPr="002815F4">
        <w:rPr>
          <w:rFonts w:ascii="Calibri" w:hAnsi="Calibri"/>
          <w:bCs/>
        </w:rPr>
        <w:t xml:space="preserve"> for Senegal’s significant deposits </w:t>
      </w:r>
      <w:r w:rsidRPr="002815F4">
        <w:rPr>
          <w:rFonts w:ascii="Calibri" w:hAnsi="Calibri"/>
          <w:bCs/>
        </w:rPr>
        <w:t xml:space="preserve">of minerals including iron ore </w:t>
      </w:r>
      <w:sdt>
        <w:sdtPr>
          <w:rPr>
            <w:rFonts w:ascii="Calibri" w:hAnsi="Calibri"/>
            <w:bCs/>
          </w:rPr>
          <w:id w:val="701214393"/>
          <w:citation/>
        </w:sdtPr>
        <w:sdtEndPr/>
        <w:sdtContent>
          <w:r w:rsidR="00E27D03" w:rsidRPr="002815F4">
            <w:rPr>
              <w:rFonts w:ascii="Calibri" w:hAnsi="Calibri"/>
              <w:bCs/>
            </w:rPr>
            <w:fldChar w:fldCharType="begin"/>
          </w:r>
          <w:r w:rsidR="00E27D03" w:rsidRPr="002815F4">
            <w:rPr>
              <w:rFonts w:ascii="Calibri" w:hAnsi="Calibri"/>
              <w:bCs/>
            </w:rPr>
            <w:instrText xml:space="preserve"> CITATION Laz171 \l 1033 </w:instrText>
          </w:r>
          <w:r w:rsidR="00E27D03" w:rsidRPr="002815F4">
            <w:rPr>
              <w:rFonts w:ascii="Calibri" w:hAnsi="Calibri"/>
              <w:bCs/>
            </w:rPr>
            <w:fldChar w:fldCharType="separate"/>
          </w:r>
          <w:r w:rsidR="003E626E" w:rsidRPr="002815F4">
            <w:rPr>
              <w:rFonts w:ascii="Calibri" w:hAnsi="Calibri"/>
              <w:noProof/>
            </w:rPr>
            <w:t>(Lazard Asset Management , 2017)</w:t>
          </w:r>
          <w:r w:rsidR="00E27D03" w:rsidRPr="002815F4">
            <w:rPr>
              <w:rFonts w:ascii="Calibri" w:hAnsi="Calibri"/>
              <w:bCs/>
            </w:rPr>
            <w:fldChar w:fldCharType="end"/>
          </w:r>
        </w:sdtContent>
      </w:sdt>
      <w:r w:rsidR="00E27D03" w:rsidRPr="002815F4">
        <w:rPr>
          <w:rFonts w:ascii="Calibri" w:hAnsi="Calibri"/>
          <w:bCs/>
        </w:rPr>
        <w:t xml:space="preserve">. </w:t>
      </w:r>
      <w:r w:rsidR="001F7504" w:rsidRPr="002815F4">
        <w:rPr>
          <w:rFonts w:ascii="Calibri" w:hAnsi="Calibri"/>
          <w:bCs/>
        </w:rPr>
        <w:t>However, Senegal remains relatively low in the UN Human Development Index, at 162</w:t>
      </w:r>
      <w:r w:rsidR="001F7504" w:rsidRPr="002815F4">
        <w:rPr>
          <w:rFonts w:ascii="Calibri" w:hAnsi="Calibri"/>
          <w:bCs/>
          <w:vertAlign w:val="superscript"/>
        </w:rPr>
        <w:t>nd</w:t>
      </w:r>
      <w:r w:rsidR="001F7504" w:rsidRPr="002815F4">
        <w:rPr>
          <w:rFonts w:ascii="Calibri" w:hAnsi="Calibri"/>
          <w:bCs/>
        </w:rPr>
        <w:t xml:space="preserve"> of 188 countries in 2016, with over 70% of the population living below the poverty line</w:t>
      </w:r>
      <w:sdt>
        <w:sdtPr>
          <w:rPr>
            <w:rFonts w:ascii="Calibri" w:hAnsi="Calibri"/>
            <w:bCs/>
          </w:rPr>
          <w:id w:val="1783609179"/>
          <w:citation/>
        </w:sdtPr>
        <w:sdtEndPr/>
        <w:sdtContent>
          <w:r w:rsidR="001F7504" w:rsidRPr="002815F4">
            <w:rPr>
              <w:rFonts w:ascii="Calibri" w:hAnsi="Calibri"/>
              <w:bCs/>
            </w:rPr>
            <w:fldChar w:fldCharType="begin"/>
          </w:r>
          <w:r w:rsidR="001F7504" w:rsidRPr="002815F4">
            <w:rPr>
              <w:rFonts w:ascii="Calibri" w:hAnsi="Calibri"/>
              <w:bCs/>
            </w:rPr>
            <w:instrText xml:space="preserve"> CITATION UND17 \l 1033 </w:instrText>
          </w:r>
          <w:r w:rsidR="001F7504" w:rsidRPr="002815F4">
            <w:rPr>
              <w:rFonts w:ascii="Calibri" w:hAnsi="Calibri"/>
              <w:bCs/>
            </w:rPr>
            <w:fldChar w:fldCharType="separate"/>
          </w:r>
          <w:r w:rsidR="003E626E" w:rsidRPr="002815F4">
            <w:rPr>
              <w:rFonts w:ascii="Calibri" w:hAnsi="Calibri"/>
              <w:bCs/>
              <w:noProof/>
            </w:rPr>
            <w:t xml:space="preserve"> </w:t>
          </w:r>
          <w:r w:rsidR="003E626E" w:rsidRPr="002815F4">
            <w:rPr>
              <w:rFonts w:ascii="Calibri" w:hAnsi="Calibri"/>
              <w:noProof/>
            </w:rPr>
            <w:t>(UNDP, 2017)</w:t>
          </w:r>
          <w:r w:rsidR="001F7504" w:rsidRPr="002815F4">
            <w:rPr>
              <w:rFonts w:ascii="Calibri" w:hAnsi="Calibri"/>
              <w:bCs/>
            </w:rPr>
            <w:fldChar w:fldCharType="end"/>
          </w:r>
        </w:sdtContent>
      </w:sdt>
      <w:r w:rsidR="001F7504" w:rsidRPr="002815F4">
        <w:rPr>
          <w:rFonts w:ascii="Calibri" w:hAnsi="Calibri"/>
          <w:bCs/>
        </w:rPr>
        <w:t xml:space="preserve"> </w:t>
      </w:r>
      <w:sdt>
        <w:sdtPr>
          <w:rPr>
            <w:rFonts w:ascii="Calibri" w:hAnsi="Calibri"/>
            <w:bCs/>
          </w:rPr>
          <w:id w:val="-167561068"/>
          <w:citation/>
        </w:sdtPr>
        <w:sdtEndPr/>
        <w:sdtContent>
          <w:r w:rsidR="001F7504" w:rsidRPr="002815F4">
            <w:rPr>
              <w:rFonts w:ascii="Calibri" w:hAnsi="Calibri"/>
              <w:bCs/>
            </w:rPr>
            <w:fldChar w:fldCharType="begin"/>
          </w:r>
          <w:r w:rsidR="001F7504" w:rsidRPr="002815F4">
            <w:rPr>
              <w:rFonts w:ascii="Calibri" w:hAnsi="Calibri"/>
              <w:bCs/>
            </w:rPr>
            <w:instrText xml:space="preserve"> CITATION Amn14 \l 1033 </w:instrText>
          </w:r>
          <w:r w:rsidR="001F7504" w:rsidRPr="002815F4">
            <w:rPr>
              <w:rFonts w:ascii="Calibri" w:hAnsi="Calibri"/>
              <w:bCs/>
            </w:rPr>
            <w:fldChar w:fldCharType="separate"/>
          </w:r>
          <w:r w:rsidR="003E626E" w:rsidRPr="002815F4">
            <w:rPr>
              <w:rFonts w:ascii="Calibri" w:hAnsi="Calibri"/>
              <w:noProof/>
            </w:rPr>
            <w:t>(Amnesty International, 2014)</w:t>
          </w:r>
          <w:r w:rsidR="001F7504" w:rsidRPr="002815F4">
            <w:rPr>
              <w:rFonts w:ascii="Calibri" w:hAnsi="Calibri"/>
              <w:bCs/>
            </w:rPr>
            <w:fldChar w:fldCharType="end"/>
          </w:r>
        </w:sdtContent>
      </w:sdt>
      <w:r w:rsidR="001F7504" w:rsidRPr="002815F4">
        <w:rPr>
          <w:rFonts w:ascii="Calibri" w:hAnsi="Calibri"/>
          <w:bCs/>
        </w:rPr>
        <w:t>.</w:t>
      </w:r>
    </w:p>
    <w:p w14:paraId="0C7B6BCC" w14:textId="26DA91E6" w:rsidR="000B70D0" w:rsidRPr="002815F4" w:rsidRDefault="000B70D0" w:rsidP="009B3E66">
      <w:pPr>
        <w:pStyle w:val="Heading2notindexed"/>
      </w:pPr>
      <w:bookmarkStart w:id="65" w:name="_Toc459133082"/>
      <w:bookmarkStart w:id="66" w:name="_Toc461803031"/>
      <w:bookmarkStart w:id="67" w:name="_Toc461787312"/>
      <w:r w:rsidRPr="002815F4">
        <w:lastRenderedPageBreak/>
        <w:t xml:space="preserve">Explanation of the </w:t>
      </w:r>
      <w:r w:rsidR="009F6032" w:rsidRPr="002815F4">
        <w:t>V</w:t>
      </w:r>
      <w:r w:rsidRPr="002815F4">
        <w:t>alidation process</w:t>
      </w:r>
      <w:bookmarkEnd w:id="64"/>
      <w:bookmarkEnd w:id="65"/>
      <w:bookmarkEnd w:id="66"/>
      <w:bookmarkEnd w:id="67"/>
    </w:p>
    <w:p w14:paraId="4462308F" w14:textId="287D6662" w:rsidR="00DB4EDA" w:rsidRPr="002815F4" w:rsidRDefault="00DB4EDA" w:rsidP="006433F6">
      <w:pPr>
        <w:widowControl/>
        <w:suppressAutoHyphens w:val="0"/>
        <w:spacing w:after="0"/>
        <w:rPr>
          <w:rFonts w:ascii="Calibri" w:hAnsi="Calibri"/>
        </w:rPr>
      </w:pPr>
      <w:r w:rsidRPr="002815F4">
        <w:rPr>
          <w:rFonts w:ascii="Calibri" w:hAnsi="Calibri"/>
        </w:rPr>
        <w:t xml:space="preserve">Validation is an essential feature of the EITI implementation process. It </w:t>
      </w:r>
      <w:r w:rsidR="0078530B" w:rsidRPr="002815F4">
        <w:rPr>
          <w:rFonts w:ascii="Calibri" w:hAnsi="Calibri"/>
        </w:rPr>
        <w:t xml:space="preserve">is intended to provide all stakeholders with an impartial assessment of whether EITI implementation in a country is consistent with the provisions of the EITI Standard. </w:t>
      </w:r>
      <w:r w:rsidR="00764C60" w:rsidRPr="002815F4">
        <w:rPr>
          <w:rFonts w:ascii="Calibri" w:hAnsi="Calibri"/>
        </w:rPr>
        <w:t xml:space="preserve">It also </w:t>
      </w:r>
      <w:r w:rsidR="0078530B" w:rsidRPr="002815F4">
        <w:rPr>
          <w:rFonts w:ascii="Calibri" w:hAnsi="Calibri"/>
        </w:rPr>
        <w:t>address</w:t>
      </w:r>
      <w:r w:rsidR="00764C60" w:rsidRPr="002815F4">
        <w:rPr>
          <w:rFonts w:ascii="Calibri" w:hAnsi="Calibri"/>
        </w:rPr>
        <w:t>es</w:t>
      </w:r>
      <w:r w:rsidR="0078530B" w:rsidRPr="002815F4">
        <w:rPr>
          <w:rFonts w:ascii="Calibri" w:hAnsi="Calibri"/>
        </w:rPr>
        <w:t xml:space="preserve"> the impact of the EITI, the implementation of activities encouraged by the EITI Standard, lessons learnt in EITI implementation, as well as any concerns stakeholders have expressed and recommendations for future implementation of the EITI. </w:t>
      </w:r>
    </w:p>
    <w:p w14:paraId="48AB225A" w14:textId="77777777" w:rsidR="00764C60" w:rsidRPr="002815F4" w:rsidRDefault="00764C60" w:rsidP="006433F6">
      <w:pPr>
        <w:widowControl/>
        <w:suppressAutoHyphens w:val="0"/>
        <w:spacing w:after="0"/>
        <w:rPr>
          <w:rFonts w:ascii="Calibri" w:hAnsi="Calibri"/>
        </w:rPr>
      </w:pPr>
    </w:p>
    <w:p w14:paraId="3820A099" w14:textId="6274FDF1" w:rsidR="0078530B" w:rsidRPr="002815F4" w:rsidRDefault="007D1196" w:rsidP="006433F6">
      <w:pPr>
        <w:widowControl/>
        <w:suppressAutoHyphens w:val="0"/>
        <w:spacing w:after="0"/>
        <w:rPr>
          <w:rFonts w:ascii="Calibri" w:hAnsi="Calibri"/>
          <w:b/>
          <w:bCs/>
        </w:rPr>
      </w:pPr>
      <w:r w:rsidRPr="002815F4">
        <w:rPr>
          <w:rFonts w:ascii="Calibri" w:hAnsi="Calibri"/>
        </w:rPr>
        <w:t xml:space="preserve">The </w:t>
      </w:r>
      <w:r w:rsidR="007E74D2" w:rsidRPr="002815F4">
        <w:rPr>
          <w:rFonts w:ascii="Calibri" w:hAnsi="Calibri"/>
        </w:rPr>
        <w:t>V</w:t>
      </w:r>
      <w:r w:rsidRPr="002815F4">
        <w:rPr>
          <w:rFonts w:ascii="Calibri" w:hAnsi="Calibri"/>
        </w:rPr>
        <w:t>alidation process is outlined in chapter 4 of the EITI Standard</w:t>
      </w:r>
      <w:r w:rsidRPr="002815F4">
        <w:rPr>
          <w:rStyle w:val="FootnoteReference"/>
          <w:rFonts w:ascii="Calibri" w:hAnsi="Calibri"/>
        </w:rPr>
        <w:footnoteReference w:id="10"/>
      </w:r>
      <w:r w:rsidR="00764C60" w:rsidRPr="002815F4">
        <w:rPr>
          <w:rFonts w:ascii="Calibri" w:hAnsi="Calibri"/>
        </w:rPr>
        <w:t>.</w:t>
      </w:r>
      <w:r w:rsidR="00DB4EDA" w:rsidRPr="002815F4">
        <w:rPr>
          <w:rFonts w:ascii="Calibri" w:hAnsi="Calibri"/>
        </w:rPr>
        <w:t xml:space="preserve"> It has </w:t>
      </w:r>
      <w:r w:rsidR="00A02933" w:rsidRPr="002815F4">
        <w:rPr>
          <w:rFonts w:ascii="Calibri" w:hAnsi="Calibri"/>
        </w:rPr>
        <w:t>four</w:t>
      </w:r>
      <w:r w:rsidR="0078530B" w:rsidRPr="002815F4">
        <w:rPr>
          <w:rFonts w:ascii="Calibri" w:hAnsi="Calibri"/>
        </w:rPr>
        <w:t xml:space="preserve"> phases:</w:t>
      </w:r>
    </w:p>
    <w:p w14:paraId="007A4FD5" w14:textId="6AB2B141" w:rsidR="006861C4" w:rsidRPr="002815F4" w:rsidRDefault="006861C4">
      <w:pPr>
        <w:pStyle w:val="ListParagraph"/>
      </w:pPr>
      <w:r w:rsidRPr="002815F4">
        <w:t>Preparation for Validation by the multi-stakeholder group (</w:t>
      </w:r>
      <w:commentRangeStart w:id="68"/>
      <w:r w:rsidRPr="002815F4">
        <w:t>MSG</w:t>
      </w:r>
      <w:commentRangeEnd w:id="68"/>
      <w:r w:rsidR="003C01E6">
        <w:rPr>
          <w:rStyle w:val="CommentReference"/>
          <w:szCs w:val="20"/>
        </w:rPr>
        <w:commentReference w:id="68"/>
      </w:r>
      <w:r w:rsidRPr="002815F4">
        <w:t>)</w:t>
      </w:r>
    </w:p>
    <w:p w14:paraId="66F85483" w14:textId="6F554F01" w:rsidR="006861C4" w:rsidRPr="002815F4" w:rsidRDefault="006861C4">
      <w:pPr>
        <w:pStyle w:val="ListParagraph"/>
      </w:pPr>
      <w:r w:rsidRPr="002815F4">
        <w:t>Initial data collection and stakeholder consultation undertaken by the EITI International Secretariat. </w:t>
      </w:r>
    </w:p>
    <w:p w14:paraId="0436AA2A" w14:textId="6266D34E" w:rsidR="00CB6CA5" w:rsidRPr="002815F4" w:rsidRDefault="00A97645" w:rsidP="00E2507C">
      <w:pPr>
        <w:ind w:left="360"/>
      </w:pPr>
      <w:r>
        <w:t>3.</w:t>
      </w:r>
      <w:r>
        <w:tab/>
      </w:r>
      <w:r w:rsidR="0078530B" w:rsidRPr="002815F4">
        <w:t>Independent quality assurance by an independent Validator who reports directly the EITI Board</w:t>
      </w:r>
    </w:p>
    <w:p w14:paraId="21ED3B13" w14:textId="3FB89BFF" w:rsidR="0078530B" w:rsidRDefault="00A97645" w:rsidP="00E2507C">
      <w:pPr>
        <w:spacing w:after="0"/>
        <w:ind w:left="360"/>
      </w:pPr>
      <w:r>
        <w:t>4.</w:t>
      </w:r>
      <w:r>
        <w:tab/>
      </w:r>
      <w:r w:rsidR="0078530B" w:rsidRPr="002815F4">
        <w:t xml:space="preserve">Board review. </w:t>
      </w:r>
    </w:p>
    <w:p w14:paraId="2845621A" w14:textId="77777777" w:rsidR="00A97645" w:rsidRPr="002815F4" w:rsidRDefault="00A97645" w:rsidP="00E2507C">
      <w:pPr>
        <w:spacing w:after="0"/>
        <w:ind w:left="360"/>
      </w:pPr>
    </w:p>
    <w:p w14:paraId="34FD3FF5" w14:textId="5258296D" w:rsidR="0078530B" w:rsidRPr="002815F4" w:rsidRDefault="00DB4EDA" w:rsidP="0078530B">
      <w:pPr>
        <w:rPr>
          <w:rFonts w:ascii="Calibri" w:hAnsi="Calibri"/>
        </w:rPr>
      </w:pPr>
      <w:r w:rsidRPr="002815F4">
        <w:rPr>
          <w:rFonts w:ascii="Calibri" w:hAnsi="Calibri"/>
        </w:rPr>
        <w:t>T</w:t>
      </w:r>
      <w:r w:rsidR="0078530B" w:rsidRPr="002815F4">
        <w:rPr>
          <w:rFonts w:ascii="Calibri" w:hAnsi="Calibri"/>
        </w:rPr>
        <w:t xml:space="preserve">he </w:t>
      </w:r>
      <w:hyperlink r:id="rId21" w:history="1">
        <w:r w:rsidR="0078530B" w:rsidRPr="002815F4">
          <w:rPr>
            <w:rStyle w:val="Hyperlink"/>
            <w:rFonts w:ascii="Calibri" w:hAnsi="Calibri"/>
          </w:rPr>
          <w:t>Validation Guide</w:t>
        </w:r>
      </w:hyperlink>
      <w:r w:rsidR="0078530B" w:rsidRPr="002815F4">
        <w:rPr>
          <w:rFonts w:ascii="Calibri" w:hAnsi="Calibri"/>
        </w:rPr>
        <w:t xml:space="preserve"> provides detailed guidance on assessing EITI Requirements, and more detailed </w:t>
      </w:r>
      <w:hyperlink r:id="rId22" w:history="1">
        <w:r w:rsidR="0078530B" w:rsidRPr="002815F4">
          <w:rPr>
            <w:rStyle w:val="Hyperlink"/>
            <w:rFonts w:ascii="Calibri" w:hAnsi="Calibri"/>
          </w:rPr>
          <w:t>Validation procedures</w:t>
        </w:r>
      </w:hyperlink>
      <w:r w:rsidR="0078530B" w:rsidRPr="002815F4">
        <w:rPr>
          <w:rFonts w:ascii="Calibri" w:hAnsi="Calibri"/>
        </w:rPr>
        <w:t xml:space="preserve">, including a standardised procedure for data collection and stakeholder consultation by the EITI International Secretariat and standardised terms of reference for the Validator. </w:t>
      </w:r>
    </w:p>
    <w:p w14:paraId="728B5E43" w14:textId="20BB6101" w:rsidR="0078530B" w:rsidRPr="002815F4" w:rsidRDefault="0078530B" w:rsidP="0078530B">
      <w:pPr>
        <w:rPr>
          <w:rFonts w:ascii="Calibri" w:hAnsi="Calibri"/>
        </w:rPr>
      </w:pPr>
      <w:r w:rsidRPr="002815F4">
        <w:rPr>
          <w:rFonts w:ascii="Calibri" w:hAnsi="Calibri"/>
        </w:rPr>
        <w:t>The Validation Guide includes a provision that: “Where the MSG wishes that validation pays particular attention to assessing certain objectives or activities in accordance with the MSG work</w:t>
      </w:r>
      <w:r w:rsidR="004E0437" w:rsidRPr="002815F4">
        <w:rPr>
          <w:rFonts w:ascii="Calibri" w:hAnsi="Calibri"/>
        </w:rPr>
        <w:t xml:space="preserve"> </w:t>
      </w:r>
      <w:r w:rsidRPr="002815F4">
        <w:rPr>
          <w:rFonts w:ascii="Calibri" w:hAnsi="Calibri"/>
        </w:rPr>
        <w:t>plan, these should be outlined upon the request of the MSG”.</w:t>
      </w:r>
      <w:r w:rsidR="00DB4EDA" w:rsidRPr="002815F4">
        <w:rPr>
          <w:rFonts w:ascii="Calibri" w:hAnsi="Calibri"/>
        </w:rPr>
        <w:t xml:space="preserve"> </w:t>
      </w:r>
      <w:r w:rsidR="00152452" w:rsidRPr="002815F4">
        <w:rPr>
          <w:rFonts w:ascii="Calibri" w:hAnsi="Calibri"/>
          <w:u w:val="single"/>
        </w:rPr>
        <w:t>The Senegal EITI MSG did not request any issues for particular consideration</w:t>
      </w:r>
      <w:r w:rsidR="00152452" w:rsidRPr="002815F4">
        <w:rPr>
          <w:rFonts w:ascii="Calibri" w:hAnsi="Calibri"/>
        </w:rPr>
        <w:t xml:space="preserve">. </w:t>
      </w:r>
    </w:p>
    <w:p w14:paraId="50C9D91B" w14:textId="43FB885A" w:rsidR="0078530B" w:rsidRPr="002815F4" w:rsidRDefault="00DB4EDA" w:rsidP="0078530B">
      <w:pPr>
        <w:rPr>
          <w:rFonts w:ascii="Calibri" w:hAnsi="Calibri"/>
        </w:rPr>
      </w:pPr>
      <w:r w:rsidRPr="002815F4">
        <w:rPr>
          <w:rFonts w:ascii="Calibri" w:hAnsi="Calibri"/>
        </w:rPr>
        <w:t xml:space="preserve">In accordance with the Validation procedures, the </w:t>
      </w:r>
      <w:r w:rsidR="0078530B" w:rsidRPr="002815F4">
        <w:rPr>
          <w:rFonts w:ascii="Calibri" w:hAnsi="Calibri"/>
        </w:rPr>
        <w:t xml:space="preserve">International Secretariat’s work </w:t>
      </w:r>
      <w:r w:rsidR="00764C60" w:rsidRPr="002815F4">
        <w:rPr>
          <w:rFonts w:ascii="Calibri" w:hAnsi="Calibri"/>
        </w:rPr>
        <w:t xml:space="preserve">on the </w:t>
      </w:r>
      <w:r w:rsidR="00764C60" w:rsidRPr="002815F4">
        <w:t xml:space="preserve">initial data collection and stakeholder consultation </w:t>
      </w:r>
      <w:r w:rsidRPr="002815F4">
        <w:rPr>
          <w:rFonts w:ascii="Calibri" w:hAnsi="Calibri"/>
        </w:rPr>
        <w:t xml:space="preserve">was </w:t>
      </w:r>
      <w:r w:rsidR="0078530B" w:rsidRPr="002815F4">
        <w:rPr>
          <w:rFonts w:ascii="Calibri" w:hAnsi="Calibri"/>
        </w:rPr>
        <w:t>conducted in three phases:</w:t>
      </w:r>
    </w:p>
    <w:p w14:paraId="12D33793" w14:textId="23AABFA9" w:rsidR="00764C60" w:rsidRPr="002815F4" w:rsidRDefault="0078530B" w:rsidP="00E02D8A">
      <w:pPr>
        <w:spacing w:after="240"/>
        <w:rPr>
          <w:rFonts w:ascii="Calibri" w:hAnsi="Calibri"/>
        </w:rPr>
      </w:pPr>
      <w:r w:rsidRPr="002815F4">
        <w:rPr>
          <w:rFonts w:ascii="Calibri" w:hAnsi="Calibri"/>
          <w:u w:val="single"/>
        </w:rPr>
        <w:t>1. Desk Review</w:t>
      </w:r>
    </w:p>
    <w:p w14:paraId="6A9AC429" w14:textId="68877D80" w:rsidR="0078530B" w:rsidRPr="002815F4" w:rsidRDefault="0078530B" w:rsidP="00E02D8A">
      <w:pPr>
        <w:spacing w:after="240"/>
        <w:rPr>
          <w:rFonts w:ascii="Calibri" w:hAnsi="Calibri"/>
        </w:rPr>
      </w:pPr>
      <w:r w:rsidRPr="002815F4">
        <w:rPr>
          <w:rFonts w:ascii="Calibri" w:hAnsi="Calibri"/>
        </w:rPr>
        <w:t>Prior to visiting the country, the Secretariat conduct</w:t>
      </w:r>
      <w:r w:rsidR="00DB4EDA" w:rsidRPr="002815F4">
        <w:rPr>
          <w:rFonts w:ascii="Calibri" w:hAnsi="Calibri"/>
        </w:rPr>
        <w:t>ed</w:t>
      </w:r>
      <w:r w:rsidRPr="002815F4">
        <w:rPr>
          <w:rFonts w:ascii="Calibri" w:hAnsi="Calibri"/>
        </w:rPr>
        <w:t xml:space="preserve"> a detailed desk review of the available documentation relating to the country’s compliance with the EITI Standard, including but not limited to:</w:t>
      </w:r>
    </w:p>
    <w:p w14:paraId="4E64538D" w14:textId="77777777" w:rsidR="0078530B" w:rsidRPr="002815F4" w:rsidRDefault="0078530B" w:rsidP="00FC7586">
      <w:pPr>
        <w:pStyle w:val="ListParagraph"/>
        <w:numPr>
          <w:ilvl w:val="0"/>
          <w:numId w:val="74"/>
        </w:numPr>
      </w:pPr>
      <w:r w:rsidRPr="002815F4">
        <w:t>The EITI work plan and other planning documents such as budgets and communication plans;</w:t>
      </w:r>
    </w:p>
    <w:p w14:paraId="79E62F52" w14:textId="77777777" w:rsidR="0078530B" w:rsidRPr="002815F4" w:rsidRDefault="0078530B" w:rsidP="00FC7586">
      <w:pPr>
        <w:pStyle w:val="ListParagraph"/>
        <w:numPr>
          <w:ilvl w:val="0"/>
          <w:numId w:val="74"/>
        </w:numPr>
      </w:pPr>
      <w:r w:rsidRPr="002815F4">
        <w:t>The multi-stakeholder group’s Terms of Reference, and minutes from multi-stakeholder group meetings;</w:t>
      </w:r>
    </w:p>
    <w:p w14:paraId="0EB25A99" w14:textId="77777777" w:rsidR="0078530B" w:rsidRPr="002815F4" w:rsidRDefault="0078530B" w:rsidP="00FC7586">
      <w:pPr>
        <w:pStyle w:val="ListParagraph"/>
        <w:numPr>
          <w:ilvl w:val="0"/>
          <w:numId w:val="74"/>
        </w:numPr>
      </w:pPr>
      <w:r w:rsidRPr="002815F4">
        <w:t>EITI Reports, and supplementary information such as summary reports and scoping studies;</w:t>
      </w:r>
    </w:p>
    <w:p w14:paraId="6B4A5228" w14:textId="022A8AA2" w:rsidR="000C5685" w:rsidRPr="002815F4" w:rsidRDefault="0078530B" w:rsidP="00FC7586">
      <w:pPr>
        <w:pStyle w:val="ListParagraph"/>
        <w:numPr>
          <w:ilvl w:val="0"/>
          <w:numId w:val="74"/>
        </w:numPr>
      </w:pPr>
      <w:r w:rsidRPr="002815F4">
        <w:t>Communication materials;</w:t>
      </w:r>
    </w:p>
    <w:p w14:paraId="1D3EB9AD" w14:textId="77777777" w:rsidR="0078530B" w:rsidRPr="002815F4" w:rsidRDefault="0078530B" w:rsidP="00FC7586">
      <w:pPr>
        <w:pStyle w:val="ListParagraph"/>
        <w:numPr>
          <w:ilvl w:val="0"/>
          <w:numId w:val="74"/>
        </w:numPr>
      </w:pPr>
      <w:r w:rsidRPr="002815F4">
        <w:t>Annual progress reports; and</w:t>
      </w:r>
    </w:p>
    <w:p w14:paraId="19E72192" w14:textId="1A7490A1" w:rsidR="00555E5A" w:rsidRPr="002815F4" w:rsidRDefault="0078530B" w:rsidP="00FC7586">
      <w:pPr>
        <w:pStyle w:val="ListParagraph"/>
        <w:numPr>
          <w:ilvl w:val="0"/>
          <w:numId w:val="74"/>
        </w:numPr>
      </w:pPr>
      <w:r w:rsidRPr="002815F4">
        <w:t>Any other information of relevance to Validation</w:t>
      </w:r>
      <w:r w:rsidR="00152452" w:rsidRPr="002815F4">
        <w:t xml:space="preserve"> available online or provided by the Senegal EITI </w:t>
      </w:r>
      <w:r w:rsidR="00152452" w:rsidRPr="002815F4">
        <w:lastRenderedPageBreak/>
        <w:t>Secretariat</w:t>
      </w:r>
      <w:r w:rsidRPr="002815F4">
        <w:t>.</w:t>
      </w:r>
    </w:p>
    <w:p w14:paraId="2B295B6C" w14:textId="331B76C8" w:rsidR="0078530B" w:rsidRPr="002815F4" w:rsidRDefault="00764C60" w:rsidP="00E03D03">
      <w:pPr>
        <w:rPr>
          <w:rFonts w:ascii="Calibri" w:hAnsi="Calibri"/>
        </w:rPr>
      </w:pPr>
      <w:r w:rsidRPr="002815F4">
        <w:rPr>
          <w:rFonts w:ascii="Calibri" w:hAnsi="Calibri"/>
        </w:rPr>
        <w:t>In accordance with the Validation procedures, t</w:t>
      </w:r>
      <w:r w:rsidR="0078530B" w:rsidRPr="002815F4">
        <w:rPr>
          <w:rFonts w:ascii="Calibri" w:hAnsi="Calibri"/>
        </w:rPr>
        <w:t xml:space="preserve">he Secretariat </w:t>
      </w:r>
      <w:r w:rsidR="00DB4EDA" w:rsidRPr="002815F4">
        <w:rPr>
          <w:rFonts w:ascii="Calibri" w:hAnsi="Calibri"/>
        </w:rPr>
        <w:t xml:space="preserve">has not taken into </w:t>
      </w:r>
      <w:r w:rsidR="0078530B" w:rsidRPr="002815F4">
        <w:rPr>
          <w:rFonts w:ascii="Calibri" w:hAnsi="Calibri"/>
        </w:rPr>
        <w:t xml:space="preserve">account actions undertaken after the commencement of Validation. </w:t>
      </w:r>
    </w:p>
    <w:p w14:paraId="4083CCFD" w14:textId="3FA8A807" w:rsidR="00764C60" w:rsidRPr="002815F4" w:rsidRDefault="0078530B" w:rsidP="00E03D03">
      <w:pPr>
        <w:tabs>
          <w:tab w:val="left" w:pos="284"/>
        </w:tabs>
        <w:rPr>
          <w:rFonts w:ascii="Calibri" w:hAnsi="Calibri"/>
        </w:rPr>
      </w:pPr>
      <w:r w:rsidRPr="002815F4">
        <w:rPr>
          <w:rFonts w:ascii="Calibri" w:hAnsi="Calibri"/>
          <w:u w:val="single"/>
        </w:rPr>
        <w:t>2. Country visit</w:t>
      </w:r>
    </w:p>
    <w:p w14:paraId="4A58CE5E" w14:textId="0341E295" w:rsidR="0078530B" w:rsidRPr="002815F4" w:rsidRDefault="00DB4EDA" w:rsidP="00E03D03">
      <w:pPr>
        <w:tabs>
          <w:tab w:val="left" w:pos="284"/>
        </w:tabs>
        <w:rPr>
          <w:rFonts w:ascii="Calibri" w:hAnsi="Calibri"/>
        </w:rPr>
      </w:pPr>
      <w:r w:rsidRPr="002815F4">
        <w:rPr>
          <w:rFonts w:ascii="Calibri" w:hAnsi="Calibri"/>
        </w:rPr>
        <w:t xml:space="preserve">A </w:t>
      </w:r>
      <w:r w:rsidR="0078530B" w:rsidRPr="002815F4">
        <w:rPr>
          <w:rFonts w:ascii="Calibri" w:hAnsi="Calibri"/>
        </w:rPr>
        <w:t xml:space="preserve">country visit took place </w:t>
      </w:r>
      <w:r w:rsidR="005B0392" w:rsidRPr="002815F4">
        <w:rPr>
          <w:rFonts w:ascii="Calibri" w:hAnsi="Calibri"/>
        </w:rPr>
        <w:t xml:space="preserve">on </w:t>
      </w:r>
      <w:r w:rsidR="00886A2F" w:rsidRPr="002815F4">
        <w:rPr>
          <w:rFonts w:ascii="Calibri" w:hAnsi="Calibri"/>
          <w:bCs/>
        </w:rPr>
        <w:t>4-9 September 2017</w:t>
      </w:r>
      <w:r w:rsidR="0078530B" w:rsidRPr="002815F4">
        <w:rPr>
          <w:rFonts w:ascii="Calibri" w:hAnsi="Calibri"/>
        </w:rPr>
        <w:t xml:space="preserve">. All meetings took place in </w:t>
      </w:r>
      <w:r w:rsidR="00886A2F" w:rsidRPr="002815F4">
        <w:rPr>
          <w:rFonts w:ascii="Calibri" w:hAnsi="Calibri"/>
          <w:bCs/>
        </w:rPr>
        <w:t>Dakar</w:t>
      </w:r>
      <w:r w:rsidR="0078530B" w:rsidRPr="002815F4">
        <w:rPr>
          <w:rFonts w:ascii="Calibri" w:hAnsi="Calibri"/>
        </w:rPr>
        <w:t>. The secretariat met with the multi-stakeholder group and its members, the Independent Administrator and other key stakeholders, including stakeholder groups that are represented on, but not directly participating in, the multi-stakeholder group. In addition to meeting with the MSG as a group, the Secretariat met with its constituent parts (government, companies and civil society) either individually or in constituency groups, with appropriate protocols to ensure that stakeholders are able to freely express their views and that requests for confidentially are respected.</w:t>
      </w:r>
      <w:r w:rsidR="005275CE" w:rsidRPr="002815F4">
        <w:rPr>
          <w:rFonts w:ascii="Calibri" w:hAnsi="Calibri"/>
        </w:rPr>
        <w:t xml:space="preserve"> </w:t>
      </w:r>
      <w:r w:rsidR="0078530B" w:rsidRPr="002815F4">
        <w:rPr>
          <w:rFonts w:ascii="Calibri" w:hAnsi="Calibri"/>
        </w:rPr>
        <w:t>The list of stakeholde</w:t>
      </w:r>
      <w:r w:rsidR="005B0392" w:rsidRPr="002815F4">
        <w:rPr>
          <w:rFonts w:ascii="Calibri" w:hAnsi="Calibri"/>
        </w:rPr>
        <w:t xml:space="preserve">rs </w:t>
      </w:r>
      <w:r w:rsidR="00764C60" w:rsidRPr="002815F4">
        <w:rPr>
          <w:rFonts w:ascii="Calibri" w:hAnsi="Calibri"/>
        </w:rPr>
        <w:t>consulted in outlined in Annex</w:t>
      </w:r>
      <w:r w:rsidR="007C2295" w:rsidRPr="002815F4">
        <w:rPr>
          <w:rFonts w:ascii="Calibri" w:hAnsi="Calibri"/>
        </w:rPr>
        <w:t xml:space="preserve"> D</w:t>
      </w:r>
      <w:r w:rsidR="00764C60" w:rsidRPr="002815F4">
        <w:rPr>
          <w:rFonts w:ascii="Calibri" w:hAnsi="Calibri"/>
        </w:rPr>
        <w:t xml:space="preserve">. </w:t>
      </w:r>
    </w:p>
    <w:p w14:paraId="62864F94" w14:textId="5AB1613D" w:rsidR="00764C60" w:rsidRPr="002815F4" w:rsidRDefault="0078530B" w:rsidP="00E03D03">
      <w:pPr>
        <w:tabs>
          <w:tab w:val="left" w:pos="284"/>
        </w:tabs>
        <w:rPr>
          <w:rFonts w:ascii="Calibri" w:hAnsi="Calibri"/>
        </w:rPr>
      </w:pPr>
      <w:r w:rsidRPr="002815F4">
        <w:rPr>
          <w:rFonts w:ascii="Calibri" w:hAnsi="Calibri"/>
          <w:u w:val="single"/>
        </w:rPr>
        <w:t>3. Reporting on progress against requirements</w:t>
      </w:r>
    </w:p>
    <w:p w14:paraId="4565EF20" w14:textId="04FF1C79" w:rsidR="00764C60" w:rsidRPr="002815F4" w:rsidRDefault="00764C60" w:rsidP="00E03D03">
      <w:pPr>
        <w:tabs>
          <w:tab w:val="left" w:pos="284"/>
        </w:tabs>
        <w:rPr>
          <w:rFonts w:ascii="Calibri" w:hAnsi="Calibri"/>
        </w:rPr>
      </w:pPr>
      <w:r w:rsidRPr="002815F4">
        <w:rPr>
          <w:rFonts w:ascii="Calibri" w:hAnsi="Calibri"/>
        </w:rPr>
        <w:t xml:space="preserve">This report provides the </w:t>
      </w:r>
      <w:r w:rsidR="0078530B" w:rsidRPr="002815F4">
        <w:rPr>
          <w:rFonts w:ascii="Calibri" w:hAnsi="Calibri"/>
        </w:rPr>
        <w:t xml:space="preserve">International Secretariat initial </w:t>
      </w:r>
      <w:r w:rsidRPr="002815F4">
        <w:rPr>
          <w:rFonts w:ascii="Calibri" w:hAnsi="Calibri"/>
        </w:rPr>
        <w:t xml:space="preserve">assessment </w:t>
      </w:r>
      <w:r w:rsidR="0078530B" w:rsidRPr="002815F4">
        <w:rPr>
          <w:rFonts w:ascii="Calibri" w:hAnsi="Calibri"/>
        </w:rPr>
        <w:t xml:space="preserve">of progress against requirements in accordance with the Validation Guide. </w:t>
      </w:r>
      <w:r w:rsidRPr="002815F4">
        <w:rPr>
          <w:rFonts w:ascii="Calibri" w:hAnsi="Calibri"/>
        </w:rPr>
        <w:t xml:space="preserve">It does </w:t>
      </w:r>
      <w:r w:rsidR="0078530B" w:rsidRPr="002815F4">
        <w:rPr>
          <w:rFonts w:ascii="Calibri" w:hAnsi="Calibri"/>
        </w:rPr>
        <w:t xml:space="preserve">not include an overall assessment of compliance. </w:t>
      </w:r>
    </w:p>
    <w:p w14:paraId="0211059A" w14:textId="0EFBAD92" w:rsidR="0078530B" w:rsidRPr="002815F4" w:rsidRDefault="0078530B" w:rsidP="007D1196">
      <w:pPr>
        <w:rPr>
          <w:rFonts w:ascii="Calibri" w:hAnsi="Calibri"/>
          <w:bCs/>
        </w:rPr>
      </w:pPr>
      <w:r w:rsidRPr="002815F4">
        <w:rPr>
          <w:rFonts w:ascii="Calibri" w:hAnsi="Calibri"/>
        </w:rPr>
        <w:t xml:space="preserve">The International Secretariat’s team comprised: </w:t>
      </w:r>
      <w:bookmarkStart w:id="69" w:name="_Hlk501613308"/>
      <w:r w:rsidR="00886A2F" w:rsidRPr="002815F4">
        <w:rPr>
          <w:rFonts w:ascii="Calibri" w:hAnsi="Calibri"/>
          <w:bCs/>
        </w:rPr>
        <w:t xml:space="preserve">Gisela Granado, </w:t>
      </w:r>
      <w:r w:rsidR="00BA0CB3" w:rsidRPr="002815F4">
        <w:rPr>
          <w:rFonts w:ascii="Calibri" w:hAnsi="Calibri"/>
          <w:bCs/>
        </w:rPr>
        <w:t>Dylan Gélard, Alex Gordy</w:t>
      </w:r>
      <w:r w:rsidR="00886A2F" w:rsidRPr="002815F4">
        <w:rPr>
          <w:rFonts w:ascii="Calibri" w:hAnsi="Calibri"/>
          <w:bCs/>
        </w:rPr>
        <w:t xml:space="preserve">, Eddie Rich and Sam Bartlett. </w:t>
      </w:r>
    </w:p>
    <w:bookmarkEnd w:id="69"/>
    <w:p w14:paraId="4DCDB0ED" w14:textId="0924A478" w:rsidR="0078530B" w:rsidRPr="002815F4" w:rsidRDefault="0078530B" w:rsidP="00E3377E">
      <w:pPr>
        <w:rPr>
          <w:rFonts w:ascii="Calibri" w:hAnsi="Calibri"/>
        </w:rPr>
      </w:pPr>
    </w:p>
    <w:p w14:paraId="7E2C2A9E" w14:textId="77777777" w:rsidR="001178E5" w:rsidRPr="002815F4" w:rsidRDefault="001178E5" w:rsidP="004B1D32">
      <w:pPr>
        <w:rPr>
          <w:rFonts w:ascii="Calibri" w:hAnsi="Calibri"/>
        </w:rPr>
        <w:sectPr w:rsidR="001178E5" w:rsidRPr="002815F4" w:rsidSect="00505DFB">
          <w:headerReference w:type="default" r:id="rId23"/>
          <w:headerReference w:type="first" r:id="rId24"/>
          <w:pgSz w:w="11905" w:h="16837"/>
          <w:pgMar w:top="1175" w:right="1276" w:bottom="1418" w:left="1134" w:header="567" w:footer="0" w:gutter="0"/>
          <w:cols w:space="708"/>
          <w:titlePg/>
          <w:docGrid w:linePitch="326"/>
        </w:sectPr>
      </w:pPr>
    </w:p>
    <w:p w14:paraId="6E775565" w14:textId="75D59357" w:rsidR="002929E0" w:rsidRPr="002815F4" w:rsidRDefault="002929E0" w:rsidP="00764C60">
      <w:pPr>
        <w:pStyle w:val="Heading1"/>
      </w:pPr>
      <w:bookmarkStart w:id="70" w:name="_Toc459133083"/>
      <w:bookmarkStart w:id="71" w:name="_Toc461803032"/>
      <w:bookmarkStart w:id="72" w:name="_Toc461787313"/>
      <w:bookmarkStart w:id="73" w:name="_Toc461795827"/>
      <w:bookmarkStart w:id="74" w:name="_Toc462149173"/>
      <w:r w:rsidRPr="002815F4">
        <w:lastRenderedPageBreak/>
        <w:t>Part I – MSG Oversight</w:t>
      </w:r>
      <w:bookmarkEnd w:id="70"/>
      <w:bookmarkEnd w:id="71"/>
      <w:bookmarkEnd w:id="72"/>
      <w:bookmarkEnd w:id="73"/>
      <w:bookmarkEnd w:id="74"/>
    </w:p>
    <w:p w14:paraId="588F1C0F" w14:textId="22259328" w:rsidR="004C54DF" w:rsidRPr="002815F4" w:rsidRDefault="004C54DF" w:rsidP="009B3E66">
      <w:pPr>
        <w:pStyle w:val="Heading2"/>
      </w:pPr>
      <w:r w:rsidRPr="002815F4">
        <w:t>1. Oversight of the EITI process</w:t>
      </w:r>
    </w:p>
    <w:p w14:paraId="7313E35F" w14:textId="7352A3D0" w:rsidR="002929E0" w:rsidRPr="002815F4" w:rsidRDefault="009F5C43" w:rsidP="009B3E66">
      <w:pPr>
        <w:pStyle w:val="Heading2notindexed"/>
      </w:pPr>
      <w:bookmarkStart w:id="75" w:name="_Toc462149174"/>
      <w:r w:rsidRPr="002815F4">
        <w:t xml:space="preserve">1.1 </w:t>
      </w:r>
      <w:bookmarkStart w:id="76" w:name="_Toc459133084"/>
      <w:bookmarkStart w:id="77" w:name="_Toc461803033"/>
      <w:bookmarkStart w:id="78" w:name="_Toc461787314"/>
      <w:bookmarkEnd w:id="75"/>
      <w:r w:rsidR="002929E0" w:rsidRPr="002815F4">
        <w:t>Overview</w:t>
      </w:r>
      <w:bookmarkEnd w:id="76"/>
      <w:bookmarkEnd w:id="77"/>
      <w:bookmarkEnd w:id="78"/>
    </w:p>
    <w:p w14:paraId="5D06B210" w14:textId="77777777" w:rsidR="002929E0" w:rsidRPr="002815F4" w:rsidRDefault="002929E0" w:rsidP="008D7517">
      <w:pPr>
        <w:rPr>
          <w:rFonts w:ascii="Calibri" w:hAnsi="Calibri"/>
        </w:rPr>
      </w:pPr>
      <w:r w:rsidRPr="002815F4">
        <w:rPr>
          <w:rFonts w:ascii="Calibri" w:hAnsi="Calibri"/>
        </w:rPr>
        <w:t xml:space="preserve">This section relates to stakeholder engagement and the environment for implementation of EITI in country, the governance and functioning of the multi-stakeholder group (MSG), and the EITI work plan. </w:t>
      </w:r>
    </w:p>
    <w:p w14:paraId="64EA0812" w14:textId="5EEB0C84" w:rsidR="002929E0" w:rsidRPr="002815F4" w:rsidRDefault="009F5C43" w:rsidP="009B3E66">
      <w:pPr>
        <w:pStyle w:val="Heading2notindexed"/>
      </w:pPr>
      <w:bookmarkStart w:id="79" w:name="_Toc459133085"/>
      <w:bookmarkStart w:id="80" w:name="_Toc461803034"/>
      <w:bookmarkStart w:id="81" w:name="_Toc461787315"/>
      <w:r w:rsidRPr="002815F4">
        <w:t xml:space="preserve">1.2 </w:t>
      </w:r>
      <w:r w:rsidR="002929E0" w:rsidRPr="002815F4">
        <w:t>Assessment</w:t>
      </w:r>
      <w:bookmarkEnd w:id="79"/>
      <w:bookmarkEnd w:id="80"/>
      <w:bookmarkEnd w:id="81"/>
    </w:p>
    <w:p w14:paraId="014488D6" w14:textId="42C0F83E" w:rsidR="002929E0" w:rsidRPr="002815F4" w:rsidRDefault="002929E0" w:rsidP="009B3E66">
      <w:pPr>
        <w:pStyle w:val="Heading2"/>
      </w:pPr>
      <w:bookmarkStart w:id="82" w:name="_Toc459133086"/>
      <w:bookmarkStart w:id="83" w:name="_Toc461803035"/>
      <w:bookmarkStart w:id="84" w:name="_Toc461787316"/>
      <w:bookmarkStart w:id="85" w:name="_Toc461795828"/>
      <w:bookmarkStart w:id="86" w:name="_Toc462149175"/>
      <w:r w:rsidRPr="002815F4">
        <w:t>Government engagement in the EITI process (#1.1)</w:t>
      </w:r>
      <w:bookmarkEnd w:id="82"/>
      <w:bookmarkEnd w:id="83"/>
      <w:bookmarkEnd w:id="84"/>
      <w:bookmarkEnd w:id="85"/>
      <w:bookmarkEnd w:id="86"/>
    </w:p>
    <w:p w14:paraId="60406C24" w14:textId="582CD9D0" w:rsidR="00DD1F94" w:rsidRPr="002815F4" w:rsidRDefault="002929E0" w:rsidP="009B3E66">
      <w:pPr>
        <w:pStyle w:val="Heading3"/>
      </w:pPr>
      <w:r w:rsidRPr="002815F4">
        <w:t>Documentation of progress</w:t>
      </w:r>
    </w:p>
    <w:p w14:paraId="38D69040" w14:textId="30325404" w:rsidR="00E5485B" w:rsidRPr="002815F4" w:rsidRDefault="00090B30" w:rsidP="00E956E1">
      <w:pPr>
        <w:spacing w:before="120"/>
        <w:rPr>
          <w:rFonts w:ascii="Calibri" w:hAnsi="Calibri"/>
          <w:bCs/>
        </w:rPr>
      </w:pPr>
      <w:r w:rsidRPr="002815F4">
        <w:rPr>
          <w:rFonts w:ascii="Calibri" w:hAnsi="Calibri"/>
          <w:i/>
          <w:u w:val="single"/>
        </w:rPr>
        <w:t>Public statement</w:t>
      </w:r>
      <w:r w:rsidRPr="002815F4">
        <w:rPr>
          <w:rFonts w:ascii="Calibri" w:hAnsi="Calibri"/>
          <w:i/>
        </w:rPr>
        <w:t xml:space="preserve">: </w:t>
      </w:r>
      <w:r w:rsidR="0008642A" w:rsidRPr="002815F4">
        <w:rPr>
          <w:rFonts w:ascii="Calibri" w:hAnsi="Calibri"/>
        </w:rPr>
        <w:t xml:space="preserve">Representatives of the Government of Senegal have made regular public statements of support for EITI, including at the highest political levels. The Council of Ministers </w:t>
      </w:r>
      <w:r w:rsidR="002815F4" w:rsidRPr="002815F4">
        <w:rPr>
          <w:rFonts w:ascii="Calibri" w:hAnsi="Calibri"/>
        </w:rPr>
        <w:t>committed</w:t>
      </w:r>
      <w:r w:rsidR="0008642A" w:rsidRPr="002815F4">
        <w:rPr>
          <w:rFonts w:ascii="Calibri" w:hAnsi="Calibri"/>
        </w:rPr>
        <w:t xml:space="preserve"> to implement the EITI on </w:t>
      </w:r>
      <w:r w:rsidR="0008642A" w:rsidRPr="002815F4">
        <w:rPr>
          <w:rFonts w:ascii="Calibri" w:hAnsi="Calibri"/>
          <w:bCs/>
        </w:rPr>
        <w:t xml:space="preserve">2 February 2012, upon a motion from Minister of State for Mines, Industry and SMEs Abdoulaye Baldé </w:t>
      </w:r>
      <w:sdt>
        <w:sdtPr>
          <w:rPr>
            <w:rFonts w:ascii="Calibri" w:hAnsi="Calibri"/>
            <w:bCs/>
          </w:rPr>
          <w:id w:val="627284727"/>
          <w:citation/>
        </w:sdtPr>
        <w:sdtEndPr/>
        <w:sdtContent>
          <w:r w:rsidR="0008642A" w:rsidRPr="002815F4">
            <w:rPr>
              <w:rFonts w:ascii="Calibri" w:hAnsi="Calibri"/>
              <w:bCs/>
            </w:rPr>
            <w:fldChar w:fldCharType="begin"/>
          </w:r>
          <w:r w:rsidR="0008642A" w:rsidRPr="002815F4">
            <w:rPr>
              <w:rFonts w:ascii="Calibri" w:hAnsi="Calibri"/>
              <w:bCs/>
            </w:rPr>
            <w:instrText xml:space="preserve"> CITATION Con12 \l 1033 </w:instrText>
          </w:r>
          <w:r w:rsidR="0008642A" w:rsidRPr="002815F4">
            <w:rPr>
              <w:rFonts w:ascii="Calibri" w:hAnsi="Calibri"/>
              <w:bCs/>
            </w:rPr>
            <w:fldChar w:fldCharType="separate"/>
          </w:r>
          <w:r w:rsidR="003E626E" w:rsidRPr="002815F4">
            <w:rPr>
              <w:rFonts w:ascii="Calibri" w:hAnsi="Calibri"/>
              <w:noProof/>
            </w:rPr>
            <w:t>(Conseil des Ministres, 2012)</w:t>
          </w:r>
          <w:r w:rsidR="0008642A" w:rsidRPr="002815F4">
            <w:rPr>
              <w:rFonts w:ascii="Calibri" w:hAnsi="Calibri"/>
              <w:bCs/>
            </w:rPr>
            <w:fldChar w:fldCharType="end"/>
          </w:r>
        </w:sdtContent>
      </w:sdt>
      <w:r w:rsidR="0008642A" w:rsidRPr="002815F4">
        <w:rPr>
          <w:rFonts w:ascii="Calibri" w:hAnsi="Calibri"/>
          <w:bCs/>
        </w:rPr>
        <w:t xml:space="preserve">. </w:t>
      </w:r>
      <w:r w:rsidR="006A39E1" w:rsidRPr="002815F4">
        <w:rPr>
          <w:rFonts w:ascii="Calibri" w:hAnsi="Calibri"/>
          <w:bCs/>
        </w:rPr>
        <w:t xml:space="preserve">President Macky Sall </w:t>
      </w:r>
      <w:r w:rsidR="00ED2739" w:rsidRPr="002815F4">
        <w:rPr>
          <w:rFonts w:ascii="Calibri" w:hAnsi="Calibri"/>
          <w:bCs/>
        </w:rPr>
        <w:t xml:space="preserve">has </w:t>
      </w:r>
      <w:r w:rsidR="006A39E1" w:rsidRPr="002815F4">
        <w:rPr>
          <w:rFonts w:ascii="Calibri" w:hAnsi="Calibri"/>
          <w:bCs/>
        </w:rPr>
        <w:t xml:space="preserve">called </w:t>
      </w:r>
      <w:r w:rsidR="00ED2739" w:rsidRPr="002815F4">
        <w:rPr>
          <w:rFonts w:ascii="Calibri" w:hAnsi="Calibri"/>
          <w:bCs/>
        </w:rPr>
        <w:t xml:space="preserve">for </w:t>
      </w:r>
      <w:r w:rsidR="006A39E1" w:rsidRPr="002815F4">
        <w:rPr>
          <w:rFonts w:ascii="Calibri" w:hAnsi="Calibri"/>
          <w:bCs/>
        </w:rPr>
        <w:t xml:space="preserve">all UEMOA members to implement the EITI </w:t>
      </w:r>
      <w:sdt>
        <w:sdtPr>
          <w:rPr>
            <w:rFonts w:ascii="Calibri" w:hAnsi="Calibri"/>
            <w:bCs/>
          </w:rPr>
          <w:id w:val="-330757913"/>
          <w:citation/>
        </w:sdtPr>
        <w:sdtEndPr/>
        <w:sdtContent>
          <w:r w:rsidR="006A39E1" w:rsidRPr="002815F4">
            <w:rPr>
              <w:rFonts w:ascii="Calibri" w:hAnsi="Calibri"/>
              <w:bCs/>
            </w:rPr>
            <w:fldChar w:fldCharType="begin"/>
          </w:r>
          <w:r w:rsidR="006A39E1" w:rsidRPr="002815F4">
            <w:rPr>
              <w:rFonts w:ascii="Calibri" w:hAnsi="Calibri"/>
              <w:bCs/>
            </w:rPr>
            <w:instrText xml:space="preserve">CITATION ITI1319 \l 1033 </w:instrText>
          </w:r>
          <w:r w:rsidR="006A39E1" w:rsidRPr="002815F4">
            <w:rPr>
              <w:rFonts w:ascii="Calibri" w:hAnsi="Calibri"/>
              <w:bCs/>
            </w:rPr>
            <w:fldChar w:fldCharType="separate"/>
          </w:r>
          <w:r w:rsidR="003E626E" w:rsidRPr="002815F4">
            <w:rPr>
              <w:rFonts w:ascii="Calibri" w:hAnsi="Calibri"/>
              <w:noProof/>
            </w:rPr>
            <w:t>(ITIE Senegal, 2013)</w:t>
          </w:r>
          <w:r w:rsidR="006A39E1" w:rsidRPr="002815F4">
            <w:rPr>
              <w:rFonts w:ascii="Calibri" w:hAnsi="Calibri"/>
              <w:bCs/>
            </w:rPr>
            <w:fldChar w:fldCharType="end"/>
          </w:r>
        </w:sdtContent>
      </w:sdt>
      <w:r w:rsidR="00A1228F">
        <w:rPr>
          <w:rFonts w:ascii="Calibri" w:hAnsi="Calibri"/>
          <w:bCs/>
        </w:rPr>
        <w:t xml:space="preserve"> and reiterated the government’s commitment to use the EITI to drive reforms on several occasions </w:t>
      </w:r>
      <w:sdt>
        <w:sdtPr>
          <w:rPr>
            <w:rFonts w:ascii="Calibri" w:hAnsi="Calibri"/>
            <w:bCs/>
          </w:rPr>
          <w:id w:val="1136536200"/>
          <w:citation/>
        </w:sdtPr>
        <w:sdtEndPr/>
        <w:sdtContent>
          <w:r w:rsidR="00E5485B" w:rsidRPr="002815F4">
            <w:rPr>
              <w:rFonts w:ascii="Calibri" w:hAnsi="Calibri"/>
              <w:bCs/>
            </w:rPr>
            <w:fldChar w:fldCharType="begin"/>
          </w:r>
          <w:r w:rsidR="00E5485B" w:rsidRPr="002815F4">
            <w:rPr>
              <w:rFonts w:ascii="Calibri" w:hAnsi="Calibri"/>
              <w:bCs/>
            </w:rPr>
            <w:instrText xml:space="preserve"> CITATION EIT17 \l 1033 </w:instrText>
          </w:r>
          <w:r w:rsidR="00E5485B" w:rsidRPr="002815F4">
            <w:rPr>
              <w:rFonts w:ascii="Calibri" w:hAnsi="Calibri"/>
              <w:bCs/>
            </w:rPr>
            <w:fldChar w:fldCharType="separate"/>
          </w:r>
          <w:r w:rsidR="00E5485B" w:rsidRPr="002815F4">
            <w:rPr>
              <w:rFonts w:ascii="Calibri" w:hAnsi="Calibri"/>
              <w:noProof/>
            </w:rPr>
            <w:t>(EITI, 2017)</w:t>
          </w:r>
          <w:r w:rsidR="00E5485B" w:rsidRPr="002815F4">
            <w:rPr>
              <w:rFonts w:ascii="Calibri" w:hAnsi="Calibri"/>
              <w:bCs/>
            </w:rPr>
            <w:fldChar w:fldCharType="end"/>
          </w:r>
        </w:sdtContent>
      </w:sdt>
      <w:r w:rsidR="00E5485B" w:rsidRPr="002815F4">
        <w:rPr>
          <w:rFonts w:ascii="Calibri" w:hAnsi="Calibri"/>
          <w:bCs/>
        </w:rPr>
        <w:t xml:space="preserve">. </w:t>
      </w:r>
    </w:p>
    <w:p w14:paraId="35E7F58D" w14:textId="2933E393" w:rsidR="002563E2" w:rsidRPr="002815F4" w:rsidRDefault="006A39E1" w:rsidP="00E956E1">
      <w:pPr>
        <w:spacing w:before="120"/>
        <w:rPr>
          <w:rFonts w:ascii="Calibri" w:hAnsi="Calibri"/>
          <w:bCs/>
        </w:rPr>
      </w:pPr>
      <w:r w:rsidRPr="002815F4">
        <w:rPr>
          <w:rFonts w:ascii="Calibri" w:hAnsi="Calibri"/>
          <w:bCs/>
        </w:rPr>
        <w:t xml:space="preserve">There have been frequent statements of support from President Sall, </w:t>
      </w:r>
      <w:r w:rsidRPr="002815F4">
        <w:rPr>
          <w:rFonts w:ascii="Calibri" w:hAnsi="Calibri"/>
        </w:rPr>
        <w:t xml:space="preserve">Prime Ministers Aminata Touré and Mahammed Boun Abdallah Dionne, Minister of Good Governance and Institutional Relations Abdou Latif Coulibaly, Minister of Mines Aly Ngouille Ndiaye and </w:t>
      </w:r>
      <w:r w:rsidR="00A1228F">
        <w:rPr>
          <w:rFonts w:ascii="Calibri" w:hAnsi="Calibri"/>
        </w:rPr>
        <w:t>then-</w:t>
      </w:r>
      <w:r w:rsidRPr="002815F4">
        <w:rPr>
          <w:rFonts w:ascii="Calibri" w:hAnsi="Calibri"/>
        </w:rPr>
        <w:t xml:space="preserve">Minister Legal </w:t>
      </w:r>
      <w:r w:rsidR="00ED2739" w:rsidRPr="002815F4">
        <w:rPr>
          <w:rFonts w:ascii="Calibri" w:hAnsi="Calibri"/>
        </w:rPr>
        <w:t>Councillor</w:t>
      </w:r>
      <w:r w:rsidRPr="002815F4">
        <w:rPr>
          <w:rFonts w:ascii="Calibri" w:hAnsi="Calibri"/>
        </w:rPr>
        <w:t xml:space="preserve"> to the President Prof. Ismaïla Madior Fall</w:t>
      </w:r>
      <w:r w:rsidR="002D1DEC" w:rsidRPr="002815F4">
        <w:rPr>
          <w:rFonts w:ascii="Calibri" w:hAnsi="Calibri"/>
        </w:rPr>
        <w:t xml:space="preserve"> to both local media and international forums like the UK Anti-Corruption Summit in May 2016</w:t>
      </w:r>
      <w:r w:rsidRPr="002815F4">
        <w:rPr>
          <w:rFonts w:ascii="Calibri" w:hAnsi="Calibri"/>
        </w:rPr>
        <w:t xml:space="preserve"> </w:t>
      </w:r>
      <w:sdt>
        <w:sdtPr>
          <w:rPr>
            <w:rFonts w:ascii="Calibri" w:hAnsi="Calibri"/>
          </w:rPr>
          <w:id w:val="-627786041"/>
          <w:citation/>
        </w:sdtPr>
        <w:sdtEndPr/>
        <w:sdtContent>
          <w:r w:rsidRPr="002815F4">
            <w:rPr>
              <w:rFonts w:ascii="Calibri" w:hAnsi="Calibri"/>
            </w:rPr>
            <w:fldChar w:fldCharType="begin"/>
          </w:r>
          <w:r w:rsidRPr="002815F4">
            <w:rPr>
              <w:rFonts w:ascii="Calibri" w:hAnsi="Calibri"/>
            </w:rPr>
            <w:instrText xml:space="preserve"> CITATION LeS13 \l 1033 </w:instrText>
          </w:r>
          <w:r w:rsidRPr="002815F4">
            <w:rPr>
              <w:rFonts w:ascii="Calibri" w:hAnsi="Calibri"/>
            </w:rPr>
            <w:fldChar w:fldCharType="separate"/>
          </w:r>
          <w:r w:rsidR="003E626E" w:rsidRPr="002815F4">
            <w:rPr>
              <w:rFonts w:ascii="Calibri" w:hAnsi="Calibri"/>
              <w:noProof/>
            </w:rPr>
            <w:t>(Le Sud Online, 2013)</w:t>
          </w:r>
          <w:r w:rsidRPr="002815F4">
            <w:rPr>
              <w:rFonts w:ascii="Calibri" w:hAnsi="Calibri"/>
            </w:rPr>
            <w:fldChar w:fldCharType="end"/>
          </w:r>
        </w:sdtContent>
      </w:sdt>
      <w:r w:rsidRPr="002815F4">
        <w:rPr>
          <w:rFonts w:ascii="Calibri" w:hAnsi="Calibri"/>
          <w:bCs/>
        </w:rPr>
        <w:t xml:space="preserve"> </w:t>
      </w:r>
      <w:sdt>
        <w:sdtPr>
          <w:rPr>
            <w:rFonts w:ascii="Calibri" w:hAnsi="Calibri"/>
            <w:bCs/>
          </w:rPr>
          <w:id w:val="1161508834"/>
          <w:citation/>
        </w:sdtPr>
        <w:sdtEndPr/>
        <w:sdtContent>
          <w:r w:rsidRPr="002815F4">
            <w:rPr>
              <w:rFonts w:ascii="Calibri" w:hAnsi="Calibri"/>
              <w:bCs/>
            </w:rPr>
            <w:fldChar w:fldCharType="begin"/>
          </w:r>
          <w:r w:rsidRPr="002815F4">
            <w:rPr>
              <w:rFonts w:ascii="Calibri" w:hAnsi="Calibri"/>
              <w:bCs/>
            </w:rPr>
            <w:instrText xml:space="preserve"> CITATION LeS14 \l 1033 </w:instrText>
          </w:r>
          <w:r w:rsidRPr="002815F4">
            <w:rPr>
              <w:rFonts w:ascii="Calibri" w:hAnsi="Calibri"/>
              <w:bCs/>
            </w:rPr>
            <w:fldChar w:fldCharType="separate"/>
          </w:r>
          <w:r w:rsidR="003E626E" w:rsidRPr="002815F4">
            <w:rPr>
              <w:rFonts w:ascii="Calibri" w:hAnsi="Calibri"/>
              <w:noProof/>
            </w:rPr>
            <w:t>(Le Soleil, 2014)</w:t>
          </w:r>
          <w:r w:rsidRPr="002815F4">
            <w:rPr>
              <w:rFonts w:ascii="Calibri" w:hAnsi="Calibri"/>
              <w:bCs/>
            </w:rPr>
            <w:fldChar w:fldCharType="end"/>
          </w:r>
        </w:sdtContent>
      </w:sdt>
      <w:r w:rsidRPr="002815F4">
        <w:rPr>
          <w:rFonts w:ascii="Calibri" w:hAnsi="Calibri"/>
          <w:bCs/>
        </w:rPr>
        <w:t xml:space="preserve"> </w:t>
      </w:r>
      <w:sdt>
        <w:sdtPr>
          <w:rPr>
            <w:rFonts w:ascii="Calibri" w:hAnsi="Calibri"/>
            <w:bCs/>
          </w:rPr>
          <w:id w:val="617420425"/>
          <w:citation/>
        </w:sdtPr>
        <w:sdtEndPr/>
        <w:sdtContent>
          <w:r w:rsidRPr="002815F4">
            <w:rPr>
              <w:rFonts w:ascii="Calibri" w:hAnsi="Calibri"/>
              <w:bCs/>
            </w:rPr>
            <w:fldChar w:fldCharType="begin"/>
          </w:r>
          <w:r w:rsidRPr="002815F4">
            <w:rPr>
              <w:rFonts w:ascii="Calibri" w:hAnsi="Calibri"/>
              <w:bCs/>
            </w:rPr>
            <w:instrText xml:space="preserve"> CITATION ITI1534 \l 1033 </w:instrText>
          </w:r>
          <w:r w:rsidRPr="002815F4">
            <w:rPr>
              <w:rFonts w:ascii="Calibri" w:hAnsi="Calibri"/>
              <w:bCs/>
            </w:rPr>
            <w:fldChar w:fldCharType="separate"/>
          </w:r>
          <w:r w:rsidR="003E626E" w:rsidRPr="002815F4">
            <w:rPr>
              <w:rFonts w:ascii="Calibri" w:hAnsi="Calibri"/>
              <w:noProof/>
            </w:rPr>
            <w:t>(ITIE Senegal, 2015)</w:t>
          </w:r>
          <w:r w:rsidRPr="002815F4">
            <w:rPr>
              <w:rFonts w:ascii="Calibri" w:hAnsi="Calibri"/>
              <w:bCs/>
            </w:rPr>
            <w:fldChar w:fldCharType="end"/>
          </w:r>
        </w:sdtContent>
      </w:sdt>
      <w:r w:rsidRPr="002815F4">
        <w:rPr>
          <w:rFonts w:ascii="Calibri" w:hAnsi="Calibri"/>
          <w:bCs/>
        </w:rPr>
        <w:t xml:space="preserve"> </w:t>
      </w:r>
      <w:sdt>
        <w:sdtPr>
          <w:rPr>
            <w:rFonts w:ascii="Calibri" w:hAnsi="Calibri"/>
            <w:bCs/>
          </w:rPr>
          <w:id w:val="-628542623"/>
          <w:citation/>
        </w:sdtPr>
        <w:sdtEndPr/>
        <w:sdtContent>
          <w:r w:rsidRPr="002815F4">
            <w:rPr>
              <w:rFonts w:ascii="Calibri" w:hAnsi="Calibri"/>
              <w:bCs/>
            </w:rPr>
            <w:fldChar w:fldCharType="begin"/>
          </w:r>
          <w:r w:rsidRPr="002815F4">
            <w:rPr>
              <w:rFonts w:ascii="Calibri" w:hAnsi="Calibri"/>
              <w:bCs/>
            </w:rPr>
            <w:instrText xml:space="preserve"> CITATION ITI1645 \l 1033 </w:instrText>
          </w:r>
          <w:r w:rsidRPr="002815F4">
            <w:rPr>
              <w:rFonts w:ascii="Calibri" w:hAnsi="Calibri"/>
              <w:bCs/>
            </w:rPr>
            <w:fldChar w:fldCharType="separate"/>
          </w:r>
          <w:r w:rsidR="003E626E" w:rsidRPr="002815F4">
            <w:rPr>
              <w:rFonts w:ascii="Calibri" w:hAnsi="Calibri"/>
              <w:noProof/>
            </w:rPr>
            <w:t>(ITIE Senegal, 2016)</w:t>
          </w:r>
          <w:r w:rsidRPr="002815F4">
            <w:rPr>
              <w:rFonts w:ascii="Calibri" w:hAnsi="Calibri"/>
              <w:bCs/>
            </w:rPr>
            <w:fldChar w:fldCharType="end"/>
          </w:r>
        </w:sdtContent>
      </w:sdt>
      <w:r w:rsidRPr="002815F4">
        <w:rPr>
          <w:rFonts w:ascii="Calibri" w:hAnsi="Calibri"/>
          <w:bCs/>
        </w:rPr>
        <w:t xml:space="preserve"> </w:t>
      </w:r>
      <w:sdt>
        <w:sdtPr>
          <w:rPr>
            <w:rFonts w:ascii="Calibri" w:hAnsi="Calibri"/>
            <w:bCs/>
          </w:rPr>
          <w:id w:val="1904251778"/>
          <w:citation/>
        </w:sdtPr>
        <w:sdtEndPr/>
        <w:sdtContent>
          <w:r w:rsidRPr="002815F4">
            <w:rPr>
              <w:rFonts w:ascii="Calibri" w:hAnsi="Calibri"/>
              <w:bCs/>
            </w:rPr>
            <w:fldChar w:fldCharType="begin"/>
          </w:r>
          <w:r w:rsidRPr="002815F4">
            <w:rPr>
              <w:rFonts w:ascii="Calibri" w:hAnsi="Calibri"/>
              <w:bCs/>
            </w:rPr>
            <w:instrText xml:space="preserve"> CITATION LeQ16 \l 1033 </w:instrText>
          </w:r>
          <w:r w:rsidRPr="002815F4">
            <w:rPr>
              <w:rFonts w:ascii="Calibri" w:hAnsi="Calibri"/>
              <w:bCs/>
            </w:rPr>
            <w:fldChar w:fldCharType="separate"/>
          </w:r>
          <w:r w:rsidR="003E626E" w:rsidRPr="002815F4">
            <w:rPr>
              <w:rFonts w:ascii="Calibri" w:hAnsi="Calibri"/>
              <w:noProof/>
            </w:rPr>
            <w:t>(Le Quotidien, 2016)</w:t>
          </w:r>
          <w:r w:rsidRPr="002815F4">
            <w:rPr>
              <w:rFonts w:ascii="Calibri" w:hAnsi="Calibri"/>
              <w:bCs/>
            </w:rPr>
            <w:fldChar w:fldCharType="end"/>
          </w:r>
        </w:sdtContent>
      </w:sdt>
      <w:r w:rsidRPr="002815F4">
        <w:rPr>
          <w:rFonts w:ascii="Calibri" w:hAnsi="Calibri"/>
          <w:bCs/>
        </w:rPr>
        <w:t xml:space="preserve"> </w:t>
      </w:r>
      <w:sdt>
        <w:sdtPr>
          <w:rPr>
            <w:rFonts w:ascii="Calibri" w:hAnsi="Calibri"/>
            <w:bCs/>
          </w:rPr>
          <w:id w:val="1166215043"/>
          <w:citation/>
        </w:sdtPr>
        <w:sdtEndPr/>
        <w:sdtContent>
          <w:r w:rsidRPr="002815F4">
            <w:rPr>
              <w:rFonts w:ascii="Calibri" w:hAnsi="Calibri"/>
              <w:bCs/>
            </w:rPr>
            <w:fldChar w:fldCharType="begin"/>
          </w:r>
          <w:r w:rsidRPr="002815F4">
            <w:rPr>
              <w:rFonts w:ascii="Calibri" w:hAnsi="Calibri"/>
              <w:bCs/>
            </w:rPr>
            <w:instrText xml:space="preserve"> CITATION Gou16 \l 1033 </w:instrText>
          </w:r>
          <w:r w:rsidRPr="002815F4">
            <w:rPr>
              <w:rFonts w:ascii="Calibri" w:hAnsi="Calibri"/>
              <w:bCs/>
            </w:rPr>
            <w:fldChar w:fldCharType="separate"/>
          </w:r>
          <w:r w:rsidR="003E626E" w:rsidRPr="002815F4">
            <w:rPr>
              <w:rFonts w:ascii="Calibri" w:hAnsi="Calibri"/>
              <w:noProof/>
            </w:rPr>
            <w:t>(Gouvernement du Senegal, 2016)</w:t>
          </w:r>
          <w:r w:rsidRPr="002815F4">
            <w:rPr>
              <w:rFonts w:ascii="Calibri" w:hAnsi="Calibri"/>
              <w:bCs/>
            </w:rPr>
            <w:fldChar w:fldCharType="end"/>
          </w:r>
        </w:sdtContent>
      </w:sdt>
      <w:r w:rsidRPr="002815F4">
        <w:rPr>
          <w:rFonts w:ascii="Calibri" w:hAnsi="Calibri"/>
        </w:rPr>
        <w:t xml:space="preserve"> </w:t>
      </w:r>
      <w:sdt>
        <w:sdtPr>
          <w:rPr>
            <w:rFonts w:ascii="Calibri" w:hAnsi="Calibri"/>
          </w:rPr>
          <w:id w:val="2139286125"/>
          <w:citation/>
        </w:sdtPr>
        <w:sdtEndPr/>
        <w:sdtContent>
          <w:r w:rsidRPr="002815F4">
            <w:rPr>
              <w:rFonts w:ascii="Calibri" w:hAnsi="Calibri"/>
            </w:rPr>
            <w:fldChar w:fldCharType="begin"/>
          </w:r>
          <w:r w:rsidRPr="002815F4">
            <w:rPr>
              <w:rFonts w:ascii="Calibri" w:hAnsi="Calibri"/>
            </w:rPr>
            <w:instrText xml:space="preserve"> CITATION ITI1626 \l 1033 </w:instrText>
          </w:r>
          <w:r w:rsidRPr="002815F4">
            <w:rPr>
              <w:rFonts w:ascii="Calibri" w:hAnsi="Calibri"/>
            </w:rPr>
            <w:fldChar w:fldCharType="separate"/>
          </w:r>
          <w:r w:rsidR="003E626E" w:rsidRPr="002815F4">
            <w:rPr>
              <w:rFonts w:ascii="Calibri" w:hAnsi="Calibri"/>
              <w:noProof/>
            </w:rPr>
            <w:t>(ITIE Senegal, 2016)</w:t>
          </w:r>
          <w:r w:rsidRPr="002815F4">
            <w:rPr>
              <w:rFonts w:ascii="Calibri" w:hAnsi="Calibri"/>
            </w:rPr>
            <w:fldChar w:fldCharType="end"/>
          </w:r>
        </w:sdtContent>
      </w:sdt>
      <w:r w:rsidRPr="002815F4">
        <w:rPr>
          <w:rFonts w:ascii="Calibri" w:hAnsi="Calibri"/>
        </w:rPr>
        <w:t xml:space="preserve"> </w:t>
      </w:r>
      <w:sdt>
        <w:sdtPr>
          <w:rPr>
            <w:rFonts w:ascii="Calibri" w:hAnsi="Calibri"/>
          </w:rPr>
          <w:id w:val="-911089435"/>
          <w:citation/>
        </w:sdtPr>
        <w:sdtEndPr/>
        <w:sdtContent>
          <w:r w:rsidRPr="002815F4">
            <w:rPr>
              <w:rFonts w:ascii="Calibri" w:hAnsi="Calibri"/>
            </w:rPr>
            <w:fldChar w:fldCharType="begin"/>
          </w:r>
          <w:r w:rsidRPr="002815F4">
            <w:rPr>
              <w:rFonts w:ascii="Calibri" w:hAnsi="Calibri"/>
            </w:rPr>
            <w:instrText xml:space="preserve"> CITATION ITI1641 \l 1033 </w:instrText>
          </w:r>
          <w:r w:rsidRPr="002815F4">
            <w:rPr>
              <w:rFonts w:ascii="Calibri" w:hAnsi="Calibri"/>
            </w:rPr>
            <w:fldChar w:fldCharType="separate"/>
          </w:r>
          <w:r w:rsidR="003E626E" w:rsidRPr="002815F4">
            <w:rPr>
              <w:rFonts w:ascii="Calibri" w:hAnsi="Calibri"/>
              <w:noProof/>
            </w:rPr>
            <w:t>(ITIE Senegal, 2016)</w:t>
          </w:r>
          <w:r w:rsidRPr="002815F4">
            <w:rPr>
              <w:rFonts w:ascii="Calibri" w:hAnsi="Calibri"/>
            </w:rPr>
            <w:fldChar w:fldCharType="end"/>
          </w:r>
        </w:sdtContent>
      </w:sdt>
      <w:sdt>
        <w:sdtPr>
          <w:rPr>
            <w:rFonts w:ascii="Calibri" w:hAnsi="Calibri"/>
          </w:rPr>
          <w:id w:val="533694031"/>
          <w:citation/>
        </w:sdtPr>
        <w:sdtEndPr/>
        <w:sdtContent>
          <w:r w:rsidRPr="002815F4">
            <w:rPr>
              <w:rFonts w:ascii="Calibri" w:hAnsi="Calibri"/>
            </w:rPr>
            <w:fldChar w:fldCharType="begin"/>
          </w:r>
          <w:r w:rsidRPr="002815F4">
            <w:rPr>
              <w:rFonts w:ascii="Calibri" w:hAnsi="Calibri"/>
            </w:rPr>
            <w:instrText xml:space="preserve"> CITATION Rép161 \l 1033 </w:instrText>
          </w:r>
          <w:r w:rsidRPr="002815F4">
            <w:rPr>
              <w:rFonts w:ascii="Calibri" w:hAnsi="Calibri"/>
            </w:rPr>
            <w:fldChar w:fldCharType="separate"/>
          </w:r>
          <w:r w:rsidR="003E626E" w:rsidRPr="002815F4">
            <w:rPr>
              <w:rFonts w:ascii="Calibri" w:hAnsi="Calibri"/>
              <w:noProof/>
            </w:rPr>
            <w:t xml:space="preserve"> (République du Senegal, 2016)</w:t>
          </w:r>
          <w:r w:rsidRPr="002815F4">
            <w:rPr>
              <w:rFonts w:ascii="Calibri" w:hAnsi="Calibri"/>
            </w:rPr>
            <w:fldChar w:fldCharType="end"/>
          </w:r>
        </w:sdtContent>
      </w:sdt>
      <w:r w:rsidRPr="002815F4">
        <w:rPr>
          <w:rFonts w:ascii="Calibri" w:hAnsi="Calibri"/>
        </w:rPr>
        <w:t xml:space="preserve"> </w:t>
      </w:r>
      <w:sdt>
        <w:sdtPr>
          <w:rPr>
            <w:rFonts w:ascii="Calibri" w:hAnsi="Calibri"/>
          </w:rPr>
          <w:id w:val="-572042999"/>
          <w:citation/>
        </w:sdtPr>
        <w:sdtEndPr/>
        <w:sdtContent>
          <w:r w:rsidRPr="002815F4">
            <w:rPr>
              <w:rFonts w:ascii="Calibri" w:hAnsi="Calibri"/>
            </w:rPr>
            <w:fldChar w:fldCharType="begin"/>
          </w:r>
          <w:r w:rsidRPr="002815F4">
            <w:rPr>
              <w:rFonts w:ascii="Calibri" w:hAnsi="Calibri"/>
            </w:rPr>
            <w:instrText xml:space="preserve"> CITATION ITI1629 \l 1033 </w:instrText>
          </w:r>
          <w:r w:rsidRPr="002815F4">
            <w:rPr>
              <w:rFonts w:ascii="Calibri" w:hAnsi="Calibri"/>
            </w:rPr>
            <w:fldChar w:fldCharType="separate"/>
          </w:r>
          <w:r w:rsidR="003E626E" w:rsidRPr="002815F4">
            <w:rPr>
              <w:rFonts w:ascii="Calibri" w:hAnsi="Calibri"/>
              <w:noProof/>
            </w:rPr>
            <w:t>(ITIE Senegal, 2016)</w:t>
          </w:r>
          <w:r w:rsidRPr="002815F4">
            <w:rPr>
              <w:rFonts w:ascii="Calibri" w:hAnsi="Calibri"/>
            </w:rPr>
            <w:fldChar w:fldCharType="end"/>
          </w:r>
        </w:sdtContent>
      </w:sdt>
      <w:r w:rsidR="009C4F20" w:rsidRPr="002815F4">
        <w:rPr>
          <w:rFonts w:ascii="Calibri" w:hAnsi="Calibri"/>
        </w:rPr>
        <w:t xml:space="preserve"> </w:t>
      </w:r>
      <w:sdt>
        <w:sdtPr>
          <w:id w:val="-54093698"/>
          <w:citation/>
        </w:sdtPr>
        <w:sdtEndPr/>
        <w:sdtContent>
          <w:r w:rsidR="009C4F20" w:rsidRPr="002815F4">
            <w:fldChar w:fldCharType="begin"/>
          </w:r>
          <w:r w:rsidR="009C4F20" w:rsidRPr="002815F4">
            <w:instrText xml:space="preserve"> CITATION EIT16 \l 1033 </w:instrText>
          </w:r>
          <w:r w:rsidR="009C4F20" w:rsidRPr="002815F4">
            <w:fldChar w:fldCharType="separate"/>
          </w:r>
          <w:r w:rsidR="003E626E" w:rsidRPr="002815F4">
            <w:rPr>
              <w:noProof/>
            </w:rPr>
            <w:t>(EITI, 2016)</w:t>
          </w:r>
          <w:r w:rsidR="009C4F20" w:rsidRPr="002815F4">
            <w:fldChar w:fldCharType="end"/>
          </w:r>
        </w:sdtContent>
      </w:sdt>
      <w:r w:rsidR="009C4F20" w:rsidRPr="002815F4">
        <w:t>.</w:t>
      </w:r>
      <w:r w:rsidRPr="002815F4">
        <w:rPr>
          <w:rFonts w:ascii="Calibri" w:hAnsi="Calibri"/>
        </w:rPr>
        <w:t xml:space="preserve"> Government officials’ </w:t>
      </w:r>
      <w:r w:rsidR="002D1DEC" w:rsidRPr="002815F4">
        <w:rPr>
          <w:rFonts w:ascii="Calibri" w:hAnsi="Calibri"/>
        </w:rPr>
        <w:t xml:space="preserve">public </w:t>
      </w:r>
      <w:r w:rsidRPr="002815F4">
        <w:rPr>
          <w:rFonts w:ascii="Calibri" w:hAnsi="Calibri"/>
        </w:rPr>
        <w:t>support has consistently linked EITI implementation to broader sector reforms</w:t>
      </w:r>
      <w:r w:rsidR="00A1228F">
        <w:rPr>
          <w:rFonts w:ascii="Calibri" w:hAnsi="Calibri"/>
        </w:rPr>
        <w:t xml:space="preserve">, including </w:t>
      </w:r>
      <w:r w:rsidR="00DB6A5F" w:rsidRPr="002815F4">
        <w:rPr>
          <w:rFonts w:ascii="Calibri" w:hAnsi="Calibri"/>
        </w:rPr>
        <w:t>President Sall’s good governance and transparency priorities since his election in 2012</w:t>
      </w:r>
      <w:r w:rsidR="009C4F20" w:rsidRPr="002815F4">
        <w:rPr>
          <w:rFonts w:ascii="Calibri" w:hAnsi="Calibri"/>
        </w:rPr>
        <w:t xml:space="preserve"> and to the Emerging Senegal Programme, a vision to 2035</w:t>
      </w:r>
      <w:r w:rsidR="00DB6A5F" w:rsidRPr="002815F4">
        <w:rPr>
          <w:rFonts w:ascii="Calibri" w:hAnsi="Calibri"/>
        </w:rPr>
        <w:t xml:space="preserve"> </w:t>
      </w:r>
      <w:sdt>
        <w:sdtPr>
          <w:rPr>
            <w:rFonts w:ascii="Calibri" w:hAnsi="Calibri"/>
            <w:bCs/>
          </w:rPr>
          <w:id w:val="1418991578"/>
          <w:citation/>
        </w:sdtPr>
        <w:sdtEndPr/>
        <w:sdtContent>
          <w:r w:rsidR="00DB6A5F" w:rsidRPr="002815F4">
            <w:rPr>
              <w:rFonts w:ascii="Calibri" w:hAnsi="Calibri"/>
              <w:bCs/>
            </w:rPr>
            <w:fldChar w:fldCharType="begin"/>
          </w:r>
          <w:r w:rsidR="00DB6A5F" w:rsidRPr="002815F4">
            <w:rPr>
              <w:rFonts w:ascii="Calibri" w:hAnsi="Calibri"/>
              <w:bCs/>
            </w:rPr>
            <w:instrText xml:space="preserve"> CITATION Rep171 \l 1033 </w:instrText>
          </w:r>
          <w:r w:rsidR="00DB6A5F" w:rsidRPr="002815F4">
            <w:rPr>
              <w:rFonts w:ascii="Calibri" w:hAnsi="Calibri"/>
              <w:bCs/>
            </w:rPr>
            <w:fldChar w:fldCharType="separate"/>
          </w:r>
          <w:r w:rsidR="003E626E" w:rsidRPr="002815F4">
            <w:rPr>
              <w:rFonts w:ascii="Calibri" w:hAnsi="Calibri"/>
              <w:noProof/>
            </w:rPr>
            <w:t>(Republic of Senegal, 2017)</w:t>
          </w:r>
          <w:r w:rsidR="00DB6A5F" w:rsidRPr="002815F4">
            <w:rPr>
              <w:rFonts w:ascii="Calibri" w:hAnsi="Calibri"/>
              <w:bCs/>
            </w:rPr>
            <w:fldChar w:fldCharType="end"/>
          </w:r>
        </w:sdtContent>
      </w:sdt>
      <w:r w:rsidR="009C4F20" w:rsidRPr="002815F4">
        <w:rPr>
          <w:rFonts w:ascii="Calibri" w:hAnsi="Calibri"/>
          <w:bCs/>
        </w:rPr>
        <w:t xml:space="preserve"> </w:t>
      </w:r>
      <w:sdt>
        <w:sdtPr>
          <w:rPr>
            <w:rFonts w:ascii="Calibri" w:hAnsi="Calibri"/>
            <w:bCs/>
          </w:rPr>
          <w:id w:val="-954484919"/>
          <w:citation/>
        </w:sdtPr>
        <w:sdtEndPr/>
        <w:sdtContent>
          <w:r w:rsidR="009C4F20" w:rsidRPr="002815F4">
            <w:rPr>
              <w:rFonts w:ascii="Calibri" w:hAnsi="Calibri"/>
              <w:bCs/>
            </w:rPr>
            <w:fldChar w:fldCharType="begin"/>
          </w:r>
          <w:r w:rsidR="009C4F20" w:rsidRPr="002815F4">
            <w:rPr>
              <w:rFonts w:ascii="Calibri" w:hAnsi="Calibri"/>
              <w:bCs/>
            </w:rPr>
            <w:instrText xml:space="preserve"> CITATION Ope16 \l 1033 </w:instrText>
          </w:r>
          <w:r w:rsidR="009C4F20" w:rsidRPr="002815F4">
            <w:rPr>
              <w:rFonts w:ascii="Calibri" w:hAnsi="Calibri"/>
              <w:bCs/>
            </w:rPr>
            <w:fldChar w:fldCharType="separate"/>
          </w:r>
          <w:r w:rsidR="003E626E" w:rsidRPr="002815F4">
            <w:rPr>
              <w:rFonts w:ascii="Calibri" w:hAnsi="Calibri"/>
              <w:noProof/>
            </w:rPr>
            <w:t>(Open Contracting Partnership, 2016)</w:t>
          </w:r>
          <w:r w:rsidR="009C4F20" w:rsidRPr="002815F4">
            <w:rPr>
              <w:rFonts w:ascii="Calibri" w:hAnsi="Calibri"/>
              <w:bCs/>
            </w:rPr>
            <w:fldChar w:fldCharType="end"/>
          </w:r>
        </w:sdtContent>
      </w:sdt>
      <w:r w:rsidR="00DB6A5F" w:rsidRPr="002815F4">
        <w:rPr>
          <w:rFonts w:ascii="Calibri" w:hAnsi="Calibri"/>
        </w:rPr>
        <w:t xml:space="preserve">. </w:t>
      </w:r>
    </w:p>
    <w:p w14:paraId="41FD370D" w14:textId="164F1764" w:rsidR="004C3665" w:rsidRPr="002815F4" w:rsidRDefault="002929E0" w:rsidP="00E956E1">
      <w:pPr>
        <w:spacing w:before="120"/>
        <w:rPr>
          <w:rFonts w:ascii="Calibri" w:hAnsi="Calibri"/>
          <w:bCs/>
        </w:rPr>
      </w:pPr>
      <w:r w:rsidRPr="002815F4">
        <w:rPr>
          <w:rFonts w:ascii="Calibri" w:hAnsi="Calibri"/>
          <w:i/>
          <w:u w:val="single"/>
        </w:rPr>
        <w:t>Senior lead</w:t>
      </w:r>
      <w:r w:rsidRPr="002815F4">
        <w:rPr>
          <w:rFonts w:ascii="Calibri" w:hAnsi="Calibri"/>
          <w:i/>
        </w:rPr>
        <w:t>:</w:t>
      </w:r>
      <w:r w:rsidRPr="002815F4">
        <w:rPr>
          <w:rFonts w:ascii="Calibri" w:hAnsi="Calibri"/>
        </w:rPr>
        <w:t xml:space="preserve"> </w:t>
      </w:r>
      <w:r w:rsidR="00ED2739" w:rsidRPr="002815F4">
        <w:rPr>
          <w:rFonts w:ascii="Calibri" w:hAnsi="Calibri"/>
        </w:rPr>
        <w:t>The government originally appointed Prof. Ismaïla Madior Fall, Minister Legal Councillor</w:t>
      </w:r>
      <w:r w:rsidR="004C3665" w:rsidRPr="002815F4">
        <w:rPr>
          <w:rFonts w:ascii="Calibri" w:hAnsi="Calibri"/>
        </w:rPr>
        <w:t xml:space="preserve"> to the President, as president of the </w:t>
      </w:r>
      <w:r w:rsidR="00ED2739" w:rsidRPr="002815F4">
        <w:rPr>
          <w:rFonts w:ascii="Calibri" w:hAnsi="Calibri"/>
        </w:rPr>
        <w:t xml:space="preserve">National </w:t>
      </w:r>
      <w:r w:rsidR="004C3665" w:rsidRPr="002815F4">
        <w:rPr>
          <w:rFonts w:ascii="Calibri" w:hAnsi="Calibri"/>
        </w:rPr>
        <w:t xml:space="preserve">ITIE </w:t>
      </w:r>
      <w:r w:rsidR="00ED2739" w:rsidRPr="002815F4">
        <w:rPr>
          <w:rFonts w:ascii="Calibri" w:hAnsi="Calibri"/>
        </w:rPr>
        <w:t xml:space="preserve">Committee </w:t>
      </w:r>
      <w:r w:rsidR="004C3665" w:rsidRPr="002815F4">
        <w:rPr>
          <w:rFonts w:ascii="Calibri" w:hAnsi="Calibri"/>
        </w:rPr>
        <w:t>(</w:t>
      </w:r>
      <w:r w:rsidR="00ED2739" w:rsidRPr="002815F4">
        <w:rPr>
          <w:rFonts w:ascii="Calibri" w:hAnsi="Calibri"/>
        </w:rPr>
        <w:t xml:space="preserve">MSG </w:t>
      </w:r>
      <w:r w:rsidR="004C3665" w:rsidRPr="002815F4">
        <w:rPr>
          <w:rFonts w:ascii="Calibri" w:hAnsi="Calibri"/>
        </w:rPr>
        <w:t>Chair</w:t>
      </w:r>
      <w:r w:rsidR="00ED2739" w:rsidRPr="002815F4">
        <w:rPr>
          <w:rFonts w:ascii="Calibri" w:hAnsi="Calibri"/>
        </w:rPr>
        <w:t>)</w:t>
      </w:r>
      <w:r w:rsidR="0014140A" w:rsidRPr="002815F4">
        <w:rPr>
          <w:rFonts w:ascii="Calibri" w:hAnsi="Calibri"/>
        </w:rPr>
        <w:t xml:space="preserve"> on </w:t>
      </w:r>
      <w:r w:rsidR="00330E25" w:rsidRPr="002815F4">
        <w:rPr>
          <w:rFonts w:ascii="Calibri" w:hAnsi="Calibri"/>
        </w:rPr>
        <w:t>20 June</w:t>
      </w:r>
      <w:r w:rsidR="0014140A" w:rsidRPr="002815F4">
        <w:rPr>
          <w:rFonts w:ascii="Calibri" w:hAnsi="Calibri"/>
        </w:rPr>
        <w:t xml:space="preserve"> 2013 through Decree </w:t>
      </w:r>
      <w:r w:rsidR="00330E25" w:rsidRPr="002815F4">
        <w:rPr>
          <w:rFonts w:ascii="Calibri" w:hAnsi="Calibri"/>
        </w:rPr>
        <w:t>2013-887</w:t>
      </w:r>
      <w:r w:rsidR="0014140A" w:rsidRPr="002815F4">
        <w:rPr>
          <w:rFonts w:ascii="Calibri" w:hAnsi="Calibri"/>
        </w:rPr>
        <w:t xml:space="preserve"> </w:t>
      </w:r>
      <w:sdt>
        <w:sdtPr>
          <w:rPr>
            <w:rFonts w:ascii="Calibri" w:hAnsi="Calibri"/>
          </w:rPr>
          <w:id w:val="678082153"/>
          <w:citation/>
        </w:sdtPr>
        <w:sdtEndPr/>
        <w:sdtContent>
          <w:r w:rsidR="0014140A" w:rsidRPr="002815F4">
            <w:rPr>
              <w:rFonts w:ascii="Calibri" w:hAnsi="Calibri"/>
            </w:rPr>
            <w:fldChar w:fldCharType="begin"/>
          </w:r>
          <w:r w:rsidR="00330E25" w:rsidRPr="002815F4">
            <w:rPr>
              <w:rFonts w:ascii="Calibri" w:hAnsi="Calibri"/>
            </w:rPr>
            <w:instrText xml:space="preserve">CITATION Pre13 \l 1033 </w:instrText>
          </w:r>
          <w:r w:rsidR="0014140A" w:rsidRPr="002815F4">
            <w:rPr>
              <w:rFonts w:ascii="Calibri" w:hAnsi="Calibri"/>
            </w:rPr>
            <w:fldChar w:fldCharType="separate"/>
          </w:r>
          <w:r w:rsidR="003E626E" w:rsidRPr="002815F4">
            <w:rPr>
              <w:rFonts w:ascii="Calibri" w:hAnsi="Calibri"/>
              <w:noProof/>
            </w:rPr>
            <w:t>(President de la Republique, 2013)</w:t>
          </w:r>
          <w:r w:rsidR="0014140A" w:rsidRPr="002815F4">
            <w:rPr>
              <w:rFonts w:ascii="Calibri" w:hAnsi="Calibri"/>
            </w:rPr>
            <w:fldChar w:fldCharType="end"/>
          </w:r>
        </w:sdtContent>
      </w:sdt>
      <w:r w:rsidR="00ED2739" w:rsidRPr="002815F4">
        <w:rPr>
          <w:rFonts w:ascii="Calibri" w:hAnsi="Calibri"/>
        </w:rPr>
        <w:t>, and reaffirmed his appointment in the nomination of MSG members in Presidential Order 2016-11672 of 9 August 2016</w:t>
      </w:r>
      <w:r w:rsidR="004C3665" w:rsidRPr="002815F4">
        <w:rPr>
          <w:rFonts w:ascii="Calibri" w:hAnsi="Calibri"/>
        </w:rPr>
        <w:t xml:space="preserve"> </w:t>
      </w:r>
      <w:sdt>
        <w:sdtPr>
          <w:rPr>
            <w:rFonts w:ascii="Calibri" w:hAnsi="Calibri"/>
          </w:rPr>
          <w:id w:val="-1470048967"/>
          <w:citation/>
        </w:sdtPr>
        <w:sdtEndPr/>
        <w:sdtContent>
          <w:r w:rsidR="00ED2739" w:rsidRPr="002815F4">
            <w:rPr>
              <w:rFonts w:ascii="Calibri" w:hAnsi="Calibri"/>
            </w:rPr>
            <w:fldChar w:fldCharType="begin"/>
          </w:r>
          <w:r w:rsidR="00ED2739" w:rsidRPr="002815F4">
            <w:rPr>
              <w:rFonts w:ascii="Calibri" w:hAnsi="Calibri"/>
            </w:rPr>
            <w:instrText xml:space="preserve"> CITATION Pre161 \l 1033 </w:instrText>
          </w:r>
          <w:r w:rsidR="00ED2739" w:rsidRPr="002815F4">
            <w:rPr>
              <w:rFonts w:ascii="Calibri" w:hAnsi="Calibri"/>
            </w:rPr>
            <w:fldChar w:fldCharType="separate"/>
          </w:r>
          <w:r w:rsidR="003E626E" w:rsidRPr="002815F4">
            <w:rPr>
              <w:rFonts w:ascii="Calibri" w:hAnsi="Calibri"/>
              <w:noProof/>
            </w:rPr>
            <w:t>(President de la Republique, 2016)</w:t>
          </w:r>
          <w:r w:rsidR="00ED2739" w:rsidRPr="002815F4">
            <w:rPr>
              <w:rFonts w:ascii="Calibri" w:hAnsi="Calibri"/>
            </w:rPr>
            <w:fldChar w:fldCharType="end"/>
          </w:r>
        </w:sdtContent>
      </w:sdt>
      <w:r w:rsidR="00ED2739" w:rsidRPr="002815F4">
        <w:rPr>
          <w:rFonts w:ascii="Calibri" w:hAnsi="Calibri"/>
        </w:rPr>
        <w:t xml:space="preserve">. </w:t>
      </w:r>
      <w:r w:rsidR="00330E25" w:rsidRPr="002815F4">
        <w:rPr>
          <w:rFonts w:ascii="Calibri" w:hAnsi="Calibri"/>
        </w:rPr>
        <w:t xml:space="preserve">Both </w:t>
      </w:r>
      <w:r w:rsidR="0014140A" w:rsidRPr="002815F4">
        <w:rPr>
          <w:rFonts w:ascii="Calibri" w:hAnsi="Calibri"/>
        </w:rPr>
        <w:t>Decree</w:t>
      </w:r>
      <w:r w:rsidR="00330E25" w:rsidRPr="002815F4">
        <w:rPr>
          <w:rFonts w:ascii="Calibri" w:hAnsi="Calibri"/>
        </w:rPr>
        <w:t>s</w:t>
      </w:r>
      <w:r w:rsidR="0014140A" w:rsidRPr="002815F4">
        <w:rPr>
          <w:rFonts w:ascii="Calibri" w:hAnsi="Calibri"/>
        </w:rPr>
        <w:t xml:space="preserve"> </w:t>
      </w:r>
      <w:r w:rsidR="00330E25" w:rsidRPr="002815F4">
        <w:rPr>
          <w:rFonts w:ascii="Calibri" w:hAnsi="Calibri"/>
        </w:rPr>
        <w:t>(</w:t>
      </w:r>
      <w:r w:rsidR="0014140A" w:rsidRPr="002815F4">
        <w:rPr>
          <w:rFonts w:ascii="Calibri" w:hAnsi="Calibri"/>
        </w:rPr>
        <w:t>2013-881</w:t>
      </w:r>
      <w:r w:rsidR="00330E25" w:rsidRPr="002815F4">
        <w:rPr>
          <w:rFonts w:ascii="Calibri" w:hAnsi="Calibri"/>
        </w:rPr>
        <w:t xml:space="preserve"> and -887)</w:t>
      </w:r>
      <w:r w:rsidR="0014140A" w:rsidRPr="002815F4">
        <w:rPr>
          <w:rFonts w:ascii="Calibri" w:hAnsi="Calibri"/>
        </w:rPr>
        <w:t xml:space="preserve"> </w:t>
      </w:r>
      <w:r w:rsidR="00330E25" w:rsidRPr="002815F4">
        <w:rPr>
          <w:rFonts w:ascii="Calibri" w:hAnsi="Calibri"/>
        </w:rPr>
        <w:t>require</w:t>
      </w:r>
      <w:r w:rsidR="0014140A" w:rsidRPr="002815F4">
        <w:rPr>
          <w:rFonts w:ascii="Calibri" w:hAnsi="Calibri"/>
        </w:rPr>
        <w:t xml:space="preserve"> the Ministries of Economy and Finance</w:t>
      </w:r>
      <w:r w:rsidR="00A1228F">
        <w:rPr>
          <w:rFonts w:ascii="Calibri" w:hAnsi="Calibri"/>
        </w:rPr>
        <w:t xml:space="preserve"> and</w:t>
      </w:r>
      <w:r w:rsidR="0014140A" w:rsidRPr="002815F4">
        <w:rPr>
          <w:rFonts w:ascii="Calibri" w:hAnsi="Calibri"/>
        </w:rPr>
        <w:t xml:space="preserve"> of Energy and Mines </w:t>
      </w:r>
      <w:r w:rsidR="00A1228F">
        <w:rPr>
          <w:rFonts w:ascii="Calibri" w:hAnsi="Calibri"/>
        </w:rPr>
        <w:t xml:space="preserve">as well as the </w:t>
      </w:r>
      <w:r w:rsidR="0014140A" w:rsidRPr="002815F4">
        <w:rPr>
          <w:rFonts w:ascii="Calibri" w:hAnsi="Calibri"/>
        </w:rPr>
        <w:t xml:space="preserve">Minister Secretary General to the Presidency to implement the decree </w:t>
      </w:r>
      <w:sdt>
        <w:sdtPr>
          <w:rPr>
            <w:rFonts w:ascii="Calibri" w:hAnsi="Calibri"/>
          </w:rPr>
          <w:id w:val="1081641392"/>
          <w:citation/>
        </w:sdtPr>
        <w:sdtEndPr/>
        <w:sdtContent>
          <w:r w:rsidR="0014140A" w:rsidRPr="002815F4">
            <w:rPr>
              <w:rFonts w:ascii="Calibri" w:hAnsi="Calibri"/>
            </w:rPr>
            <w:fldChar w:fldCharType="begin"/>
          </w:r>
          <w:r w:rsidR="0014140A" w:rsidRPr="002815F4">
            <w:rPr>
              <w:rFonts w:ascii="Calibri" w:hAnsi="Calibri"/>
            </w:rPr>
            <w:instrText xml:space="preserve">CITATION Min13 \l 1033 </w:instrText>
          </w:r>
          <w:r w:rsidR="0014140A" w:rsidRPr="002815F4">
            <w:rPr>
              <w:rFonts w:ascii="Calibri" w:hAnsi="Calibri"/>
            </w:rPr>
            <w:fldChar w:fldCharType="separate"/>
          </w:r>
          <w:r w:rsidR="003E626E" w:rsidRPr="002815F4">
            <w:rPr>
              <w:rFonts w:ascii="Calibri" w:hAnsi="Calibri"/>
              <w:noProof/>
            </w:rPr>
            <w:t>(Premier Ministre, 2013)</w:t>
          </w:r>
          <w:r w:rsidR="0014140A" w:rsidRPr="002815F4">
            <w:rPr>
              <w:rFonts w:ascii="Calibri" w:hAnsi="Calibri"/>
            </w:rPr>
            <w:fldChar w:fldCharType="end"/>
          </w:r>
        </w:sdtContent>
      </w:sdt>
      <w:r w:rsidR="0014140A" w:rsidRPr="002815F4">
        <w:rPr>
          <w:rFonts w:ascii="Calibri" w:hAnsi="Calibri"/>
        </w:rPr>
        <w:t xml:space="preserve">. There is extensive evidence of Prof. Fall having played a proactive role in leading EITI implementation in Senegal </w:t>
      </w:r>
      <w:sdt>
        <w:sdtPr>
          <w:rPr>
            <w:rFonts w:ascii="Calibri" w:hAnsi="Calibri"/>
          </w:rPr>
          <w:id w:val="471789500"/>
          <w:citation/>
        </w:sdtPr>
        <w:sdtEndPr/>
        <w:sdtContent>
          <w:r w:rsidR="0014140A" w:rsidRPr="002815F4">
            <w:rPr>
              <w:rFonts w:ascii="Calibri" w:hAnsi="Calibri"/>
            </w:rPr>
            <w:fldChar w:fldCharType="begin"/>
          </w:r>
          <w:r w:rsidR="0014140A" w:rsidRPr="002815F4">
            <w:rPr>
              <w:rFonts w:ascii="Calibri" w:hAnsi="Calibri"/>
            </w:rPr>
            <w:instrText xml:space="preserve"> CITATION ITI1630 \l 1033 </w:instrText>
          </w:r>
          <w:r w:rsidR="0014140A" w:rsidRPr="002815F4">
            <w:rPr>
              <w:rFonts w:ascii="Calibri" w:hAnsi="Calibri"/>
            </w:rPr>
            <w:fldChar w:fldCharType="separate"/>
          </w:r>
          <w:r w:rsidR="003E626E" w:rsidRPr="002815F4">
            <w:rPr>
              <w:rFonts w:ascii="Calibri" w:hAnsi="Calibri"/>
              <w:noProof/>
            </w:rPr>
            <w:t>(ITIE Senegal, 2016)</w:t>
          </w:r>
          <w:r w:rsidR="0014140A" w:rsidRPr="002815F4">
            <w:rPr>
              <w:rFonts w:ascii="Calibri" w:hAnsi="Calibri"/>
            </w:rPr>
            <w:fldChar w:fldCharType="end"/>
          </w:r>
        </w:sdtContent>
      </w:sdt>
      <w:r w:rsidR="0014140A" w:rsidRPr="002815F4">
        <w:rPr>
          <w:rFonts w:ascii="Calibri" w:hAnsi="Calibri"/>
        </w:rPr>
        <w:t xml:space="preserve">. </w:t>
      </w:r>
      <w:r w:rsidR="00A632A2">
        <w:rPr>
          <w:rFonts w:ascii="Calibri" w:hAnsi="Calibri"/>
        </w:rPr>
        <w:t>Prof. Fall was appointed Minister of Justice in September 2017</w:t>
      </w:r>
      <w:r w:rsidR="00111631">
        <w:rPr>
          <w:rFonts w:ascii="Calibri" w:hAnsi="Calibri"/>
        </w:rPr>
        <w:t xml:space="preserve"> and replaced by former Minister of Foreign Affairs Mankeur Ndiaye </w:t>
      </w:r>
      <w:r w:rsidR="004734C6">
        <w:rPr>
          <w:rFonts w:ascii="Calibri" w:hAnsi="Calibri"/>
        </w:rPr>
        <w:t>by Decree</w:t>
      </w:r>
      <w:r w:rsidR="00111631">
        <w:rPr>
          <w:rFonts w:ascii="Calibri" w:hAnsi="Calibri"/>
        </w:rPr>
        <w:t xml:space="preserve"> on 6 October 2017 </w:t>
      </w:r>
      <w:sdt>
        <w:sdtPr>
          <w:rPr>
            <w:rFonts w:ascii="Calibri" w:hAnsi="Calibri"/>
          </w:rPr>
          <w:id w:val="-885489039"/>
          <w:citation/>
        </w:sdtPr>
        <w:sdtEndPr/>
        <w:sdtContent>
          <w:r w:rsidR="00111631">
            <w:rPr>
              <w:rFonts w:ascii="Calibri" w:hAnsi="Calibri"/>
            </w:rPr>
            <w:fldChar w:fldCharType="begin"/>
          </w:r>
          <w:r w:rsidR="00111631">
            <w:rPr>
              <w:rFonts w:ascii="Calibri" w:hAnsi="Calibri"/>
              <w:lang w:val="en-US"/>
            </w:rPr>
            <w:instrText xml:space="preserve"> CITATION Rép171 \l 1033 </w:instrText>
          </w:r>
          <w:r w:rsidR="00111631">
            <w:rPr>
              <w:rFonts w:ascii="Calibri" w:hAnsi="Calibri"/>
            </w:rPr>
            <w:fldChar w:fldCharType="separate"/>
          </w:r>
          <w:r w:rsidR="00111631" w:rsidRPr="00E2507C">
            <w:rPr>
              <w:rFonts w:ascii="Calibri" w:hAnsi="Calibri"/>
              <w:noProof/>
              <w:lang w:val="en-US"/>
            </w:rPr>
            <w:t>(République du Sénégal, 2017)</w:t>
          </w:r>
          <w:r w:rsidR="00111631">
            <w:rPr>
              <w:rFonts w:ascii="Calibri" w:hAnsi="Calibri"/>
            </w:rPr>
            <w:fldChar w:fldCharType="end"/>
          </w:r>
        </w:sdtContent>
      </w:sdt>
      <w:r w:rsidR="00111631">
        <w:rPr>
          <w:rFonts w:ascii="Calibri" w:hAnsi="Calibri"/>
        </w:rPr>
        <w:t xml:space="preserve">. </w:t>
      </w:r>
    </w:p>
    <w:p w14:paraId="684FBEA5" w14:textId="083A9CC1" w:rsidR="00830ED0" w:rsidRPr="002815F4" w:rsidRDefault="002929E0" w:rsidP="00E956E1">
      <w:pPr>
        <w:spacing w:before="120"/>
        <w:rPr>
          <w:rFonts w:ascii="Calibri" w:hAnsi="Calibri"/>
          <w:bCs/>
        </w:rPr>
      </w:pPr>
      <w:r w:rsidRPr="002815F4">
        <w:rPr>
          <w:rFonts w:ascii="Calibri" w:hAnsi="Calibri"/>
          <w:i/>
          <w:u w:val="single"/>
        </w:rPr>
        <w:t>Active engagement</w:t>
      </w:r>
      <w:r w:rsidRPr="002815F4">
        <w:rPr>
          <w:rFonts w:ascii="Calibri" w:hAnsi="Calibri"/>
          <w:i/>
        </w:rPr>
        <w:t>:</w:t>
      </w:r>
      <w:r w:rsidRPr="002815F4">
        <w:rPr>
          <w:rFonts w:ascii="Calibri" w:hAnsi="Calibri"/>
        </w:rPr>
        <w:t xml:space="preserve"> </w:t>
      </w:r>
      <w:r w:rsidR="004C3665" w:rsidRPr="002815F4">
        <w:rPr>
          <w:rFonts w:ascii="Calibri" w:hAnsi="Calibri"/>
          <w:bCs/>
        </w:rPr>
        <w:t xml:space="preserve">Senior government officials are </w:t>
      </w:r>
      <w:r w:rsidR="0014140A" w:rsidRPr="002815F4">
        <w:rPr>
          <w:rFonts w:ascii="Calibri" w:hAnsi="Calibri"/>
          <w:bCs/>
        </w:rPr>
        <w:t>appointed to the MSG by Decree</w:t>
      </w:r>
      <w:r w:rsidR="003E1B2D">
        <w:rPr>
          <w:rFonts w:ascii="Calibri" w:hAnsi="Calibri"/>
          <w:bCs/>
        </w:rPr>
        <w:t xml:space="preserve">, which lists </w:t>
      </w:r>
      <w:r w:rsidR="0014140A" w:rsidRPr="002815F4">
        <w:rPr>
          <w:rFonts w:ascii="Calibri" w:hAnsi="Calibri"/>
          <w:bCs/>
        </w:rPr>
        <w:lastRenderedPageBreak/>
        <w:t xml:space="preserve">representatives from the Office of the Prime Minister, the Ministries of Economy and Finance, of Good Governance, of Energy and Mines, of Environment, of Interior and of Infrastructure </w:t>
      </w:r>
      <w:sdt>
        <w:sdtPr>
          <w:rPr>
            <w:rFonts w:ascii="Calibri" w:hAnsi="Calibri"/>
            <w:bCs/>
          </w:rPr>
          <w:id w:val="1244691003"/>
          <w:citation/>
        </w:sdtPr>
        <w:sdtEndPr/>
        <w:sdtContent>
          <w:r w:rsidR="0014140A" w:rsidRPr="002815F4">
            <w:rPr>
              <w:rFonts w:ascii="Calibri" w:hAnsi="Calibri"/>
              <w:bCs/>
            </w:rPr>
            <w:fldChar w:fldCharType="begin"/>
          </w:r>
          <w:r w:rsidR="0014140A" w:rsidRPr="002815F4">
            <w:rPr>
              <w:rFonts w:ascii="Calibri" w:hAnsi="Calibri"/>
              <w:bCs/>
            </w:rPr>
            <w:instrText xml:space="preserve"> CITATION Min13 \l 1033 </w:instrText>
          </w:r>
          <w:r w:rsidR="0014140A" w:rsidRPr="002815F4">
            <w:rPr>
              <w:rFonts w:ascii="Calibri" w:hAnsi="Calibri"/>
              <w:bCs/>
            </w:rPr>
            <w:fldChar w:fldCharType="separate"/>
          </w:r>
          <w:r w:rsidR="003E626E" w:rsidRPr="002815F4">
            <w:rPr>
              <w:rFonts w:ascii="Calibri" w:hAnsi="Calibri"/>
              <w:noProof/>
            </w:rPr>
            <w:t>(Premier Ministre, 2013)</w:t>
          </w:r>
          <w:r w:rsidR="0014140A" w:rsidRPr="002815F4">
            <w:rPr>
              <w:rFonts w:ascii="Calibri" w:hAnsi="Calibri"/>
              <w:bCs/>
            </w:rPr>
            <w:fldChar w:fldCharType="end"/>
          </w:r>
        </w:sdtContent>
      </w:sdt>
      <w:sdt>
        <w:sdtPr>
          <w:rPr>
            <w:rFonts w:ascii="Calibri" w:hAnsi="Calibri"/>
            <w:bCs/>
          </w:rPr>
          <w:id w:val="1804191074"/>
          <w:citation/>
        </w:sdtPr>
        <w:sdtEndPr/>
        <w:sdtContent>
          <w:r w:rsidR="0014140A" w:rsidRPr="002815F4">
            <w:rPr>
              <w:rFonts w:ascii="Calibri" w:hAnsi="Calibri"/>
              <w:bCs/>
            </w:rPr>
            <w:fldChar w:fldCharType="begin"/>
          </w:r>
          <w:r w:rsidR="0014140A" w:rsidRPr="002815F4">
            <w:rPr>
              <w:rFonts w:ascii="Calibri" w:hAnsi="Calibri"/>
              <w:bCs/>
            </w:rPr>
            <w:instrText xml:space="preserve"> CITATION ITI1417 \l 1033 </w:instrText>
          </w:r>
          <w:r w:rsidR="0014140A" w:rsidRPr="002815F4">
            <w:rPr>
              <w:rFonts w:ascii="Calibri" w:hAnsi="Calibri"/>
              <w:bCs/>
            </w:rPr>
            <w:fldChar w:fldCharType="separate"/>
          </w:r>
          <w:r w:rsidR="003E626E" w:rsidRPr="002815F4">
            <w:rPr>
              <w:rFonts w:ascii="Calibri" w:hAnsi="Calibri"/>
              <w:bCs/>
              <w:noProof/>
            </w:rPr>
            <w:t xml:space="preserve"> </w:t>
          </w:r>
          <w:r w:rsidR="003E626E" w:rsidRPr="002815F4">
            <w:rPr>
              <w:rFonts w:ascii="Calibri" w:hAnsi="Calibri"/>
              <w:noProof/>
            </w:rPr>
            <w:t>(ITIE Senegal, 2014)</w:t>
          </w:r>
          <w:r w:rsidR="0014140A" w:rsidRPr="002815F4">
            <w:rPr>
              <w:rFonts w:ascii="Calibri" w:hAnsi="Calibri"/>
              <w:bCs/>
            </w:rPr>
            <w:fldChar w:fldCharType="end"/>
          </w:r>
        </w:sdtContent>
      </w:sdt>
      <w:r w:rsidR="0014140A" w:rsidRPr="002815F4">
        <w:rPr>
          <w:rFonts w:ascii="Calibri" w:hAnsi="Calibri"/>
          <w:bCs/>
        </w:rPr>
        <w:t xml:space="preserve">. </w:t>
      </w:r>
      <w:r w:rsidR="002E2909" w:rsidRPr="002815F4">
        <w:rPr>
          <w:rFonts w:ascii="Calibri" w:hAnsi="Calibri"/>
          <w:bCs/>
        </w:rPr>
        <w:t>In practice, the EITI Senegal website</w:t>
      </w:r>
      <w:r w:rsidR="002E2909" w:rsidRPr="002815F4">
        <w:rPr>
          <w:rStyle w:val="FootnoteReference"/>
          <w:rFonts w:ascii="Calibri" w:hAnsi="Calibri"/>
          <w:bCs/>
        </w:rPr>
        <w:footnoteReference w:id="11"/>
      </w:r>
      <w:r w:rsidR="002E2909" w:rsidRPr="002815F4">
        <w:rPr>
          <w:rFonts w:ascii="Calibri" w:hAnsi="Calibri"/>
          <w:bCs/>
        </w:rPr>
        <w:t xml:space="preserve"> lists representatives from the Offices of the Presidency and Prime Minister, Ministries of Energy and Mines, Departments of Environment, of Tax and Domains, of Customs, of Treasury and Public Accounts. </w:t>
      </w:r>
      <w:r w:rsidR="004C3665" w:rsidRPr="002815F4">
        <w:rPr>
          <w:rFonts w:ascii="Calibri" w:hAnsi="Calibri"/>
          <w:bCs/>
        </w:rPr>
        <w:t xml:space="preserve">Analysis of MSG meeting attendance </w:t>
      </w:r>
      <w:r w:rsidR="00A852D9" w:rsidRPr="002815F4">
        <w:rPr>
          <w:rFonts w:ascii="Calibri" w:hAnsi="Calibri"/>
          <w:bCs/>
        </w:rPr>
        <w:t xml:space="preserve">(see Annex </w:t>
      </w:r>
      <w:r w:rsidR="007C2295" w:rsidRPr="002815F4">
        <w:rPr>
          <w:rFonts w:ascii="Calibri" w:hAnsi="Calibri"/>
          <w:bCs/>
        </w:rPr>
        <w:t>B</w:t>
      </w:r>
      <w:r w:rsidR="00A852D9" w:rsidRPr="002815F4">
        <w:rPr>
          <w:rFonts w:ascii="Calibri" w:hAnsi="Calibri"/>
          <w:bCs/>
        </w:rPr>
        <w:t xml:space="preserve">) </w:t>
      </w:r>
      <w:r w:rsidR="004C3665" w:rsidRPr="002815F4">
        <w:rPr>
          <w:rFonts w:ascii="Calibri" w:hAnsi="Calibri"/>
          <w:bCs/>
        </w:rPr>
        <w:t>reveals that government representatives are actively engaged in the EITI process</w:t>
      </w:r>
      <w:r w:rsidR="0014140A" w:rsidRPr="002815F4">
        <w:rPr>
          <w:rFonts w:ascii="Calibri" w:hAnsi="Calibri"/>
          <w:bCs/>
        </w:rPr>
        <w:t xml:space="preserve">, particularly those </w:t>
      </w:r>
      <w:r w:rsidR="004C3665" w:rsidRPr="002815F4">
        <w:rPr>
          <w:rFonts w:ascii="Calibri" w:hAnsi="Calibri"/>
          <w:bCs/>
        </w:rPr>
        <w:t>from the Office of the Prime Minister and Ministry of Energy and Mines.</w:t>
      </w:r>
      <w:r w:rsidR="00A852D9" w:rsidRPr="002815F4">
        <w:rPr>
          <w:rFonts w:ascii="Calibri" w:hAnsi="Calibri"/>
          <w:bCs/>
        </w:rPr>
        <w:t xml:space="preserve"> </w:t>
      </w:r>
      <w:r w:rsidR="00330E25" w:rsidRPr="002815F4">
        <w:rPr>
          <w:rFonts w:ascii="Calibri" w:hAnsi="Calibri"/>
          <w:bCs/>
        </w:rPr>
        <w:t xml:space="preserve">The government has passed legal amendments to its Mining Code in November 2016, introducing mandatory EITI reporting requirements for mining companies, and plans to do the same for oil and gas </w:t>
      </w:r>
      <w:sdt>
        <w:sdtPr>
          <w:rPr>
            <w:rFonts w:ascii="Calibri" w:hAnsi="Calibri"/>
            <w:bCs/>
          </w:rPr>
          <w:id w:val="403029519"/>
          <w:citation/>
        </w:sdtPr>
        <w:sdtEndPr/>
        <w:sdtContent>
          <w:r w:rsidR="00330E25" w:rsidRPr="002815F4">
            <w:rPr>
              <w:rFonts w:ascii="Calibri" w:hAnsi="Calibri"/>
              <w:bCs/>
            </w:rPr>
            <w:fldChar w:fldCharType="begin"/>
          </w:r>
          <w:r w:rsidR="00330E25" w:rsidRPr="002815F4">
            <w:rPr>
              <w:rFonts w:ascii="Calibri" w:hAnsi="Calibri"/>
              <w:bCs/>
            </w:rPr>
            <w:instrText xml:space="preserve"> CITATION ITI1628 \l 1033 </w:instrText>
          </w:r>
          <w:r w:rsidR="00330E25" w:rsidRPr="002815F4">
            <w:rPr>
              <w:rFonts w:ascii="Calibri" w:hAnsi="Calibri"/>
              <w:bCs/>
            </w:rPr>
            <w:fldChar w:fldCharType="separate"/>
          </w:r>
          <w:r w:rsidR="003E626E" w:rsidRPr="002815F4">
            <w:rPr>
              <w:rFonts w:ascii="Calibri" w:hAnsi="Calibri"/>
              <w:noProof/>
            </w:rPr>
            <w:t>(ITIE Senegal, 2016)</w:t>
          </w:r>
          <w:r w:rsidR="00330E25" w:rsidRPr="002815F4">
            <w:rPr>
              <w:rFonts w:ascii="Calibri" w:hAnsi="Calibri"/>
              <w:bCs/>
            </w:rPr>
            <w:fldChar w:fldCharType="end"/>
          </w:r>
        </w:sdtContent>
      </w:sdt>
      <w:r w:rsidR="00330E25" w:rsidRPr="002815F4">
        <w:rPr>
          <w:rFonts w:ascii="Calibri" w:hAnsi="Calibri"/>
          <w:bCs/>
        </w:rPr>
        <w:t xml:space="preserve">. </w:t>
      </w:r>
      <w:r w:rsidR="00330E25" w:rsidRPr="002815F4">
        <w:rPr>
          <w:rFonts w:ascii="Calibri" w:hAnsi="Calibri"/>
        </w:rPr>
        <w:t xml:space="preserve">Senior government officials have actively followed up with both companies and government entities to ensure full participation in EITI reporting, including through regular press campaigns </w:t>
      </w:r>
      <w:sdt>
        <w:sdtPr>
          <w:rPr>
            <w:rFonts w:ascii="Calibri" w:hAnsi="Calibri"/>
          </w:rPr>
          <w:id w:val="1949193119"/>
          <w:citation/>
        </w:sdtPr>
        <w:sdtEndPr/>
        <w:sdtContent>
          <w:r w:rsidR="00330E25" w:rsidRPr="002815F4">
            <w:rPr>
              <w:rFonts w:ascii="Calibri" w:hAnsi="Calibri"/>
            </w:rPr>
            <w:fldChar w:fldCharType="begin"/>
          </w:r>
          <w:r w:rsidR="00330E25" w:rsidRPr="002815F4">
            <w:rPr>
              <w:rFonts w:ascii="Calibri" w:hAnsi="Calibri"/>
            </w:rPr>
            <w:instrText xml:space="preserve"> CITATION ITI1529 \l 1033 </w:instrText>
          </w:r>
          <w:r w:rsidR="00330E25" w:rsidRPr="002815F4">
            <w:rPr>
              <w:rFonts w:ascii="Calibri" w:hAnsi="Calibri"/>
            </w:rPr>
            <w:fldChar w:fldCharType="separate"/>
          </w:r>
          <w:r w:rsidR="003E626E" w:rsidRPr="002815F4">
            <w:rPr>
              <w:rFonts w:ascii="Calibri" w:hAnsi="Calibri"/>
              <w:noProof/>
            </w:rPr>
            <w:t>(ITIE Senegal, 2015)</w:t>
          </w:r>
          <w:r w:rsidR="00330E25" w:rsidRPr="002815F4">
            <w:rPr>
              <w:rFonts w:ascii="Calibri" w:hAnsi="Calibri"/>
            </w:rPr>
            <w:fldChar w:fldCharType="end"/>
          </w:r>
        </w:sdtContent>
      </w:sdt>
      <w:r w:rsidR="00330E25" w:rsidRPr="002815F4">
        <w:rPr>
          <w:rFonts w:ascii="Calibri" w:hAnsi="Calibri"/>
        </w:rPr>
        <w:t xml:space="preserve"> </w:t>
      </w:r>
      <w:sdt>
        <w:sdtPr>
          <w:rPr>
            <w:rFonts w:ascii="Calibri" w:hAnsi="Calibri"/>
          </w:rPr>
          <w:id w:val="-950629475"/>
          <w:citation/>
        </w:sdtPr>
        <w:sdtEndPr/>
        <w:sdtContent>
          <w:r w:rsidR="00330E25" w:rsidRPr="002815F4">
            <w:rPr>
              <w:rFonts w:ascii="Calibri" w:hAnsi="Calibri"/>
            </w:rPr>
            <w:fldChar w:fldCharType="begin"/>
          </w:r>
          <w:r w:rsidR="00330E25" w:rsidRPr="002815F4">
            <w:rPr>
              <w:rFonts w:ascii="Calibri" w:hAnsi="Calibri"/>
            </w:rPr>
            <w:instrText xml:space="preserve"> CITATION ITI1642 \l 1033 </w:instrText>
          </w:r>
          <w:r w:rsidR="00330E25" w:rsidRPr="002815F4">
            <w:rPr>
              <w:rFonts w:ascii="Calibri" w:hAnsi="Calibri"/>
            </w:rPr>
            <w:fldChar w:fldCharType="separate"/>
          </w:r>
          <w:r w:rsidR="003E626E" w:rsidRPr="002815F4">
            <w:rPr>
              <w:rFonts w:ascii="Calibri" w:hAnsi="Calibri"/>
              <w:noProof/>
            </w:rPr>
            <w:t>(ITIE Senegal, 2016)</w:t>
          </w:r>
          <w:r w:rsidR="00330E25" w:rsidRPr="002815F4">
            <w:rPr>
              <w:rFonts w:ascii="Calibri" w:hAnsi="Calibri"/>
            </w:rPr>
            <w:fldChar w:fldCharType="end"/>
          </w:r>
        </w:sdtContent>
      </w:sdt>
      <w:r w:rsidR="00330E25" w:rsidRPr="002815F4">
        <w:rPr>
          <w:rFonts w:ascii="Calibri" w:hAnsi="Calibri"/>
        </w:rPr>
        <w:t xml:space="preserve">. </w:t>
      </w:r>
      <w:r w:rsidR="0054720C" w:rsidRPr="002815F4">
        <w:rPr>
          <w:rFonts w:ascii="Calibri" w:hAnsi="Calibri"/>
        </w:rPr>
        <w:t xml:space="preserve">There is also extensive evidence of the government’s proactive follow-up on EITI recommendations </w:t>
      </w:r>
      <w:r w:rsidR="00665062" w:rsidRPr="002815F4">
        <w:rPr>
          <w:rFonts w:ascii="Calibri" w:hAnsi="Calibri"/>
        </w:rPr>
        <w:t>to drive concrete reforms, publishing extractives contracts, establishing a high-level oil and gas reform committee (COS-PETROGAZ) and subnational transfers of extractives revenues (</w:t>
      </w:r>
      <w:r w:rsidR="00665062" w:rsidRPr="002815F4">
        <w:rPr>
          <w:rFonts w:ascii="Calibri" w:hAnsi="Calibri"/>
          <w:i/>
        </w:rPr>
        <w:t>see Requirement 7.3</w:t>
      </w:r>
      <w:r w:rsidR="00665062" w:rsidRPr="002815F4">
        <w:rPr>
          <w:rFonts w:ascii="Calibri" w:hAnsi="Calibri"/>
        </w:rPr>
        <w:t xml:space="preserve">) </w:t>
      </w:r>
      <w:sdt>
        <w:sdtPr>
          <w:rPr>
            <w:rFonts w:ascii="Calibri" w:hAnsi="Calibri"/>
          </w:rPr>
          <w:id w:val="-1692059715"/>
          <w:citation/>
        </w:sdtPr>
        <w:sdtEndPr/>
        <w:sdtContent>
          <w:r w:rsidR="00665062" w:rsidRPr="002815F4">
            <w:rPr>
              <w:rFonts w:ascii="Calibri" w:hAnsi="Calibri"/>
            </w:rPr>
            <w:fldChar w:fldCharType="begin"/>
          </w:r>
          <w:r w:rsidR="00665062" w:rsidRPr="002815F4">
            <w:rPr>
              <w:rFonts w:ascii="Calibri" w:hAnsi="Calibri"/>
            </w:rPr>
            <w:instrText xml:space="preserve"> CITATION ITI1521 \l 1033 </w:instrText>
          </w:r>
          <w:r w:rsidR="00665062" w:rsidRPr="002815F4">
            <w:rPr>
              <w:rFonts w:ascii="Calibri" w:hAnsi="Calibri"/>
            </w:rPr>
            <w:fldChar w:fldCharType="separate"/>
          </w:r>
          <w:r w:rsidR="003E626E" w:rsidRPr="002815F4">
            <w:rPr>
              <w:rFonts w:ascii="Calibri" w:hAnsi="Calibri"/>
              <w:noProof/>
            </w:rPr>
            <w:t>(ITIE Senegal, 2015)</w:t>
          </w:r>
          <w:r w:rsidR="00665062" w:rsidRPr="002815F4">
            <w:rPr>
              <w:rFonts w:ascii="Calibri" w:hAnsi="Calibri"/>
            </w:rPr>
            <w:fldChar w:fldCharType="end"/>
          </w:r>
        </w:sdtContent>
      </w:sdt>
      <w:r w:rsidR="00665062" w:rsidRPr="002815F4">
        <w:rPr>
          <w:rFonts w:ascii="Calibri" w:hAnsi="Calibri"/>
        </w:rPr>
        <w:t xml:space="preserve"> </w:t>
      </w:r>
      <w:sdt>
        <w:sdtPr>
          <w:rPr>
            <w:rFonts w:ascii="Calibri" w:hAnsi="Calibri"/>
          </w:rPr>
          <w:id w:val="-1832508866"/>
          <w:citation/>
        </w:sdtPr>
        <w:sdtEndPr/>
        <w:sdtContent>
          <w:r w:rsidR="00665062" w:rsidRPr="002815F4">
            <w:rPr>
              <w:rFonts w:ascii="Calibri" w:hAnsi="Calibri"/>
            </w:rPr>
            <w:fldChar w:fldCharType="begin"/>
          </w:r>
          <w:r w:rsidR="00665062" w:rsidRPr="002815F4">
            <w:rPr>
              <w:rFonts w:ascii="Calibri" w:hAnsi="Calibri"/>
            </w:rPr>
            <w:instrText xml:space="preserve"> CITATION ITI1629 \l 1033 </w:instrText>
          </w:r>
          <w:r w:rsidR="00665062" w:rsidRPr="002815F4">
            <w:rPr>
              <w:rFonts w:ascii="Calibri" w:hAnsi="Calibri"/>
            </w:rPr>
            <w:fldChar w:fldCharType="separate"/>
          </w:r>
          <w:r w:rsidR="003E626E" w:rsidRPr="002815F4">
            <w:rPr>
              <w:rFonts w:ascii="Calibri" w:hAnsi="Calibri"/>
              <w:noProof/>
            </w:rPr>
            <w:t>(ITIE Senegal, 2016)</w:t>
          </w:r>
          <w:r w:rsidR="00665062" w:rsidRPr="002815F4">
            <w:rPr>
              <w:rFonts w:ascii="Calibri" w:hAnsi="Calibri"/>
            </w:rPr>
            <w:fldChar w:fldCharType="end"/>
          </w:r>
        </w:sdtContent>
      </w:sdt>
      <w:r w:rsidR="00665062" w:rsidRPr="002815F4">
        <w:rPr>
          <w:rFonts w:ascii="Calibri" w:hAnsi="Calibri"/>
        </w:rPr>
        <w:t xml:space="preserve"> </w:t>
      </w:r>
      <w:sdt>
        <w:sdtPr>
          <w:rPr>
            <w:rFonts w:ascii="Calibri" w:hAnsi="Calibri"/>
            <w:bCs/>
          </w:rPr>
          <w:id w:val="-281656156"/>
          <w:citation/>
        </w:sdtPr>
        <w:sdtEndPr/>
        <w:sdtContent>
          <w:r w:rsidR="00665062" w:rsidRPr="002815F4">
            <w:rPr>
              <w:rFonts w:ascii="Calibri" w:hAnsi="Calibri"/>
              <w:bCs/>
            </w:rPr>
            <w:fldChar w:fldCharType="begin"/>
          </w:r>
          <w:r w:rsidR="00665062" w:rsidRPr="002815F4">
            <w:rPr>
              <w:rFonts w:ascii="Calibri" w:hAnsi="Calibri"/>
              <w:bCs/>
            </w:rPr>
            <w:instrText xml:space="preserve"> CITATION ITI1626 \l 1033 </w:instrText>
          </w:r>
          <w:r w:rsidR="00665062" w:rsidRPr="002815F4">
            <w:rPr>
              <w:rFonts w:ascii="Calibri" w:hAnsi="Calibri"/>
              <w:bCs/>
            </w:rPr>
            <w:fldChar w:fldCharType="separate"/>
          </w:r>
          <w:r w:rsidR="003E626E" w:rsidRPr="002815F4">
            <w:rPr>
              <w:rFonts w:ascii="Calibri" w:hAnsi="Calibri"/>
              <w:noProof/>
            </w:rPr>
            <w:t>(ITIE Senegal, 2016)</w:t>
          </w:r>
          <w:r w:rsidR="00665062" w:rsidRPr="002815F4">
            <w:rPr>
              <w:rFonts w:ascii="Calibri" w:hAnsi="Calibri"/>
              <w:bCs/>
            </w:rPr>
            <w:fldChar w:fldCharType="end"/>
          </w:r>
        </w:sdtContent>
      </w:sdt>
      <w:r w:rsidR="00665062" w:rsidRPr="002815F4">
        <w:rPr>
          <w:rFonts w:ascii="Calibri" w:hAnsi="Calibri"/>
          <w:bCs/>
        </w:rPr>
        <w:t xml:space="preserve">. </w:t>
      </w:r>
      <w:r w:rsidR="00330E25" w:rsidRPr="002815F4">
        <w:rPr>
          <w:rFonts w:ascii="Calibri" w:hAnsi="Calibri"/>
        </w:rPr>
        <w:t>The government has provided the largest share of funding for EITI implementation since 2015 (</w:t>
      </w:r>
      <w:r w:rsidR="00330E25" w:rsidRPr="002815F4">
        <w:rPr>
          <w:rFonts w:ascii="Calibri" w:hAnsi="Calibri"/>
          <w:i/>
        </w:rPr>
        <w:t>see Requirement 1.5</w:t>
      </w:r>
      <w:r w:rsidR="00330E25" w:rsidRPr="002815F4">
        <w:rPr>
          <w:rFonts w:ascii="Calibri" w:hAnsi="Calibri"/>
        </w:rPr>
        <w:t xml:space="preserve">), a fact publicly highlighted by the Prime Minister </w:t>
      </w:r>
      <w:sdt>
        <w:sdtPr>
          <w:rPr>
            <w:rFonts w:ascii="Calibri" w:hAnsi="Calibri"/>
          </w:rPr>
          <w:id w:val="-1225141660"/>
          <w:citation/>
        </w:sdtPr>
        <w:sdtEndPr/>
        <w:sdtContent>
          <w:r w:rsidR="00330E25" w:rsidRPr="002815F4">
            <w:rPr>
              <w:rFonts w:ascii="Calibri" w:hAnsi="Calibri"/>
            </w:rPr>
            <w:fldChar w:fldCharType="begin"/>
          </w:r>
          <w:r w:rsidR="00330E25" w:rsidRPr="002815F4">
            <w:rPr>
              <w:rFonts w:ascii="Calibri" w:hAnsi="Calibri"/>
            </w:rPr>
            <w:instrText xml:space="preserve"> CITATION ITI1629 \l 1033 </w:instrText>
          </w:r>
          <w:r w:rsidR="00330E25" w:rsidRPr="002815F4">
            <w:rPr>
              <w:rFonts w:ascii="Calibri" w:hAnsi="Calibri"/>
            </w:rPr>
            <w:fldChar w:fldCharType="separate"/>
          </w:r>
          <w:r w:rsidR="003E626E" w:rsidRPr="002815F4">
            <w:rPr>
              <w:rFonts w:ascii="Calibri" w:hAnsi="Calibri"/>
              <w:noProof/>
            </w:rPr>
            <w:t>(ITIE Senegal, 2016)</w:t>
          </w:r>
          <w:r w:rsidR="00330E25" w:rsidRPr="002815F4">
            <w:rPr>
              <w:rFonts w:ascii="Calibri" w:hAnsi="Calibri"/>
            </w:rPr>
            <w:fldChar w:fldCharType="end"/>
          </w:r>
        </w:sdtContent>
      </w:sdt>
      <w:r w:rsidR="00330E25" w:rsidRPr="002815F4">
        <w:rPr>
          <w:rFonts w:ascii="Calibri" w:hAnsi="Calibri"/>
        </w:rPr>
        <w:t xml:space="preserve">. </w:t>
      </w:r>
      <w:r w:rsidR="006D3AF9" w:rsidRPr="002815F4">
        <w:rPr>
          <w:rFonts w:ascii="Calibri" w:hAnsi="Calibri"/>
        </w:rPr>
        <w:t xml:space="preserve">Successive EITI Senegal annual progress reports have highlighted the government’s sustained and high-level commitment to EITI implementation </w:t>
      </w:r>
      <w:sdt>
        <w:sdtPr>
          <w:rPr>
            <w:rFonts w:ascii="Calibri" w:hAnsi="Calibri"/>
          </w:rPr>
          <w:id w:val="1673298277"/>
          <w:citation/>
        </w:sdtPr>
        <w:sdtEndPr/>
        <w:sdtContent>
          <w:r w:rsidR="006D3AF9" w:rsidRPr="002815F4">
            <w:rPr>
              <w:rFonts w:ascii="Calibri" w:hAnsi="Calibri"/>
            </w:rPr>
            <w:fldChar w:fldCharType="begin"/>
          </w:r>
          <w:r w:rsidR="00330E25" w:rsidRPr="002815F4">
            <w:rPr>
              <w:rFonts w:ascii="Calibri" w:hAnsi="Calibri"/>
            </w:rPr>
            <w:instrText xml:space="preserve">CITATION ITI1522 \l 1033 </w:instrText>
          </w:r>
          <w:r w:rsidR="006D3AF9" w:rsidRPr="002815F4">
            <w:rPr>
              <w:rFonts w:ascii="Calibri" w:hAnsi="Calibri"/>
            </w:rPr>
            <w:fldChar w:fldCharType="separate"/>
          </w:r>
          <w:r w:rsidR="003E626E" w:rsidRPr="002815F4">
            <w:rPr>
              <w:rFonts w:ascii="Calibri" w:hAnsi="Calibri"/>
              <w:noProof/>
            </w:rPr>
            <w:t>(ITIE Senegal, 2015)</w:t>
          </w:r>
          <w:r w:rsidR="006D3AF9" w:rsidRPr="002815F4">
            <w:rPr>
              <w:rFonts w:ascii="Calibri" w:hAnsi="Calibri"/>
            </w:rPr>
            <w:fldChar w:fldCharType="end"/>
          </w:r>
        </w:sdtContent>
      </w:sdt>
      <w:sdt>
        <w:sdtPr>
          <w:rPr>
            <w:rFonts w:ascii="Calibri" w:hAnsi="Calibri"/>
          </w:rPr>
          <w:id w:val="1018052851"/>
          <w:citation/>
        </w:sdtPr>
        <w:sdtEndPr/>
        <w:sdtContent>
          <w:r w:rsidR="00232E35" w:rsidRPr="002815F4">
            <w:rPr>
              <w:rFonts w:ascii="Calibri" w:hAnsi="Calibri"/>
            </w:rPr>
            <w:fldChar w:fldCharType="begin"/>
          </w:r>
          <w:r w:rsidR="00232E35" w:rsidRPr="002815F4">
            <w:rPr>
              <w:rFonts w:ascii="Calibri" w:hAnsi="Calibri"/>
            </w:rPr>
            <w:instrText xml:space="preserve"> CITATION ITI1543 \l 1033 </w:instrText>
          </w:r>
          <w:r w:rsidR="00232E35" w:rsidRPr="002815F4">
            <w:rPr>
              <w:rFonts w:ascii="Calibri" w:hAnsi="Calibri"/>
            </w:rPr>
            <w:fldChar w:fldCharType="separate"/>
          </w:r>
          <w:r w:rsidR="003E626E" w:rsidRPr="002815F4">
            <w:rPr>
              <w:rFonts w:ascii="Calibri" w:hAnsi="Calibri"/>
              <w:noProof/>
            </w:rPr>
            <w:t xml:space="preserve"> (ITIE Senegal, 2015)</w:t>
          </w:r>
          <w:r w:rsidR="00232E35" w:rsidRPr="002815F4">
            <w:rPr>
              <w:rFonts w:ascii="Calibri" w:hAnsi="Calibri"/>
            </w:rPr>
            <w:fldChar w:fldCharType="end"/>
          </w:r>
        </w:sdtContent>
      </w:sdt>
      <w:sdt>
        <w:sdtPr>
          <w:rPr>
            <w:rFonts w:ascii="Calibri" w:hAnsi="Calibri"/>
          </w:rPr>
          <w:id w:val="1325094433"/>
          <w:citation/>
        </w:sdtPr>
        <w:sdtEndPr/>
        <w:sdtContent>
          <w:r w:rsidR="00232E35" w:rsidRPr="002815F4">
            <w:rPr>
              <w:rFonts w:ascii="Calibri" w:hAnsi="Calibri"/>
            </w:rPr>
            <w:fldChar w:fldCharType="begin"/>
          </w:r>
          <w:r w:rsidR="00232E35" w:rsidRPr="002815F4">
            <w:rPr>
              <w:rFonts w:ascii="Calibri" w:hAnsi="Calibri"/>
            </w:rPr>
            <w:instrText xml:space="preserve"> CITATION ITI1625 \l 1033 </w:instrText>
          </w:r>
          <w:r w:rsidR="00232E35" w:rsidRPr="002815F4">
            <w:rPr>
              <w:rFonts w:ascii="Calibri" w:hAnsi="Calibri"/>
            </w:rPr>
            <w:fldChar w:fldCharType="separate"/>
          </w:r>
          <w:r w:rsidR="003E626E" w:rsidRPr="002815F4">
            <w:rPr>
              <w:rFonts w:ascii="Calibri" w:hAnsi="Calibri"/>
              <w:noProof/>
            </w:rPr>
            <w:t xml:space="preserve"> (ITIE Senegal, 2016)</w:t>
          </w:r>
          <w:r w:rsidR="00232E35" w:rsidRPr="002815F4">
            <w:rPr>
              <w:rFonts w:ascii="Calibri" w:hAnsi="Calibri"/>
            </w:rPr>
            <w:fldChar w:fldCharType="end"/>
          </w:r>
        </w:sdtContent>
      </w:sdt>
      <w:r w:rsidR="00232E35" w:rsidRPr="002815F4">
        <w:rPr>
          <w:rFonts w:ascii="Calibri" w:hAnsi="Calibri"/>
        </w:rPr>
        <w:t>.</w:t>
      </w:r>
    </w:p>
    <w:p w14:paraId="19023C6B" w14:textId="6D8B4ADF" w:rsidR="00CC4A99" w:rsidRPr="002815F4" w:rsidRDefault="002929E0" w:rsidP="009B3E66">
      <w:pPr>
        <w:pStyle w:val="Heading3"/>
      </w:pPr>
      <w:r w:rsidRPr="002815F4">
        <w:t>Stakeh</w:t>
      </w:r>
      <w:bookmarkStart w:id="87" w:name="governmentstakeholderviews"/>
      <w:bookmarkEnd w:id="87"/>
      <w:r w:rsidRPr="002815F4">
        <w:t>older views</w:t>
      </w:r>
      <w:r w:rsidR="00324B4F" w:rsidRPr="002815F4">
        <w:t xml:space="preserve"> </w:t>
      </w:r>
    </w:p>
    <w:p w14:paraId="7F580954" w14:textId="1C6DCE12" w:rsidR="00AE20B5" w:rsidRPr="002815F4" w:rsidRDefault="00AE20B5" w:rsidP="00AE20B5">
      <w:r w:rsidRPr="002815F4">
        <w:t xml:space="preserve">There </w:t>
      </w:r>
      <w:r w:rsidR="00862490" w:rsidRPr="002815F4">
        <w:t>was</w:t>
      </w:r>
      <w:r w:rsidRPr="002815F4">
        <w:t xml:space="preserve"> consensus </w:t>
      </w:r>
      <w:r w:rsidR="00862490" w:rsidRPr="002815F4">
        <w:t xml:space="preserve">amongst stakeholders consulted </w:t>
      </w:r>
      <w:r w:rsidRPr="002815F4">
        <w:t xml:space="preserve">that the government is highly committed and engaged in the EITI process. All stakeholders acknowledged that there have been regular public statements in support of the EITI from the Presidency, the Prime Minister’s office and </w:t>
      </w:r>
      <w:r w:rsidR="00862490" w:rsidRPr="002815F4">
        <w:t xml:space="preserve">relevant </w:t>
      </w:r>
      <w:r w:rsidRPr="002815F4">
        <w:t xml:space="preserve">ministers, both </w:t>
      </w:r>
      <w:r w:rsidR="00862490" w:rsidRPr="002815F4">
        <w:t xml:space="preserve">in </w:t>
      </w:r>
      <w:r w:rsidRPr="002815F4">
        <w:t>national and international</w:t>
      </w:r>
      <w:r w:rsidR="00862490" w:rsidRPr="002815F4">
        <w:t xml:space="preserve"> forums</w:t>
      </w:r>
      <w:r w:rsidRPr="002815F4">
        <w:t xml:space="preserve">. They </w:t>
      </w:r>
      <w:r w:rsidR="00862490" w:rsidRPr="002815F4">
        <w:t xml:space="preserve">also highlighted </w:t>
      </w:r>
      <w:r w:rsidRPr="002815F4">
        <w:t>that the Presidency ha</w:t>
      </w:r>
      <w:r w:rsidR="00A1228F">
        <w:t>d</w:t>
      </w:r>
      <w:r w:rsidRPr="002815F4">
        <w:t xml:space="preserve"> also instructed ministers to integrate EITI in new government programmes</w:t>
      </w:r>
      <w:r w:rsidR="00862490" w:rsidRPr="002815F4">
        <w:t xml:space="preserve"> and reforms</w:t>
      </w:r>
      <w:r w:rsidRPr="002815F4">
        <w:t xml:space="preserve">. Government representatives on the MSG </w:t>
      </w:r>
      <w:r w:rsidR="00862490" w:rsidRPr="002815F4">
        <w:t xml:space="preserve">claimed and were widely recognised as being </w:t>
      </w:r>
      <w:r w:rsidRPr="002815F4">
        <w:t>fully supportive of the EITI’s goals</w:t>
      </w:r>
      <w:r w:rsidR="00862490" w:rsidRPr="002815F4">
        <w:t xml:space="preserve"> and implementation in Senegal</w:t>
      </w:r>
      <w:r w:rsidRPr="002815F4">
        <w:t>.</w:t>
      </w:r>
    </w:p>
    <w:p w14:paraId="13C4377D" w14:textId="65FDCCAD" w:rsidR="00AE20B5" w:rsidRPr="002815F4" w:rsidRDefault="00AE20B5" w:rsidP="007474FE">
      <w:r w:rsidRPr="002815F4">
        <w:t>Government stakeholders indicated that while the initial decree</w:t>
      </w:r>
      <w:r w:rsidR="00862490" w:rsidRPr="002815F4">
        <w:t xml:space="preserve"> establishing the EITI</w:t>
      </w:r>
      <w:r w:rsidRPr="002815F4">
        <w:t xml:space="preserve"> intended for a large participation of </w:t>
      </w:r>
      <w:r w:rsidR="00862490" w:rsidRPr="002815F4">
        <w:t xml:space="preserve">an extensive number of </w:t>
      </w:r>
      <w:r w:rsidRPr="002815F4">
        <w:t>line ministries and agencies (including the ministries of interior, infrastructure and culture), only those directly concerned with EITI</w:t>
      </w:r>
      <w:r w:rsidR="00862490" w:rsidRPr="002815F4">
        <w:t xml:space="preserve">-related </w:t>
      </w:r>
      <w:r w:rsidR="002815F4" w:rsidRPr="002815F4">
        <w:t>extractives</w:t>
      </w:r>
      <w:r w:rsidR="00862490" w:rsidRPr="002815F4">
        <w:t xml:space="preserve"> and public financial management issues had participated in the MSG in practice</w:t>
      </w:r>
      <w:r w:rsidRPr="002815F4">
        <w:t>, particularly the Ministr</w:t>
      </w:r>
      <w:r w:rsidR="00862490" w:rsidRPr="002815F4">
        <w:t>ies</w:t>
      </w:r>
      <w:r w:rsidRPr="002815F4">
        <w:t xml:space="preserve"> of Finance, of Mines and </w:t>
      </w:r>
      <w:r w:rsidR="00862490" w:rsidRPr="002815F4">
        <w:t xml:space="preserve">of </w:t>
      </w:r>
      <w:r w:rsidRPr="002815F4">
        <w:t xml:space="preserve">Energy. </w:t>
      </w:r>
      <w:r w:rsidR="00862490" w:rsidRPr="002815F4">
        <w:t>Stakeholders</w:t>
      </w:r>
      <w:r w:rsidR="00A1228F">
        <w:t xml:space="preserve"> from all three constituencies</w:t>
      </w:r>
      <w:r w:rsidRPr="002815F4">
        <w:t xml:space="preserve"> </w:t>
      </w:r>
      <w:r w:rsidR="00D97623" w:rsidRPr="002815F4">
        <w:t>emphasised</w:t>
      </w:r>
      <w:r w:rsidRPr="002815F4">
        <w:t xml:space="preserve"> that government participation in MSG meetings ha</w:t>
      </w:r>
      <w:r w:rsidR="00862490" w:rsidRPr="002815F4">
        <w:t>d</w:t>
      </w:r>
      <w:r w:rsidRPr="002815F4">
        <w:t xml:space="preserve"> been active, effective and sustained since </w:t>
      </w:r>
      <w:r w:rsidR="00D97623" w:rsidRPr="002815F4">
        <w:t xml:space="preserve">inception in </w:t>
      </w:r>
      <w:r w:rsidRPr="002815F4">
        <w:t>2013</w:t>
      </w:r>
      <w:r w:rsidR="00A1228F">
        <w:t xml:space="preserve"> and that government was proactive in following up on recommendations</w:t>
      </w:r>
      <w:r w:rsidRPr="002815F4">
        <w:t xml:space="preserve">. The Prime Minister and </w:t>
      </w:r>
      <w:r w:rsidR="00D97623" w:rsidRPr="002815F4">
        <w:t xml:space="preserve">relevant </w:t>
      </w:r>
      <w:r w:rsidRPr="002815F4">
        <w:t>Ministers ha</w:t>
      </w:r>
      <w:r w:rsidR="00D97623" w:rsidRPr="002815F4">
        <w:t>d</w:t>
      </w:r>
      <w:r w:rsidRPr="002815F4">
        <w:t xml:space="preserve"> sent regular communications to their departments to promote participation in the EITI process. Government </w:t>
      </w:r>
      <w:r w:rsidR="00D97623" w:rsidRPr="002815F4">
        <w:t xml:space="preserve">MSG members explained that they </w:t>
      </w:r>
      <w:r w:rsidRPr="002815F4">
        <w:t>usually communicate</w:t>
      </w:r>
      <w:r w:rsidR="00D97623" w:rsidRPr="002815F4">
        <w:t>d</w:t>
      </w:r>
      <w:r w:rsidRPr="002815F4">
        <w:t xml:space="preserve"> and coordinate</w:t>
      </w:r>
      <w:r w:rsidR="00D97623" w:rsidRPr="002815F4">
        <w:t>d</w:t>
      </w:r>
      <w:r w:rsidRPr="002815F4">
        <w:t xml:space="preserve"> ahead of and </w:t>
      </w:r>
      <w:r w:rsidR="00D97623" w:rsidRPr="002815F4">
        <w:t xml:space="preserve">subsequent to </w:t>
      </w:r>
      <w:r w:rsidRPr="002815F4">
        <w:t>meetings. Several stakeholders highlighted that line ministries and agencies used to operate in silos and that the EITI process had promoted dialogue and coordination among them. The nomination of</w:t>
      </w:r>
      <w:r w:rsidR="00D97623" w:rsidRPr="002815F4">
        <w:t xml:space="preserve"> a high-level and engaged</w:t>
      </w:r>
      <w:r w:rsidRPr="002815F4">
        <w:t xml:space="preserve"> EITI focal point </w:t>
      </w:r>
      <w:r w:rsidR="00D97623" w:rsidRPr="002815F4">
        <w:t>was perceived by stakeholders</w:t>
      </w:r>
      <w:r w:rsidRPr="002815F4">
        <w:t xml:space="preserve"> as </w:t>
      </w:r>
      <w:r w:rsidR="00D97623" w:rsidRPr="002815F4">
        <w:t xml:space="preserve">a reflection </w:t>
      </w:r>
      <w:r w:rsidRPr="002815F4">
        <w:t xml:space="preserve">of </w:t>
      </w:r>
      <w:r w:rsidRPr="002815F4">
        <w:lastRenderedPageBreak/>
        <w:t xml:space="preserve">the </w:t>
      </w:r>
      <w:r w:rsidR="00D97623" w:rsidRPr="002815F4">
        <w:t>g</w:t>
      </w:r>
      <w:r w:rsidRPr="002815F4">
        <w:t>overnment’s engagement</w:t>
      </w:r>
      <w:r w:rsidR="0055550C">
        <w:t xml:space="preserve">, who </w:t>
      </w:r>
      <w:r w:rsidR="00D97623" w:rsidRPr="002815F4">
        <w:t>highlighted t</w:t>
      </w:r>
      <w:r w:rsidRPr="002815F4">
        <w:t>he government</w:t>
      </w:r>
      <w:r w:rsidR="00D97623" w:rsidRPr="002815F4">
        <w:t>’s efforts</w:t>
      </w:r>
      <w:r w:rsidRPr="002815F4">
        <w:t xml:space="preserve"> to publicize EITI implementation through regular press conferences, public seminars and dissemination activities </w:t>
      </w:r>
      <w:r w:rsidR="0055550C">
        <w:t>nationwide</w:t>
      </w:r>
      <w:r w:rsidRPr="002815F4">
        <w:t>.</w:t>
      </w:r>
      <w:r w:rsidR="0055550C">
        <w:t xml:space="preserve"> </w:t>
      </w:r>
      <w:r w:rsidRPr="002815F4">
        <w:t xml:space="preserve">No stakeholder </w:t>
      </w:r>
      <w:r w:rsidR="00D97623" w:rsidRPr="002815F4">
        <w:t xml:space="preserve">noted any </w:t>
      </w:r>
      <w:r w:rsidRPr="002815F4">
        <w:t xml:space="preserve">decrease in government engagement since 2013, </w:t>
      </w:r>
      <w:r w:rsidR="002815F4" w:rsidRPr="002815F4">
        <w:t>although</w:t>
      </w:r>
      <w:r w:rsidRPr="002815F4">
        <w:t xml:space="preserve"> </w:t>
      </w:r>
      <w:r w:rsidR="00D97623" w:rsidRPr="002815F4">
        <w:t xml:space="preserve">several </w:t>
      </w:r>
      <w:r w:rsidRPr="002815F4">
        <w:t>stakeholders mentioned that the introduction of per diem</w:t>
      </w:r>
      <w:r w:rsidR="00D97623" w:rsidRPr="002815F4">
        <w:t>s</w:t>
      </w:r>
      <w:r w:rsidRPr="002815F4">
        <w:t xml:space="preserve"> in 2016 paradoxically led to a minor decrease in participation</w:t>
      </w:r>
      <w:r w:rsidR="0055550C">
        <w:t xml:space="preserve"> at MSG meetings </w:t>
      </w:r>
      <w:r w:rsidR="00D97623" w:rsidRPr="002815F4">
        <w:t xml:space="preserve">in </w:t>
      </w:r>
      <w:r w:rsidR="0055550C">
        <w:t xml:space="preserve">numerical </w:t>
      </w:r>
      <w:r w:rsidR="00D97623" w:rsidRPr="002815F4">
        <w:t>terms (</w:t>
      </w:r>
      <w:r w:rsidR="00D97623" w:rsidRPr="002815F4">
        <w:rPr>
          <w:i/>
        </w:rPr>
        <w:t>see Requirement 1.4</w:t>
      </w:r>
      <w:r w:rsidR="00D97623" w:rsidRPr="002815F4">
        <w:t>)</w:t>
      </w:r>
      <w:r w:rsidRPr="002815F4">
        <w:t>.</w:t>
      </w:r>
    </w:p>
    <w:p w14:paraId="7A21F00A" w14:textId="70ABEA68" w:rsidR="002929E0" w:rsidRPr="002815F4" w:rsidRDefault="00F7195C" w:rsidP="009B3E66">
      <w:pPr>
        <w:pStyle w:val="Heading3"/>
      </w:pPr>
      <w:r w:rsidRPr="002815F4">
        <w:t>Initial a</w:t>
      </w:r>
      <w:r w:rsidR="002929E0" w:rsidRPr="002815F4">
        <w:t>ssessment</w:t>
      </w:r>
      <w:r w:rsidR="005275CE" w:rsidRPr="002815F4">
        <w:t xml:space="preserve"> </w:t>
      </w:r>
    </w:p>
    <w:p w14:paraId="09FACA63" w14:textId="63E4653D" w:rsidR="00112243" w:rsidRPr="002815F4" w:rsidRDefault="00116746" w:rsidP="008D7517">
      <w:pPr>
        <w:rPr>
          <w:rFonts w:ascii="Calibri" w:hAnsi="Calibri"/>
        </w:rPr>
      </w:pPr>
      <w:r w:rsidRPr="002815F4">
        <w:rPr>
          <w:rFonts w:ascii="Calibri" w:hAnsi="Calibri"/>
        </w:rPr>
        <w:t xml:space="preserve">The International Secretariat’s initial assessment is that </w:t>
      </w:r>
      <w:r w:rsidR="0054720C" w:rsidRPr="002815F4">
        <w:rPr>
          <w:rFonts w:ascii="Calibri" w:hAnsi="Calibri"/>
          <w:bCs/>
        </w:rPr>
        <w:t>Senegal</w:t>
      </w:r>
      <w:r w:rsidR="0054720C" w:rsidRPr="002815F4">
        <w:rPr>
          <w:rFonts w:ascii="Calibri" w:hAnsi="Calibri"/>
        </w:rPr>
        <w:t xml:space="preserve"> </w:t>
      </w:r>
      <w:r w:rsidRPr="002815F4">
        <w:rPr>
          <w:rFonts w:ascii="Calibri" w:hAnsi="Calibri"/>
        </w:rPr>
        <w:t xml:space="preserve">has made </w:t>
      </w:r>
      <w:r w:rsidR="0054720C" w:rsidRPr="002815F4">
        <w:rPr>
          <w:rFonts w:ascii="Calibri" w:hAnsi="Calibri"/>
          <w:bCs/>
        </w:rPr>
        <w:t>satisfactory</w:t>
      </w:r>
      <w:r w:rsidR="0054720C" w:rsidRPr="002815F4">
        <w:rPr>
          <w:rFonts w:ascii="Calibri" w:hAnsi="Calibri"/>
          <w:b/>
          <w:bCs/>
        </w:rPr>
        <w:t xml:space="preserve"> </w:t>
      </w:r>
      <w:r w:rsidRPr="002815F4">
        <w:rPr>
          <w:rFonts w:ascii="Calibri" w:hAnsi="Calibri"/>
        </w:rPr>
        <w:t xml:space="preserve">progress in meeting this </w:t>
      </w:r>
      <w:commentRangeStart w:id="88"/>
      <w:r w:rsidRPr="002815F4">
        <w:rPr>
          <w:rFonts w:ascii="Calibri" w:hAnsi="Calibri"/>
        </w:rPr>
        <w:t>requirement</w:t>
      </w:r>
      <w:commentRangeEnd w:id="88"/>
      <w:r w:rsidR="003C01E6">
        <w:rPr>
          <w:rStyle w:val="CommentReference"/>
          <w:szCs w:val="20"/>
        </w:rPr>
        <w:commentReference w:id="88"/>
      </w:r>
      <w:r w:rsidRPr="002815F4">
        <w:rPr>
          <w:rFonts w:ascii="Calibri" w:hAnsi="Calibri"/>
        </w:rPr>
        <w:t>.</w:t>
      </w:r>
      <w:r w:rsidR="009C497B" w:rsidRPr="002815F4">
        <w:rPr>
          <w:rFonts w:ascii="Calibri" w:hAnsi="Calibri"/>
        </w:rPr>
        <w:t xml:space="preserve"> </w:t>
      </w:r>
      <w:r w:rsidR="0054720C" w:rsidRPr="002815F4">
        <w:rPr>
          <w:rFonts w:ascii="Calibri" w:hAnsi="Calibri"/>
        </w:rPr>
        <w:t xml:space="preserve">There are regular, public statements of support from the government, a senior individual has been appointed to lead on the implementation of the EITI and senior government officials are represented on the MSG. </w:t>
      </w:r>
    </w:p>
    <w:p w14:paraId="78974788" w14:textId="22C01A44" w:rsidR="002929E0" w:rsidRPr="002815F4" w:rsidRDefault="00112243" w:rsidP="008D7517">
      <w:pPr>
        <w:rPr>
          <w:rFonts w:ascii="Calibri" w:hAnsi="Calibri"/>
        </w:rPr>
      </w:pPr>
      <w:r w:rsidRPr="002815F4">
        <w:rPr>
          <w:rFonts w:ascii="Calibri" w:hAnsi="Calibri"/>
        </w:rPr>
        <w:t>To strengthen implementation, the MSG may wish to</w:t>
      </w:r>
      <w:r w:rsidR="00D97623" w:rsidRPr="002815F4">
        <w:rPr>
          <w:rFonts w:ascii="Calibri" w:hAnsi="Calibri"/>
        </w:rPr>
        <w:t xml:space="preserve"> review EITI Senegal</w:t>
      </w:r>
      <w:r w:rsidR="00A07BCC" w:rsidRPr="002815F4">
        <w:rPr>
          <w:rFonts w:ascii="Calibri" w:hAnsi="Calibri"/>
        </w:rPr>
        <w:t xml:space="preserve"> MSG</w:t>
      </w:r>
      <w:r w:rsidR="00D97623" w:rsidRPr="002815F4">
        <w:rPr>
          <w:rFonts w:ascii="Calibri" w:hAnsi="Calibri"/>
        </w:rPr>
        <w:t xml:space="preserve">’s foundational </w:t>
      </w:r>
      <w:r w:rsidR="002815F4" w:rsidRPr="002815F4">
        <w:rPr>
          <w:rFonts w:ascii="Calibri" w:hAnsi="Calibri"/>
        </w:rPr>
        <w:t>decree to</w:t>
      </w:r>
      <w:r w:rsidR="00D97623" w:rsidRPr="002815F4">
        <w:rPr>
          <w:rFonts w:ascii="Calibri" w:hAnsi="Calibri"/>
        </w:rPr>
        <w:t xml:space="preserve"> reflect actual practice in government participation on the MSG. </w:t>
      </w:r>
    </w:p>
    <w:p w14:paraId="15914AF4" w14:textId="689C28AD" w:rsidR="002929E0" w:rsidRPr="002815F4" w:rsidRDefault="002929E0" w:rsidP="009B3E66">
      <w:pPr>
        <w:pStyle w:val="Heading2"/>
      </w:pPr>
      <w:bookmarkStart w:id="89" w:name="_Toc459133087"/>
      <w:bookmarkStart w:id="90" w:name="_Toc461803036"/>
      <w:bookmarkStart w:id="91" w:name="_Toc461787317"/>
      <w:bookmarkStart w:id="92" w:name="_Toc461795829"/>
      <w:bookmarkStart w:id="93" w:name="_Toc462149176"/>
      <w:r w:rsidRPr="002815F4">
        <w:t>Industry engagement in the EITI process (#1.2)</w:t>
      </w:r>
      <w:bookmarkEnd w:id="89"/>
      <w:bookmarkEnd w:id="90"/>
      <w:bookmarkEnd w:id="91"/>
      <w:bookmarkEnd w:id="92"/>
      <w:bookmarkEnd w:id="93"/>
    </w:p>
    <w:p w14:paraId="187ADC38" w14:textId="06FF2896" w:rsidR="002B42E3" w:rsidRPr="002815F4" w:rsidRDefault="002929E0" w:rsidP="009B3E66">
      <w:pPr>
        <w:pStyle w:val="Heading3"/>
      </w:pPr>
      <w:r w:rsidRPr="002815F4">
        <w:t>Documentation of progress</w:t>
      </w:r>
    </w:p>
    <w:p w14:paraId="24886AD0" w14:textId="77777777" w:rsidR="00D1089B" w:rsidRPr="002815F4" w:rsidRDefault="002929E0" w:rsidP="006C21CE">
      <w:pPr>
        <w:spacing w:before="120"/>
        <w:rPr>
          <w:rFonts w:ascii="Calibri" w:hAnsi="Calibri"/>
          <w:bCs/>
        </w:rPr>
      </w:pPr>
      <w:r w:rsidRPr="002815F4">
        <w:rPr>
          <w:rFonts w:ascii="Calibri" w:hAnsi="Calibri"/>
          <w:i/>
          <w:u w:val="single"/>
        </w:rPr>
        <w:t>Active engagement</w:t>
      </w:r>
      <w:r w:rsidRPr="002815F4">
        <w:rPr>
          <w:rFonts w:ascii="Calibri" w:hAnsi="Calibri"/>
        </w:rPr>
        <w:t xml:space="preserve">: </w:t>
      </w:r>
      <w:r w:rsidR="00665062" w:rsidRPr="002815F4">
        <w:rPr>
          <w:rFonts w:ascii="Calibri" w:hAnsi="Calibri"/>
        </w:rPr>
        <w:t>Senegal’s extractive industries have historically been dominated by mining of gold, iron ore, phosphate</w:t>
      </w:r>
      <w:r w:rsidR="006C21CE" w:rsidRPr="002815F4">
        <w:rPr>
          <w:rFonts w:ascii="Calibri" w:hAnsi="Calibri"/>
        </w:rPr>
        <w:t xml:space="preserve">, although there has been smaller production of natural gas, oil and construction materials like limestone </w:t>
      </w:r>
      <w:sdt>
        <w:sdtPr>
          <w:rPr>
            <w:rFonts w:ascii="Calibri" w:hAnsi="Calibri"/>
          </w:rPr>
          <w:id w:val="2065360985"/>
          <w:citation/>
        </w:sdtPr>
        <w:sdtEndPr/>
        <w:sdtContent>
          <w:r w:rsidR="006C21CE" w:rsidRPr="002815F4">
            <w:rPr>
              <w:rFonts w:ascii="Calibri" w:hAnsi="Calibri"/>
            </w:rPr>
            <w:fldChar w:fldCharType="begin"/>
          </w:r>
          <w:r w:rsidR="006C21CE" w:rsidRPr="002815F4">
            <w:rPr>
              <w:rFonts w:ascii="Calibri" w:hAnsi="Calibri"/>
            </w:rPr>
            <w:instrText xml:space="preserve"> CITATION USG161 \l 1033 </w:instrText>
          </w:r>
          <w:r w:rsidR="006C21CE" w:rsidRPr="002815F4">
            <w:rPr>
              <w:rFonts w:ascii="Calibri" w:hAnsi="Calibri"/>
            </w:rPr>
            <w:fldChar w:fldCharType="separate"/>
          </w:r>
          <w:r w:rsidR="003E626E" w:rsidRPr="002815F4">
            <w:rPr>
              <w:rFonts w:ascii="Calibri" w:hAnsi="Calibri"/>
              <w:noProof/>
            </w:rPr>
            <w:t>(USGS, 2016)</w:t>
          </w:r>
          <w:r w:rsidR="006C21CE" w:rsidRPr="002815F4">
            <w:rPr>
              <w:rFonts w:ascii="Calibri" w:hAnsi="Calibri"/>
            </w:rPr>
            <w:fldChar w:fldCharType="end"/>
          </w:r>
        </w:sdtContent>
      </w:sdt>
      <w:r w:rsidR="006C21CE" w:rsidRPr="002815F4">
        <w:rPr>
          <w:rFonts w:ascii="Calibri" w:hAnsi="Calibri"/>
        </w:rPr>
        <w:t xml:space="preserve">. More recently, significant discoveries by oil and gas companies Cairn Energy, Kosmos Energy and BP offshore Senegal and Mauritania have attracted significant investor attention </w:t>
      </w:r>
      <w:sdt>
        <w:sdtPr>
          <w:rPr>
            <w:rFonts w:ascii="Calibri" w:hAnsi="Calibri"/>
            <w:iCs/>
          </w:rPr>
          <w:id w:val="-314728452"/>
          <w:citation/>
        </w:sdtPr>
        <w:sdtEndPr/>
        <w:sdtContent>
          <w:r w:rsidR="006C21CE" w:rsidRPr="002815F4">
            <w:rPr>
              <w:rFonts w:ascii="Calibri" w:hAnsi="Calibri"/>
              <w:iCs/>
            </w:rPr>
            <w:fldChar w:fldCharType="begin"/>
          </w:r>
          <w:r w:rsidR="006C21CE" w:rsidRPr="002815F4">
            <w:rPr>
              <w:rFonts w:ascii="Calibri" w:hAnsi="Calibri"/>
              <w:iCs/>
            </w:rPr>
            <w:instrText xml:space="preserve"> CITATION Fin161 \l 1033 </w:instrText>
          </w:r>
          <w:r w:rsidR="006C21CE" w:rsidRPr="002815F4">
            <w:rPr>
              <w:rFonts w:ascii="Calibri" w:hAnsi="Calibri"/>
              <w:iCs/>
            </w:rPr>
            <w:fldChar w:fldCharType="separate"/>
          </w:r>
          <w:r w:rsidR="003E626E" w:rsidRPr="002815F4">
            <w:rPr>
              <w:rFonts w:ascii="Calibri" w:hAnsi="Calibri"/>
              <w:noProof/>
            </w:rPr>
            <w:t>(Financial Times, 2016)</w:t>
          </w:r>
          <w:r w:rsidR="006C21CE" w:rsidRPr="002815F4">
            <w:rPr>
              <w:rFonts w:ascii="Calibri" w:hAnsi="Calibri"/>
              <w:iCs/>
            </w:rPr>
            <w:fldChar w:fldCharType="end"/>
          </w:r>
        </w:sdtContent>
      </w:sdt>
      <w:r w:rsidR="006C21CE" w:rsidRPr="002815F4">
        <w:rPr>
          <w:rFonts w:ascii="Calibri" w:hAnsi="Calibri"/>
          <w:iCs/>
        </w:rPr>
        <w:t xml:space="preserve"> </w:t>
      </w:r>
      <w:sdt>
        <w:sdtPr>
          <w:rPr>
            <w:rFonts w:ascii="Calibri" w:hAnsi="Calibri"/>
            <w:iCs/>
          </w:rPr>
          <w:id w:val="-638728115"/>
          <w:citation/>
        </w:sdtPr>
        <w:sdtEndPr/>
        <w:sdtContent>
          <w:r w:rsidR="006C21CE" w:rsidRPr="002815F4">
            <w:rPr>
              <w:rFonts w:ascii="Calibri" w:hAnsi="Calibri"/>
              <w:iCs/>
            </w:rPr>
            <w:fldChar w:fldCharType="begin"/>
          </w:r>
          <w:r w:rsidR="006C21CE" w:rsidRPr="002815F4">
            <w:rPr>
              <w:rFonts w:ascii="Calibri" w:hAnsi="Calibri"/>
              <w:iCs/>
            </w:rPr>
            <w:instrText xml:space="preserve"> CITATION ITI1627 \l 1033 </w:instrText>
          </w:r>
          <w:r w:rsidR="006C21CE" w:rsidRPr="002815F4">
            <w:rPr>
              <w:rFonts w:ascii="Calibri" w:hAnsi="Calibri"/>
              <w:iCs/>
            </w:rPr>
            <w:fldChar w:fldCharType="separate"/>
          </w:r>
          <w:r w:rsidR="003E626E" w:rsidRPr="002815F4">
            <w:rPr>
              <w:rFonts w:ascii="Calibri" w:hAnsi="Calibri"/>
              <w:noProof/>
            </w:rPr>
            <w:t>(ITIE Senegal, 2016)</w:t>
          </w:r>
          <w:r w:rsidR="006C21CE" w:rsidRPr="002815F4">
            <w:rPr>
              <w:rFonts w:ascii="Calibri" w:hAnsi="Calibri"/>
              <w:iCs/>
            </w:rPr>
            <w:fldChar w:fldCharType="end"/>
          </w:r>
        </w:sdtContent>
      </w:sdt>
      <w:r w:rsidR="006C21CE" w:rsidRPr="002815F4">
        <w:rPr>
          <w:rFonts w:ascii="Calibri" w:hAnsi="Calibri"/>
          <w:iCs/>
        </w:rPr>
        <w:t xml:space="preserve"> </w:t>
      </w:r>
      <w:sdt>
        <w:sdtPr>
          <w:rPr>
            <w:rFonts w:ascii="Calibri" w:hAnsi="Calibri"/>
            <w:iCs/>
          </w:rPr>
          <w:id w:val="-2020070126"/>
          <w:citation/>
        </w:sdtPr>
        <w:sdtEndPr/>
        <w:sdtContent>
          <w:r w:rsidR="006C21CE" w:rsidRPr="002815F4">
            <w:rPr>
              <w:rFonts w:ascii="Calibri" w:hAnsi="Calibri"/>
              <w:iCs/>
            </w:rPr>
            <w:fldChar w:fldCharType="begin"/>
          </w:r>
          <w:r w:rsidR="006C21CE" w:rsidRPr="002815F4">
            <w:rPr>
              <w:rFonts w:ascii="Calibri" w:hAnsi="Calibri"/>
              <w:iCs/>
            </w:rPr>
            <w:instrText xml:space="preserve"> CITATION IDA17 \l 1033 </w:instrText>
          </w:r>
          <w:r w:rsidR="006C21CE" w:rsidRPr="002815F4">
            <w:rPr>
              <w:rFonts w:ascii="Calibri" w:hAnsi="Calibri"/>
              <w:iCs/>
            </w:rPr>
            <w:fldChar w:fldCharType="separate"/>
          </w:r>
          <w:r w:rsidR="003E626E" w:rsidRPr="002815F4">
            <w:rPr>
              <w:rFonts w:ascii="Calibri" w:hAnsi="Calibri"/>
              <w:noProof/>
            </w:rPr>
            <w:t>(IDA Africa Watch, 2017)</w:t>
          </w:r>
          <w:r w:rsidR="006C21CE" w:rsidRPr="002815F4">
            <w:rPr>
              <w:rFonts w:ascii="Calibri" w:hAnsi="Calibri"/>
              <w:iCs/>
            </w:rPr>
            <w:fldChar w:fldCharType="end"/>
          </w:r>
        </w:sdtContent>
      </w:sdt>
      <w:r w:rsidR="006C21CE" w:rsidRPr="002815F4">
        <w:rPr>
          <w:rFonts w:ascii="Calibri" w:hAnsi="Calibri"/>
          <w:iCs/>
        </w:rPr>
        <w:t xml:space="preserve"> </w:t>
      </w:r>
      <w:sdt>
        <w:sdtPr>
          <w:rPr>
            <w:rFonts w:ascii="Calibri" w:hAnsi="Calibri"/>
            <w:iCs/>
          </w:rPr>
          <w:id w:val="1433464816"/>
          <w:citation/>
        </w:sdtPr>
        <w:sdtEndPr/>
        <w:sdtContent>
          <w:r w:rsidR="006C21CE" w:rsidRPr="002815F4">
            <w:rPr>
              <w:rFonts w:ascii="Calibri" w:hAnsi="Calibri"/>
              <w:iCs/>
            </w:rPr>
            <w:fldChar w:fldCharType="begin"/>
          </w:r>
          <w:r w:rsidR="006C21CE" w:rsidRPr="002815F4">
            <w:rPr>
              <w:rFonts w:ascii="Calibri" w:hAnsi="Calibri"/>
              <w:iCs/>
            </w:rPr>
            <w:instrText xml:space="preserve"> CITATION Fin17 \l 1033 </w:instrText>
          </w:r>
          <w:r w:rsidR="006C21CE" w:rsidRPr="002815F4">
            <w:rPr>
              <w:rFonts w:ascii="Calibri" w:hAnsi="Calibri"/>
              <w:iCs/>
            </w:rPr>
            <w:fldChar w:fldCharType="separate"/>
          </w:r>
          <w:r w:rsidR="003E626E" w:rsidRPr="002815F4">
            <w:rPr>
              <w:rFonts w:ascii="Calibri" w:hAnsi="Calibri"/>
              <w:noProof/>
            </w:rPr>
            <w:t>(Financial Times, 2017)</w:t>
          </w:r>
          <w:r w:rsidR="006C21CE" w:rsidRPr="002815F4">
            <w:rPr>
              <w:rFonts w:ascii="Calibri" w:hAnsi="Calibri"/>
              <w:iCs/>
            </w:rPr>
            <w:fldChar w:fldCharType="end"/>
          </w:r>
        </w:sdtContent>
      </w:sdt>
      <w:r w:rsidR="006C21CE" w:rsidRPr="002815F4">
        <w:rPr>
          <w:rFonts w:ascii="Calibri" w:hAnsi="Calibri"/>
          <w:iCs/>
        </w:rPr>
        <w:t xml:space="preserve"> </w:t>
      </w:r>
      <w:sdt>
        <w:sdtPr>
          <w:rPr>
            <w:rFonts w:ascii="Calibri" w:hAnsi="Calibri"/>
            <w:iCs/>
          </w:rPr>
          <w:id w:val="1069848859"/>
          <w:citation/>
        </w:sdtPr>
        <w:sdtEndPr/>
        <w:sdtContent>
          <w:r w:rsidR="006C21CE" w:rsidRPr="002815F4">
            <w:rPr>
              <w:rFonts w:ascii="Calibri" w:hAnsi="Calibri"/>
              <w:iCs/>
            </w:rPr>
            <w:fldChar w:fldCharType="begin"/>
          </w:r>
          <w:r w:rsidR="006C21CE" w:rsidRPr="002815F4">
            <w:rPr>
              <w:rFonts w:ascii="Calibri" w:hAnsi="Calibri"/>
              <w:iCs/>
            </w:rPr>
            <w:instrText xml:space="preserve"> CITATION Pla17 \l 1033 </w:instrText>
          </w:r>
          <w:r w:rsidR="006C21CE" w:rsidRPr="002815F4">
            <w:rPr>
              <w:rFonts w:ascii="Calibri" w:hAnsi="Calibri"/>
              <w:iCs/>
            </w:rPr>
            <w:fldChar w:fldCharType="separate"/>
          </w:r>
          <w:r w:rsidR="003E626E" w:rsidRPr="002815F4">
            <w:rPr>
              <w:rFonts w:ascii="Calibri" w:hAnsi="Calibri"/>
              <w:noProof/>
            </w:rPr>
            <w:t>(Platts, 2017)</w:t>
          </w:r>
          <w:r w:rsidR="006C21CE" w:rsidRPr="002815F4">
            <w:rPr>
              <w:rFonts w:ascii="Calibri" w:hAnsi="Calibri"/>
              <w:iCs/>
            </w:rPr>
            <w:fldChar w:fldCharType="end"/>
          </w:r>
        </w:sdtContent>
      </w:sdt>
      <w:r w:rsidR="006C21CE" w:rsidRPr="002815F4">
        <w:rPr>
          <w:rFonts w:ascii="Calibri" w:hAnsi="Calibri"/>
          <w:iCs/>
        </w:rPr>
        <w:t xml:space="preserve"> </w:t>
      </w:r>
      <w:sdt>
        <w:sdtPr>
          <w:rPr>
            <w:rFonts w:ascii="Calibri" w:hAnsi="Calibri"/>
            <w:bCs/>
          </w:rPr>
          <w:id w:val="164375070"/>
          <w:citation/>
        </w:sdtPr>
        <w:sdtEndPr/>
        <w:sdtContent>
          <w:r w:rsidR="006C21CE" w:rsidRPr="002815F4">
            <w:rPr>
              <w:rFonts w:ascii="Calibri" w:hAnsi="Calibri"/>
              <w:bCs/>
            </w:rPr>
            <w:fldChar w:fldCharType="begin"/>
          </w:r>
          <w:r w:rsidR="006C21CE" w:rsidRPr="002815F4">
            <w:rPr>
              <w:rFonts w:ascii="Calibri" w:hAnsi="Calibri"/>
              <w:bCs/>
            </w:rPr>
            <w:instrText xml:space="preserve"> CITATION Rep171 \l 1033 </w:instrText>
          </w:r>
          <w:r w:rsidR="006C21CE" w:rsidRPr="002815F4">
            <w:rPr>
              <w:rFonts w:ascii="Calibri" w:hAnsi="Calibri"/>
              <w:bCs/>
            </w:rPr>
            <w:fldChar w:fldCharType="separate"/>
          </w:r>
          <w:r w:rsidR="003E626E" w:rsidRPr="002815F4">
            <w:rPr>
              <w:rFonts w:ascii="Calibri" w:hAnsi="Calibri"/>
              <w:noProof/>
            </w:rPr>
            <w:t>(Republic of Senegal, 2017)</w:t>
          </w:r>
          <w:r w:rsidR="006C21CE" w:rsidRPr="002815F4">
            <w:rPr>
              <w:rFonts w:ascii="Calibri" w:hAnsi="Calibri"/>
              <w:bCs/>
            </w:rPr>
            <w:fldChar w:fldCharType="end"/>
          </w:r>
        </w:sdtContent>
      </w:sdt>
      <w:r w:rsidR="006C21CE" w:rsidRPr="002815F4">
        <w:rPr>
          <w:rFonts w:ascii="Calibri" w:hAnsi="Calibri"/>
          <w:bCs/>
        </w:rPr>
        <w:t xml:space="preserve">. </w:t>
      </w:r>
    </w:p>
    <w:p w14:paraId="352FFBF3" w14:textId="319DEAA2" w:rsidR="002D36DC" w:rsidRPr="002815F4" w:rsidRDefault="00D1089B" w:rsidP="002D36DC">
      <w:pPr>
        <w:spacing w:before="120"/>
        <w:rPr>
          <w:rFonts w:ascii="Calibri" w:hAnsi="Calibri"/>
        </w:rPr>
      </w:pPr>
      <w:r w:rsidRPr="002815F4">
        <w:rPr>
          <w:rFonts w:ascii="Calibri" w:hAnsi="Calibri"/>
          <w:bCs/>
        </w:rPr>
        <w:t xml:space="preserve">Most of the mining industry is organised through the Chamber of Mines, established in 2013 with 26 member companies </w:t>
      </w:r>
      <w:r w:rsidR="00B90B81">
        <w:rPr>
          <w:rFonts w:ascii="Calibri" w:hAnsi="Calibri"/>
          <w:bCs/>
        </w:rPr>
        <w:t>and</w:t>
      </w:r>
      <w:r w:rsidRPr="002815F4">
        <w:rPr>
          <w:rFonts w:ascii="Calibri" w:hAnsi="Calibri"/>
          <w:bCs/>
        </w:rPr>
        <w:t xml:space="preserve"> three committees on </w:t>
      </w:r>
      <w:r w:rsidR="00866362" w:rsidRPr="002815F4">
        <w:rPr>
          <w:rFonts w:ascii="Calibri" w:hAnsi="Calibri"/>
          <w:bCs/>
        </w:rPr>
        <w:t>legal, fiscal and customs issues, on environment, health and safety and CSR, and on communications</w:t>
      </w:r>
      <w:sdt>
        <w:sdtPr>
          <w:rPr>
            <w:rFonts w:ascii="Calibri" w:hAnsi="Calibri"/>
            <w:bCs/>
          </w:rPr>
          <w:id w:val="1886908534"/>
          <w:citation/>
        </w:sdtPr>
        <w:sdtEndPr/>
        <w:sdtContent>
          <w:r w:rsidRPr="002815F4">
            <w:rPr>
              <w:rFonts w:ascii="Calibri" w:hAnsi="Calibri"/>
              <w:bCs/>
            </w:rPr>
            <w:fldChar w:fldCharType="begin"/>
          </w:r>
          <w:r w:rsidRPr="002815F4">
            <w:rPr>
              <w:rFonts w:ascii="Calibri" w:hAnsi="Calibri"/>
              <w:bCs/>
            </w:rPr>
            <w:instrText xml:space="preserve"> CITATION ITI1538 \l 1033 </w:instrText>
          </w:r>
          <w:r w:rsidRPr="002815F4">
            <w:rPr>
              <w:rFonts w:ascii="Calibri" w:hAnsi="Calibri"/>
              <w:bCs/>
            </w:rPr>
            <w:fldChar w:fldCharType="separate"/>
          </w:r>
          <w:r w:rsidR="003E626E" w:rsidRPr="002815F4">
            <w:rPr>
              <w:rFonts w:ascii="Calibri" w:hAnsi="Calibri"/>
              <w:bCs/>
              <w:noProof/>
            </w:rPr>
            <w:t xml:space="preserve"> </w:t>
          </w:r>
          <w:r w:rsidR="003E626E" w:rsidRPr="002815F4">
            <w:rPr>
              <w:rFonts w:ascii="Calibri" w:hAnsi="Calibri"/>
              <w:noProof/>
            </w:rPr>
            <w:t>(ITIE Senegal, 2015)</w:t>
          </w:r>
          <w:r w:rsidRPr="002815F4">
            <w:rPr>
              <w:rFonts w:ascii="Calibri" w:hAnsi="Calibri"/>
              <w:bCs/>
            </w:rPr>
            <w:fldChar w:fldCharType="end"/>
          </w:r>
        </w:sdtContent>
      </w:sdt>
      <w:r w:rsidR="00866362" w:rsidRPr="002815F4">
        <w:rPr>
          <w:rFonts w:ascii="Calibri" w:hAnsi="Calibri"/>
          <w:bCs/>
        </w:rPr>
        <w:t xml:space="preserve"> </w:t>
      </w:r>
      <w:sdt>
        <w:sdtPr>
          <w:rPr>
            <w:rFonts w:ascii="Calibri" w:hAnsi="Calibri"/>
          </w:rPr>
          <w:id w:val="1046331886"/>
          <w:citation/>
        </w:sdtPr>
        <w:sdtEndPr/>
        <w:sdtContent>
          <w:r w:rsidR="00866362" w:rsidRPr="002815F4">
            <w:rPr>
              <w:rFonts w:ascii="Calibri" w:hAnsi="Calibri"/>
            </w:rPr>
            <w:fldChar w:fldCharType="begin"/>
          </w:r>
          <w:r w:rsidR="00866362" w:rsidRPr="002815F4">
            <w:rPr>
              <w:rFonts w:ascii="Calibri" w:hAnsi="Calibri"/>
            </w:rPr>
            <w:instrText xml:space="preserve"> CITATION Amb17 \l 1033 </w:instrText>
          </w:r>
          <w:r w:rsidR="00866362" w:rsidRPr="002815F4">
            <w:rPr>
              <w:rFonts w:ascii="Calibri" w:hAnsi="Calibri"/>
            </w:rPr>
            <w:fldChar w:fldCharType="separate"/>
          </w:r>
          <w:r w:rsidR="00866362" w:rsidRPr="002815F4">
            <w:rPr>
              <w:rFonts w:ascii="Calibri" w:hAnsi="Calibri"/>
              <w:noProof/>
            </w:rPr>
            <w:t>(Ambassade de France au Sénégal, 2017)</w:t>
          </w:r>
          <w:r w:rsidR="00866362" w:rsidRPr="002815F4">
            <w:rPr>
              <w:rFonts w:ascii="Calibri" w:hAnsi="Calibri"/>
            </w:rPr>
            <w:fldChar w:fldCharType="end"/>
          </w:r>
        </w:sdtContent>
      </w:sdt>
      <w:r w:rsidRPr="002815F4">
        <w:rPr>
          <w:rFonts w:ascii="Calibri" w:hAnsi="Calibri"/>
          <w:bCs/>
        </w:rPr>
        <w:t xml:space="preserve">. </w:t>
      </w:r>
      <w:r w:rsidR="00A25A8A" w:rsidRPr="002815F4">
        <w:rPr>
          <w:rFonts w:ascii="Calibri" w:hAnsi="Calibri"/>
          <w:bCs/>
        </w:rPr>
        <w:t xml:space="preserve">It </w:t>
      </w:r>
      <w:r w:rsidR="00B90B81">
        <w:rPr>
          <w:rFonts w:ascii="Calibri" w:hAnsi="Calibri"/>
          <w:bCs/>
        </w:rPr>
        <w:t xml:space="preserve">has led on </w:t>
      </w:r>
      <w:r w:rsidR="00A25A8A" w:rsidRPr="002815F4">
        <w:rPr>
          <w:rFonts w:ascii="Calibri" w:hAnsi="Calibri"/>
          <w:bCs/>
        </w:rPr>
        <w:t xml:space="preserve">coordinate </w:t>
      </w:r>
      <w:r w:rsidR="00B90B81">
        <w:rPr>
          <w:rFonts w:ascii="Calibri" w:hAnsi="Calibri"/>
          <w:bCs/>
        </w:rPr>
        <w:t xml:space="preserve">the mining </w:t>
      </w:r>
      <w:r w:rsidR="00A25A8A" w:rsidRPr="002815F4">
        <w:rPr>
          <w:rFonts w:ascii="Calibri" w:hAnsi="Calibri"/>
          <w:bCs/>
        </w:rPr>
        <w:t xml:space="preserve">industry’s participation in EITI in 2016 </w:t>
      </w:r>
      <w:sdt>
        <w:sdtPr>
          <w:id w:val="-530572011"/>
          <w:citation/>
        </w:sdtPr>
        <w:sdtEndPr/>
        <w:sdtContent>
          <w:r w:rsidR="00A25A8A" w:rsidRPr="002815F4">
            <w:fldChar w:fldCharType="begin"/>
          </w:r>
          <w:r w:rsidR="00A25A8A" w:rsidRPr="002815F4">
            <w:instrText xml:space="preserve"> CITATION ITI1726 \l 1033 </w:instrText>
          </w:r>
          <w:r w:rsidR="00A25A8A" w:rsidRPr="002815F4">
            <w:fldChar w:fldCharType="separate"/>
          </w:r>
          <w:r w:rsidR="00A25A8A" w:rsidRPr="002815F4">
            <w:rPr>
              <w:noProof/>
            </w:rPr>
            <w:t>(ITIE Senegal, 2017)</w:t>
          </w:r>
          <w:r w:rsidR="00A25A8A" w:rsidRPr="002815F4">
            <w:fldChar w:fldCharType="end"/>
          </w:r>
        </w:sdtContent>
      </w:sdt>
      <w:r w:rsidR="00A25A8A" w:rsidRPr="002815F4">
        <w:t>.</w:t>
      </w:r>
      <w:r w:rsidR="00A25A8A" w:rsidRPr="002815F4">
        <w:rPr>
          <w:rFonts w:ascii="Calibri" w:hAnsi="Calibri"/>
          <w:bCs/>
        </w:rPr>
        <w:t xml:space="preserve"> </w:t>
      </w:r>
      <w:r w:rsidR="004C3665" w:rsidRPr="002815F4">
        <w:rPr>
          <w:rFonts w:ascii="Calibri" w:hAnsi="Calibri"/>
          <w:bCs/>
        </w:rPr>
        <w:t>Industry representatives are actively engaged in the EITI process</w:t>
      </w:r>
      <w:r w:rsidRPr="002815F4">
        <w:rPr>
          <w:rFonts w:ascii="Calibri" w:hAnsi="Calibri"/>
          <w:bCs/>
        </w:rPr>
        <w:t xml:space="preserve">, with </w:t>
      </w:r>
      <w:r w:rsidR="004C3665" w:rsidRPr="002815F4">
        <w:rPr>
          <w:rFonts w:ascii="Calibri" w:hAnsi="Calibri"/>
          <w:bCs/>
        </w:rPr>
        <w:t xml:space="preserve">four </w:t>
      </w:r>
      <w:r w:rsidRPr="002815F4">
        <w:rPr>
          <w:rFonts w:ascii="Calibri" w:hAnsi="Calibri"/>
          <w:bCs/>
        </w:rPr>
        <w:t xml:space="preserve">MSG members </w:t>
      </w:r>
      <w:r w:rsidR="004C3665" w:rsidRPr="002815F4">
        <w:rPr>
          <w:rFonts w:ascii="Calibri" w:hAnsi="Calibri"/>
          <w:bCs/>
        </w:rPr>
        <w:t xml:space="preserve">from the mining sector and two from oil and gas </w:t>
      </w:r>
      <w:r w:rsidRPr="002815F4">
        <w:rPr>
          <w:rFonts w:ascii="Calibri" w:hAnsi="Calibri"/>
          <w:bCs/>
        </w:rPr>
        <w:t xml:space="preserve">in line with Decree </w:t>
      </w:r>
      <w:r w:rsidR="004C3665" w:rsidRPr="002815F4">
        <w:rPr>
          <w:rFonts w:ascii="Calibri" w:hAnsi="Calibri"/>
          <w:bCs/>
        </w:rPr>
        <w:t>2013</w:t>
      </w:r>
      <w:r w:rsidRPr="002815F4">
        <w:rPr>
          <w:rFonts w:ascii="Calibri" w:hAnsi="Calibri"/>
          <w:bCs/>
        </w:rPr>
        <w:t xml:space="preserve">-881. </w:t>
      </w:r>
      <w:r w:rsidR="00A3241F" w:rsidRPr="002815F4">
        <w:rPr>
          <w:rFonts w:ascii="Calibri" w:hAnsi="Calibri"/>
          <w:bCs/>
        </w:rPr>
        <w:t>In practice, the EITI Senegal website</w:t>
      </w:r>
      <w:r w:rsidR="00A3241F" w:rsidRPr="002815F4">
        <w:rPr>
          <w:rStyle w:val="FootnoteReference"/>
          <w:rFonts w:ascii="Calibri" w:hAnsi="Calibri"/>
          <w:bCs/>
        </w:rPr>
        <w:footnoteReference w:id="12"/>
      </w:r>
      <w:r w:rsidR="00A3241F" w:rsidRPr="002815F4">
        <w:rPr>
          <w:rFonts w:ascii="Calibri" w:hAnsi="Calibri"/>
          <w:bCs/>
        </w:rPr>
        <w:t xml:space="preserve"> lists </w:t>
      </w:r>
      <w:r w:rsidR="002E2909" w:rsidRPr="002815F4">
        <w:rPr>
          <w:rFonts w:ascii="Calibri" w:hAnsi="Calibri"/>
          <w:bCs/>
        </w:rPr>
        <w:t>four</w:t>
      </w:r>
      <w:r w:rsidR="00A3241F" w:rsidRPr="002815F4">
        <w:rPr>
          <w:rFonts w:ascii="Calibri" w:hAnsi="Calibri"/>
          <w:bCs/>
        </w:rPr>
        <w:t xml:space="preserve"> mining industry MSG members (</w:t>
      </w:r>
      <w:r w:rsidR="002E2909" w:rsidRPr="002815F4">
        <w:rPr>
          <w:rFonts w:ascii="Calibri" w:hAnsi="Calibri"/>
          <w:bCs/>
        </w:rPr>
        <w:t xml:space="preserve">IAMGOLD, </w:t>
      </w:r>
      <w:r w:rsidR="000E2413" w:rsidRPr="002815F4">
        <w:rPr>
          <w:rFonts w:ascii="Calibri" w:hAnsi="Calibri"/>
          <w:bCs/>
        </w:rPr>
        <w:t>Grande Côte Operations (</w:t>
      </w:r>
      <w:r w:rsidR="00A3241F" w:rsidRPr="002815F4">
        <w:rPr>
          <w:rFonts w:ascii="Calibri" w:hAnsi="Calibri"/>
          <w:bCs/>
        </w:rPr>
        <w:t>GCO</w:t>
      </w:r>
      <w:r w:rsidR="000E2413">
        <w:rPr>
          <w:rFonts w:ascii="Calibri" w:hAnsi="Calibri"/>
          <w:bCs/>
        </w:rPr>
        <w:t>)</w:t>
      </w:r>
      <w:r w:rsidR="002E2909" w:rsidRPr="002815F4">
        <w:rPr>
          <w:rFonts w:ascii="Calibri" w:hAnsi="Calibri"/>
          <w:bCs/>
        </w:rPr>
        <w:t>, SOCOCIM</w:t>
      </w:r>
      <w:r w:rsidR="00A3241F" w:rsidRPr="002815F4">
        <w:rPr>
          <w:rFonts w:ascii="Calibri" w:hAnsi="Calibri"/>
          <w:bCs/>
        </w:rPr>
        <w:t xml:space="preserve"> and Teranga Gold) and three oil and gas industry MSG members (Cairn Energy, Fortesa and Petrosen). </w:t>
      </w:r>
      <w:r w:rsidR="002D36DC" w:rsidRPr="002815F4">
        <w:rPr>
          <w:rFonts w:ascii="Calibri" w:hAnsi="Calibri"/>
        </w:rPr>
        <w:t xml:space="preserve">There have been frequent public statements of support for EITI in speeches and corporate communications from some of the largest material companies operating in Senegal, including Kosmos Energy, Cairn Energy, Eramet, Teranga Gold and Mineral Deposits </w:t>
      </w:r>
      <w:sdt>
        <w:sdtPr>
          <w:rPr>
            <w:rFonts w:ascii="Calibri" w:hAnsi="Calibri"/>
          </w:rPr>
          <w:id w:val="1653105308"/>
          <w:citation/>
        </w:sdtPr>
        <w:sdtEndPr/>
        <w:sdtContent>
          <w:r w:rsidR="002D36DC" w:rsidRPr="002815F4">
            <w:rPr>
              <w:rFonts w:ascii="Calibri" w:hAnsi="Calibri"/>
            </w:rPr>
            <w:fldChar w:fldCharType="begin"/>
          </w:r>
          <w:r w:rsidR="002D36DC" w:rsidRPr="002815F4">
            <w:rPr>
              <w:rFonts w:ascii="Calibri" w:hAnsi="Calibri"/>
            </w:rPr>
            <w:instrText xml:space="preserve"> CITATION Kos16 \l 1033 </w:instrText>
          </w:r>
          <w:r w:rsidR="002D36DC" w:rsidRPr="002815F4">
            <w:rPr>
              <w:rFonts w:ascii="Calibri" w:hAnsi="Calibri"/>
            </w:rPr>
            <w:fldChar w:fldCharType="separate"/>
          </w:r>
          <w:r w:rsidR="003E626E" w:rsidRPr="002815F4">
            <w:rPr>
              <w:rFonts w:ascii="Calibri" w:hAnsi="Calibri"/>
              <w:noProof/>
            </w:rPr>
            <w:t>(Kosmos Energy , 2016)</w:t>
          </w:r>
          <w:r w:rsidR="002D36DC" w:rsidRPr="002815F4">
            <w:rPr>
              <w:rFonts w:ascii="Calibri" w:hAnsi="Calibri"/>
            </w:rPr>
            <w:fldChar w:fldCharType="end"/>
          </w:r>
        </w:sdtContent>
      </w:sdt>
      <w:r w:rsidR="002D36DC" w:rsidRPr="002815F4">
        <w:rPr>
          <w:rFonts w:ascii="Calibri" w:hAnsi="Calibri"/>
        </w:rPr>
        <w:t xml:space="preserve"> </w:t>
      </w:r>
      <w:sdt>
        <w:sdtPr>
          <w:rPr>
            <w:rFonts w:ascii="Calibri" w:hAnsi="Calibri"/>
          </w:rPr>
          <w:id w:val="-65350741"/>
          <w:citation/>
        </w:sdtPr>
        <w:sdtEndPr/>
        <w:sdtContent>
          <w:r w:rsidR="002D36DC" w:rsidRPr="002815F4">
            <w:rPr>
              <w:rFonts w:ascii="Calibri" w:hAnsi="Calibri"/>
            </w:rPr>
            <w:fldChar w:fldCharType="begin"/>
          </w:r>
          <w:r w:rsidR="002D36DC" w:rsidRPr="002815F4">
            <w:rPr>
              <w:rFonts w:ascii="Calibri" w:hAnsi="Calibri"/>
            </w:rPr>
            <w:instrText xml:space="preserve"> CITATION Cai15 \l 1033 </w:instrText>
          </w:r>
          <w:r w:rsidR="002D36DC" w:rsidRPr="002815F4">
            <w:rPr>
              <w:rFonts w:ascii="Calibri" w:hAnsi="Calibri"/>
            </w:rPr>
            <w:fldChar w:fldCharType="separate"/>
          </w:r>
          <w:r w:rsidR="003E626E" w:rsidRPr="002815F4">
            <w:rPr>
              <w:rFonts w:ascii="Calibri" w:hAnsi="Calibri"/>
              <w:noProof/>
            </w:rPr>
            <w:t>(Cairn Energy, 2015)</w:t>
          </w:r>
          <w:r w:rsidR="002D36DC" w:rsidRPr="002815F4">
            <w:rPr>
              <w:rFonts w:ascii="Calibri" w:hAnsi="Calibri"/>
            </w:rPr>
            <w:fldChar w:fldCharType="end"/>
          </w:r>
        </w:sdtContent>
      </w:sdt>
      <w:r w:rsidR="002D36DC" w:rsidRPr="002815F4">
        <w:rPr>
          <w:rFonts w:ascii="Calibri" w:hAnsi="Calibri"/>
        </w:rPr>
        <w:t xml:space="preserve"> </w:t>
      </w:r>
      <w:sdt>
        <w:sdtPr>
          <w:rPr>
            <w:rFonts w:ascii="Calibri" w:hAnsi="Calibri"/>
          </w:rPr>
          <w:id w:val="1506172077"/>
          <w:citation/>
        </w:sdtPr>
        <w:sdtEndPr/>
        <w:sdtContent>
          <w:r w:rsidR="002D36DC" w:rsidRPr="002815F4">
            <w:rPr>
              <w:rFonts w:ascii="Calibri" w:hAnsi="Calibri"/>
            </w:rPr>
            <w:fldChar w:fldCharType="begin"/>
          </w:r>
          <w:r w:rsidR="002D36DC" w:rsidRPr="002815F4">
            <w:rPr>
              <w:rFonts w:ascii="Calibri" w:hAnsi="Calibri"/>
            </w:rPr>
            <w:instrText xml:space="preserve"> CITATION ERA16 \l 1033 </w:instrText>
          </w:r>
          <w:r w:rsidR="002D36DC" w:rsidRPr="002815F4">
            <w:rPr>
              <w:rFonts w:ascii="Calibri" w:hAnsi="Calibri"/>
            </w:rPr>
            <w:fldChar w:fldCharType="separate"/>
          </w:r>
          <w:r w:rsidR="003E626E" w:rsidRPr="002815F4">
            <w:rPr>
              <w:rFonts w:ascii="Calibri" w:hAnsi="Calibri"/>
              <w:noProof/>
            </w:rPr>
            <w:t>(ERAMET, 2016)</w:t>
          </w:r>
          <w:r w:rsidR="002D36DC" w:rsidRPr="002815F4">
            <w:rPr>
              <w:rFonts w:ascii="Calibri" w:hAnsi="Calibri"/>
            </w:rPr>
            <w:fldChar w:fldCharType="end"/>
          </w:r>
        </w:sdtContent>
      </w:sdt>
      <w:r w:rsidR="002D36DC" w:rsidRPr="002815F4">
        <w:rPr>
          <w:rFonts w:ascii="Calibri" w:hAnsi="Calibri"/>
        </w:rPr>
        <w:t xml:space="preserve"> </w:t>
      </w:r>
      <w:sdt>
        <w:sdtPr>
          <w:rPr>
            <w:rFonts w:ascii="Calibri" w:hAnsi="Calibri"/>
          </w:rPr>
          <w:id w:val="-1717347546"/>
          <w:citation/>
        </w:sdtPr>
        <w:sdtEndPr/>
        <w:sdtContent>
          <w:r w:rsidR="002D36DC" w:rsidRPr="002815F4">
            <w:rPr>
              <w:rFonts w:ascii="Calibri" w:hAnsi="Calibri"/>
            </w:rPr>
            <w:fldChar w:fldCharType="begin"/>
          </w:r>
          <w:r w:rsidR="002D36DC" w:rsidRPr="002815F4">
            <w:rPr>
              <w:rFonts w:ascii="Calibri" w:hAnsi="Calibri"/>
            </w:rPr>
            <w:instrText xml:space="preserve"> CITATION Ter14 \l 1033 </w:instrText>
          </w:r>
          <w:r w:rsidR="002D36DC" w:rsidRPr="002815F4">
            <w:rPr>
              <w:rFonts w:ascii="Calibri" w:hAnsi="Calibri"/>
            </w:rPr>
            <w:fldChar w:fldCharType="separate"/>
          </w:r>
          <w:r w:rsidR="003E626E" w:rsidRPr="002815F4">
            <w:rPr>
              <w:rFonts w:ascii="Calibri" w:hAnsi="Calibri"/>
              <w:noProof/>
            </w:rPr>
            <w:t>(Teranga Gold, 2014)</w:t>
          </w:r>
          <w:r w:rsidR="002D36DC" w:rsidRPr="002815F4">
            <w:rPr>
              <w:rFonts w:ascii="Calibri" w:hAnsi="Calibri"/>
            </w:rPr>
            <w:fldChar w:fldCharType="end"/>
          </w:r>
        </w:sdtContent>
      </w:sdt>
      <w:r w:rsidR="002D36DC" w:rsidRPr="002815F4">
        <w:rPr>
          <w:rFonts w:ascii="Calibri" w:hAnsi="Calibri"/>
        </w:rPr>
        <w:t xml:space="preserve"> </w:t>
      </w:r>
      <w:sdt>
        <w:sdtPr>
          <w:rPr>
            <w:rFonts w:ascii="Calibri" w:hAnsi="Calibri"/>
          </w:rPr>
          <w:id w:val="-1529484430"/>
          <w:citation/>
        </w:sdtPr>
        <w:sdtEndPr/>
        <w:sdtContent>
          <w:r w:rsidR="002D36DC" w:rsidRPr="002815F4">
            <w:rPr>
              <w:rFonts w:ascii="Calibri" w:hAnsi="Calibri"/>
            </w:rPr>
            <w:fldChar w:fldCharType="begin"/>
          </w:r>
          <w:r w:rsidR="002D36DC" w:rsidRPr="002815F4">
            <w:rPr>
              <w:rFonts w:ascii="Calibri" w:hAnsi="Calibri"/>
            </w:rPr>
            <w:instrText xml:space="preserve"> CITATION Min163 \l 1033 </w:instrText>
          </w:r>
          <w:r w:rsidR="002D36DC" w:rsidRPr="002815F4">
            <w:rPr>
              <w:rFonts w:ascii="Calibri" w:hAnsi="Calibri"/>
            </w:rPr>
            <w:fldChar w:fldCharType="separate"/>
          </w:r>
          <w:r w:rsidR="003E626E" w:rsidRPr="002815F4">
            <w:rPr>
              <w:rFonts w:ascii="Calibri" w:hAnsi="Calibri"/>
              <w:noProof/>
            </w:rPr>
            <w:t>(Mineral Deposits, 2016)</w:t>
          </w:r>
          <w:r w:rsidR="002D36DC" w:rsidRPr="002815F4">
            <w:rPr>
              <w:rFonts w:ascii="Calibri" w:hAnsi="Calibri"/>
            </w:rPr>
            <w:fldChar w:fldCharType="end"/>
          </w:r>
        </w:sdtContent>
      </w:sdt>
      <w:r w:rsidR="002D36DC" w:rsidRPr="002815F4">
        <w:rPr>
          <w:rFonts w:ascii="Calibri" w:hAnsi="Calibri"/>
        </w:rPr>
        <w:t>. Senegal’s EITI implementation is regularly cited in Senegal’s Eurobond prospectuses (e.g. in 2014 and 2017) and has been positively received by credit ratings agencies like Moody’s</w:t>
      </w:r>
      <w:sdt>
        <w:sdtPr>
          <w:rPr>
            <w:rFonts w:ascii="Calibri" w:hAnsi="Calibri"/>
          </w:rPr>
          <w:id w:val="1886363527"/>
          <w:citation/>
        </w:sdtPr>
        <w:sdtEndPr/>
        <w:sdtContent>
          <w:r w:rsidR="002D36DC" w:rsidRPr="002815F4">
            <w:rPr>
              <w:rFonts w:ascii="Calibri" w:hAnsi="Calibri"/>
            </w:rPr>
            <w:fldChar w:fldCharType="begin"/>
          </w:r>
          <w:r w:rsidR="002D36DC" w:rsidRPr="002815F4">
            <w:rPr>
              <w:rFonts w:ascii="Calibri" w:hAnsi="Calibri"/>
            </w:rPr>
            <w:instrText xml:space="preserve"> CITATION Rep14 \l 1033 </w:instrText>
          </w:r>
          <w:r w:rsidR="002D36DC" w:rsidRPr="002815F4">
            <w:rPr>
              <w:rFonts w:ascii="Calibri" w:hAnsi="Calibri"/>
            </w:rPr>
            <w:fldChar w:fldCharType="separate"/>
          </w:r>
          <w:r w:rsidR="003E626E" w:rsidRPr="002815F4">
            <w:rPr>
              <w:rFonts w:ascii="Calibri" w:hAnsi="Calibri"/>
              <w:noProof/>
            </w:rPr>
            <w:t xml:space="preserve"> (Republic of Senegal, 2014)</w:t>
          </w:r>
          <w:r w:rsidR="002D36DC" w:rsidRPr="002815F4">
            <w:rPr>
              <w:rFonts w:ascii="Calibri" w:hAnsi="Calibri"/>
            </w:rPr>
            <w:fldChar w:fldCharType="end"/>
          </w:r>
        </w:sdtContent>
      </w:sdt>
      <w:sdt>
        <w:sdtPr>
          <w:rPr>
            <w:rFonts w:ascii="Calibri" w:hAnsi="Calibri"/>
          </w:rPr>
          <w:id w:val="-2073041599"/>
          <w:citation/>
        </w:sdtPr>
        <w:sdtEndPr/>
        <w:sdtContent>
          <w:r w:rsidR="002D36DC" w:rsidRPr="002815F4">
            <w:rPr>
              <w:rFonts w:ascii="Calibri" w:hAnsi="Calibri"/>
            </w:rPr>
            <w:fldChar w:fldCharType="begin"/>
          </w:r>
          <w:r w:rsidR="002D36DC" w:rsidRPr="002815F4">
            <w:rPr>
              <w:rFonts w:ascii="Calibri" w:hAnsi="Calibri"/>
            </w:rPr>
            <w:instrText xml:space="preserve"> CITATION Moo13 \l 1033 </w:instrText>
          </w:r>
          <w:r w:rsidR="002D36DC" w:rsidRPr="002815F4">
            <w:rPr>
              <w:rFonts w:ascii="Calibri" w:hAnsi="Calibri"/>
            </w:rPr>
            <w:fldChar w:fldCharType="separate"/>
          </w:r>
          <w:r w:rsidR="003E626E" w:rsidRPr="002815F4">
            <w:rPr>
              <w:rFonts w:ascii="Calibri" w:hAnsi="Calibri"/>
              <w:noProof/>
            </w:rPr>
            <w:t xml:space="preserve"> (Moody's, 2013)</w:t>
          </w:r>
          <w:r w:rsidR="002D36DC" w:rsidRPr="002815F4">
            <w:rPr>
              <w:rFonts w:ascii="Calibri" w:hAnsi="Calibri"/>
            </w:rPr>
            <w:fldChar w:fldCharType="end"/>
          </w:r>
        </w:sdtContent>
      </w:sdt>
      <w:r w:rsidR="002D36DC" w:rsidRPr="002815F4">
        <w:rPr>
          <w:rFonts w:ascii="Calibri" w:hAnsi="Calibri"/>
        </w:rPr>
        <w:t xml:space="preserve"> </w:t>
      </w:r>
      <w:sdt>
        <w:sdtPr>
          <w:rPr>
            <w:rFonts w:ascii="Calibri" w:hAnsi="Calibri"/>
          </w:rPr>
          <w:id w:val="1443881682"/>
          <w:citation/>
        </w:sdtPr>
        <w:sdtEndPr/>
        <w:sdtContent>
          <w:r w:rsidR="002D36DC" w:rsidRPr="002815F4">
            <w:rPr>
              <w:rFonts w:ascii="Calibri" w:hAnsi="Calibri"/>
            </w:rPr>
            <w:fldChar w:fldCharType="begin"/>
          </w:r>
          <w:r w:rsidR="002D36DC" w:rsidRPr="002815F4">
            <w:rPr>
              <w:rFonts w:ascii="Calibri" w:hAnsi="Calibri"/>
            </w:rPr>
            <w:instrText xml:space="preserve"> CITATION Wor14 \l 1033 </w:instrText>
          </w:r>
          <w:r w:rsidR="002D36DC" w:rsidRPr="002815F4">
            <w:rPr>
              <w:rFonts w:ascii="Calibri" w:hAnsi="Calibri"/>
            </w:rPr>
            <w:fldChar w:fldCharType="separate"/>
          </w:r>
          <w:r w:rsidR="003E626E" w:rsidRPr="002815F4">
            <w:rPr>
              <w:rFonts w:ascii="Calibri" w:hAnsi="Calibri"/>
              <w:noProof/>
            </w:rPr>
            <w:t>(World Bank, 2014)</w:t>
          </w:r>
          <w:r w:rsidR="002D36DC" w:rsidRPr="002815F4">
            <w:rPr>
              <w:rFonts w:ascii="Calibri" w:hAnsi="Calibri"/>
            </w:rPr>
            <w:fldChar w:fldCharType="end"/>
          </w:r>
        </w:sdtContent>
      </w:sdt>
      <w:r w:rsidR="002D36DC" w:rsidRPr="002815F4">
        <w:rPr>
          <w:rFonts w:ascii="Calibri" w:hAnsi="Calibri"/>
        </w:rPr>
        <w:t xml:space="preserve"> </w:t>
      </w:r>
      <w:sdt>
        <w:sdtPr>
          <w:rPr>
            <w:rFonts w:ascii="Calibri" w:hAnsi="Calibri"/>
          </w:rPr>
          <w:id w:val="487221342"/>
          <w:citation/>
        </w:sdtPr>
        <w:sdtEndPr/>
        <w:sdtContent>
          <w:r w:rsidR="002D36DC" w:rsidRPr="002815F4">
            <w:rPr>
              <w:rFonts w:ascii="Calibri" w:hAnsi="Calibri"/>
            </w:rPr>
            <w:fldChar w:fldCharType="begin"/>
          </w:r>
          <w:r w:rsidR="002D36DC" w:rsidRPr="002815F4">
            <w:rPr>
              <w:rFonts w:ascii="Calibri" w:hAnsi="Calibri"/>
            </w:rPr>
            <w:instrText xml:space="preserve"> CITATION Rep171 \l 1033 </w:instrText>
          </w:r>
          <w:r w:rsidR="002D36DC" w:rsidRPr="002815F4">
            <w:rPr>
              <w:rFonts w:ascii="Calibri" w:hAnsi="Calibri"/>
            </w:rPr>
            <w:fldChar w:fldCharType="separate"/>
          </w:r>
          <w:r w:rsidR="003E626E" w:rsidRPr="002815F4">
            <w:rPr>
              <w:rFonts w:ascii="Calibri" w:hAnsi="Calibri"/>
              <w:noProof/>
            </w:rPr>
            <w:t>(Republic of Senegal, 2017)</w:t>
          </w:r>
          <w:r w:rsidR="002D36DC" w:rsidRPr="002815F4">
            <w:rPr>
              <w:rFonts w:ascii="Calibri" w:hAnsi="Calibri"/>
            </w:rPr>
            <w:fldChar w:fldCharType="end"/>
          </w:r>
        </w:sdtContent>
      </w:sdt>
      <w:r w:rsidR="002D36DC" w:rsidRPr="002815F4">
        <w:rPr>
          <w:rFonts w:ascii="Calibri" w:hAnsi="Calibri"/>
        </w:rPr>
        <w:t xml:space="preserve">. </w:t>
      </w:r>
      <w:r w:rsidR="002D36DC" w:rsidRPr="002815F4">
        <w:rPr>
          <w:rFonts w:ascii="Calibri" w:hAnsi="Calibri"/>
        </w:rPr>
        <w:lastRenderedPageBreak/>
        <w:t>Of high importance for companies operating in Senegal, Moody’s assessment is worth quoting:</w:t>
      </w:r>
    </w:p>
    <w:p w14:paraId="7426DF98" w14:textId="0036ECFD" w:rsidR="002D36DC" w:rsidRPr="002815F4" w:rsidRDefault="002D36DC" w:rsidP="002D36DC">
      <w:pPr>
        <w:spacing w:before="120"/>
        <w:ind w:left="720"/>
        <w:rPr>
          <w:rFonts w:ascii="Calibri" w:hAnsi="Calibri"/>
          <w:sz w:val="20"/>
          <w:szCs w:val="20"/>
        </w:rPr>
      </w:pPr>
      <w:commentRangeStart w:id="94"/>
      <w:r w:rsidRPr="002815F4">
        <w:rPr>
          <w:rFonts w:ascii="Calibri" w:hAnsi="Calibri"/>
          <w:sz w:val="20"/>
          <w:szCs w:val="20"/>
        </w:rPr>
        <w:t xml:space="preserve">“[Senegal’s EITI candidacy] is credit positive because it reinforces Senegal's commitment to improve transparency and governance, strengthens the predictability of the operating environment in the extractive sector, and promotes exploitation of the country's resources, all of which will support the country's future growth prospects and the government's creditworthiness. Adopting EITI standards will provide a more predictable operating environment in the natural resources sector.” </w:t>
      </w:r>
      <w:sdt>
        <w:sdtPr>
          <w:rPr>
            <w:rFonts w:ascii="Calibri" w:hAnsi="Calibri"/>
            <w:sz w:val="20"/>
            <w:szCs w:val="20"/>
          </w:rPr>
          <w:id w:val="1526202027"/>
          <w:citation/>
        </w:sdtPr>
        <w:sdtEndPr/>
        <w:sdtContent>
          <w:r w:rsidRPr="002815F4">
            <w:rPr>
              <w:rFonts w:ascii="Calibri" w:hAnsi="Calibri"/>
              <w:sz w:val="20"/>
              <w:szCs w:val="20"/>
            </w:rPr>
            <w:fldChar w:fldCharType="begin"/>
          </w:r>
          <w:r w:rsidRPr="002815F4">
            <w:rPr>
              <w:rFonts w:ascii="Calibri" w:hAnsi="Calibri"/>
              <w:sz w:val="20"/>
              <w:szCs w:val="20"/>
            </w:rPr>
            <w:instrText xml:space="preserve"> CITATION Moo13 \l 1033 </w:instrText>
          </w:r>
          <w:r w:rsidRPr="002815F4">
            <w:rPr>
              <w:rFonts w:ascii="Calibri" w:hAnsi="Calibri"/>
              <w:sz w:val="20"/>
              <w:szCs w:val="20"/>
            </w:rPr>
            <w:fldChar w:fldCharType="separate"/>
          </w:r>
          <w:r w:rsidR="003E626E" w:rsidRPr="002815F4">
            <w:rPr>
              <w:rFonts w:ascii="Calibri" w:hAnsi="Calibri"/>
              <w:noProof/>
              <w:sz w:val="20"/>
              <w:szCs w:val="20"/>
            </w:rPr>
            <w:t>(Moody's, 2013)</w:t>
          </w:r>
          <w:r w:rsidRPr="002815F4">
            <w:rPr>
              <w:rFonts w:ascii="Calibri" w:hAnsi="Calibri"/>
              <w:sz w:val="20"/>
              <w:szCs w:val="20"/>
            </w:rPr>
            <w:fldChar w:fldCharType="end"/>
          </w:r>
        </w:sdtContent>
      </w:sdt>
      <w:commentRangeEnd w:id="94"/>
      <w:r w:rsidR="003C01E6">
        <w:rPr>
          <w:rStyle w:val="CommentReference"/>
          <w:szCs w:val="20"/>
        </w:rPr>
        <w:commentReference w:id="94"/>
      </w:r>
    </w:p>
    <w:p w14:paraId="3FD7B59E" w14:textId="1B68FB13" w:rsidR="002D36DC" w:rsidRPr="002815F4" w:rsidRDefault="002D36DC" w:rsidP="002D36DC">
      <w:pPr>
        <w:spacing w:before="120"/>
        <w:rPr>
          <w:rFonts w:ascii="Calibri" w:hAnsi="Calibri"/>
        </w:rPr>
      </w:pPr>
      <w:r w:rsidRPr="002815F4">
        <w:rPr>
          <w:rFonts w:ascii="Calibri" w:hAnsi="Calibri"/>
        </w:rPr>
        <w:t xml:space="preserve">At a time of </w:t>
      </w:r>
      <w:r w:rsidR="000E2413">
        <w:rPr>
          <w:rFonts w:ascii="Calibri" w:hAnsi="Calibri"/>
        </w:rPr>
        <w:t>discoveries</w:t>
      </w:r>
      <w:r w:rsidRPr="002815F4">
        <w:rPr>
          <w:rFonts w:ascii="Calibri" w:hAnsi="Calibri"/>
        </w:rPr>
        <w:t xml:space="preserve"> in Senegal’s oil and gas industry, the EITI Senegal’s initial focus on the mining sector was swiftly broadened to oil and gas companies. Companies have used EITI data extensively to communicate their total contribution to host communities </w:t>
      </w:r>
      <w:sdt>
        <w:sdtPr>
          <w:rPr>
            <w:rFonts w:ascii="Calibri" w:hAnsi="Calibri"/>
          </w:rPr>
          <w:id w:val="1684938473"/>
          <w:citation/>
        </w:sdtPr>
        <w:sdtEndPr/>
        <w:sdtContent>
          <w:r w:rsidRPr="002815F4">
            <w:rPr>
              <w:rFonts w:ascii="Calibri" w:hAnsi="Calibri"/>
            </w:rPr>
            <w:fldChar w:fldCharType="begin"/>
          </w:r>
          <w:r w:rsidRPr="002815F4">
            <w:rPr>
              <w:rFonts w:ascii="Calibri" w:hAnsi="Calibri"/>
            </w:rPr>
            <w:instrText xml:space="preserve"> CITATION ITI1528 \l 1033 </w:instrText>
          </w:r>
          <w:r w:rsidRPr="002815F4">
            <w:rPr>
              <w:rFonts w:ascii="Calibri" w:hAnsi="Calibri"/>
            </w:rPr>
            <w:fldChar w:fldCharType="separate"/>
          </w:r>
          <w:r w:rsidR="003E626E" w:rsidRPr="002815F4">
            <w:rPr>
              <w:rFonts w:ascii="Calibri" w:hAnsi="Calibri"/>
              <w:noProof/>
            </w:rPr>
            <w:t>(ITIE Senegal, 2015)</w:t>
          </w:r>
          <w:r w:rsidRPr="002815F4">
            <w:rPr>
              <w:rFonts w:ascii="Calibri" w:hAnsi="Calibri"/>
            </w:rPr>
            <w:fldChar w:fldCharType="end"/>
          </w:r>
        </w:sdtContent>
      </w:sdt>
      <w:r w:rsidRPr="002815F4">
        <w:rPr>
          <w:rFonts w:ascii="Calibri" w:hAnsi="Calibri"/>
        </w:rPr>
        <w:t xml:space="preserve">. There is evidence of investor attention critical of the gaps in company reporting in the first EITI Report (2013) </w:t>
      </w:r>
      <w:sdt>
        <w:sdtPr>
          <w:rPr>
            <w:rFonts w:ascii="Calibri" w:hAnsi="Calibri"/>
          </w:rPr>
          <w:id w:val="265659473"/>
          <w:citation/>
        </w:sdtPr>
        <w:sdtEndPr/>
        <w:sdtContent>
          <w:r w:rsidRPr="002815F4">
            <w:rPr>
              <w:rFonts w:ascii="Calibri" w:hAnsi="Calibri"/>
            </w:rPr>
            <w:fldChar w:fldCharType="begin"/>
          </w:r>
          <w:r w:rsidRPr="002815F4">
            <w:rPr>
              <w:rFonts w:ascii="Calibri" w:hAnsi="Calibri"/>
            </w:rPr>
            <w:instrText xml:space="preserve"> CITATION Gra16 \l 1033 </w:instrText>
          </w:r>
          <w:r w:rsidRPr="002815F4">
            <w:rPr>
              <w:rFonts w:ascii="Calibri" w:hAnsi="Calibri"/>
            </w:rPr>
            <w:fldChar w:fldCharType="separate"/>
          </w:r>
          <w:r w:rsidR="003E626E" w:rsidRPr="002815F4">
            <w:rPr>
              <w:rFonts w:ascii="Calibri" w:hAnsi="Calibri"/>
              <w:noProof/>
            </w:rPr>
            <w:t>(Grant Thornton, 2016)</w:t>
          </w:r>
          <w:r w:rsidRPr="002815F4">
            <w:rPr>
              <w:rFonts w:ascii="Calibri" w:hAnsi="Calibri"/>
            </w:rPr>
            <w:fldChar w:fldCharType="end"/>
          </w:r>
        </w:sdtContent>
      </w:sdt>
      <w:r w:rsidRPr="002815F4">
        <w:rPr>
          <w:rFonts w:ascii="Calibri" w:hAnsi="Calibri"/>
        </w:rPr>
        <w:t>. However, industry participation in EITI reporting improved markedly from the 2013 to the 2014 EITI Reports</w:t>
      </w:r>
      <w:r w:rsidR="000E2413">
        <w:rPr>
          <w:rFonts w:ascii="Calibri" w:hAnsi="Calibri"/>
        </w:rPr>
        <w:t>:</w:t>
      </w:r>
      <w:r w:rsidRPr="002815F4">
        <w:rPr>
          <w:rFonts w:ascii="Calibri" w:hAnsi="Calibri"/>
        </w:rPr>
        <w:t xml:space="preserve"> </w:t>
      </w:r>
      <w:r w:rsidR="000E2413">
        <w:rPr>
          <w:rFonts w:ascii="Calibri" w:hAnsi="Calibri"/>
        </w:rPr>
        <w:t>only s</w:t>
      </w:r>
      <w:r w:rsidRPr="002815F4">
        <w:rPr>
          <w:rFonts w:ascii="Calibri" w:hAnsi="Calibri"/>
        </w:rPr>
        <w:t xml:space="preserve">ix of the ten material companies in oil and gas and five in mining did not report in the 2013 EITI Report, meaning only 24 of the 35 material companies (out of 146 in total) reported </w:t>
      </w:r>
      <w:sdt>
        <w:sdtPr>
          <w:rPr>
            <w:rFonts w:ascii="Calibri" w:hAnsi="Calibri"/>
          </w:rPr>
          <w:id w:val="-1179661172"/>
          <w:citation/>
        </w:sdtPr>
        <w:sdtEndPr/>
        <w:sdtContent>
          <w:r w:rsidRPr="002815F4">
            <w:rPr>
              <w:rFonts w:ascii="Calibri" w:hAnsi="Calibri"/>
            </w:rPr>
            <w:fldChar w:fldCharType="begin"/>
          </w:r>
          <w:r w:rsidRPr="002815F4">
            <w:rPr>
              <w:rFonts w:ascii="Calibri" w:hAnsi="Calibri"/>
            </w:rPr>
            <w:instrText xml:space="preserve"> CITATION ITI159 \l 1033 </w:instrText>
          </w:r>
          <w:r w:rsidRPr="002815F4">
            <w:rPr>
              <w:rFonts w:ascii="Calibri" w:hAnsi="Calibri"/>
            </w:rPr>
            <w:fldChar w:fldCharType="separate"/>
          </w:r>
          <w:r w:rsidR="003E626E" w:rsidRPr="002815F4">
            <w:rPr>
              <w:rFonts w:ascii="Calibri" w:hAnsi="Calibri"/>
              <w:noProof/>
            </w:rPr>
            <w:t>(ITIE Senegal, 2015)</w:t>
          </w:r>
          <w:r w:rsidRPr="002815F4">
            <w:rPr>
              <w:rFonts w:ascii="Calibri" w:hAnsi="Calibri"/>
            </w:rPr>
            <w:fldChar w:fldCharType="end"/>
          </w:r>
        </w:sdtContent>
      </w:sdt>
      <w:r w:rsidRPr="002815F4">
        <w:rPr>
          <w:rFonts w:ascii="Calibri" w:hAnsi="Calibri"/>
        </w:rPr>
        <w:t xml:space="preserve">. In contrast, all material companies participated in the 2014 EITI Report, even if one small company did not provide the required quality assurance </w:t>
      </w:r>
      <w:sdt>
        <w:sdtPr>
          <w:rPr>
            <w:rFonts w:ascii="Calibri" w:hAnsi="Calibri"/>
          </w:rPr>
          <w:id w:val="1487197496"/>
          <w:citation/>
        </w:sdtPr>
        <w:sdtEndPr/>
        <w:sdtContent>
          <w:r w:rsidRPr="002815F4">
            <w:rPr>
              <w:rFonts w:ascii="Calibri" w:hAnsi="Calibri"/>
            </w:rPr>
            <w:fldChar w:fldCharType="begin"/>
          </w:r>
          <w:r w:rsidRPr="002815F4">
            <w:rPr>
              <w:rFonts w:ascii="Calibri" w:hAnsi="Calibri"/>
            </w:rPr>
            <w:instrText xml:space="preserve"> CITATION ITI1610 \l 1033 </w:instrText>
          </w:r>
          <w:r w:rsidRPr="002815F4">
            <w:rPr>
              <w:rFonts w:ascii="Calibri" w:hAnsi="Calibri"/>
            </w:rPr>
            <w:fldChar w:fldCharType="separate"/>
          </w:r>
          <w:r w:rsidR="003E626E" w:rsidRPr="002815F4">
            <w:rPr>
              <w:rFonts w:ascii="Calibri" w:hAnsi="Calibri"/>
              <w:noProof/>
            </w:rPr>
            <w:t>(ITIE Senegal, 2016)</w:t>
          </w:r>
          <w:r w:rsidRPr="002815F4">
            <w:rPr>
              <w:rFonts w:ascii="Calibri" w:hAnsi="Calibri"/>
            </w:rPr>
            <w:fldChar w:fldCharType="end"/>
          </w:r>
        </w:sdtContent>
      </w:sdt>
      <w:r w:rsidRPr="002815F4">
        <w:rPr>
          <w:rFonts w:ascii="Calibri" w:hAnsi="Calibri"/>
        </w:rPr>
        <w:t xml:space="preserve">. </w:t>
      </w:r>
    </w:p>
    <w:p w14:paraId="1BD8FF90" w14:textId="44667C13" w:rsidR="00FB597F" w:rsidRPr="002815F4" w:rsidRDefault="002929E0" w:rsidP="00026365">
      <w:pPr>
        <w:tabs>
          <w:tab w:val="left" w:pos="3409"/>
        </w:tabs>
        <w:spacing w:before="120"/>
        <w:rPr>
          <w:rFonts w:ascii="Calibri" w:hAnsi="Calibri"/>
        </w:rPr>
      </w:pPr>
      <w:r w:rsidRPr="002815F4">
        <w:rPr>
          <w:rFonts w:ascii="Calibri" w:hAnsi="Calibri"/>
          <w:i/>
          <w:u w:val="single"/>
        </w:rPr>
        <w:t>Enabling environment</w:t>
      </w:r>
      <w:r w:rsidRPr="002815F4">
        <w:rPr>
          <w:rFonts w:ascii="Calibri" w:hAnsi="Calibri"/>
        </w:rPr>
        <w:t xml:space="preserve">: </w:t>
      </w:r>
      <w:r w:rsidR="00D9520E" w:rsidRPr="002815F4">
        <w:rPr>
          <w:rFonts w:ascii="Calibri" w:hAnsi="Calibri"/>
        </w:rPr>
        <w:t xml:space="preserve">The government has issued executive decrees and enacted legislative changes to support EITI implementation in Senegal. </w:t>
      </w:r>
      <w:r w:rsidR="000C23C8" w:rsidRPr="002815F4">
        <w:rPr>
          <w:rFonts w:ascii="Calibri" w:hAnsi="Calibri"/>
        </w:rPr>
        <w:t xml:space="preserve">Decrees 2013-881 and 2013-887 of 20 June 2013 establish the EITI in Senegal and appoint a senior government lead, Prof. Fall, for EITI implementation. Article 95 of the new Mining Code, enacted through Law 2016-32 of 8 November 2016, require all mining license-holders to participate in EITI reporting </w:t>
      </w:r>
      <w:r w:rsidR="00E12EB4" w:rsidRPr="002815F4">
        <w:rPr>
          <w:rFonts w:ascii="Calibri" w:hAnsi="Calibri"/>
        </w:rPr>
        <w:t xml:space="preserve">and that all EITI reporting be based on competent audits </w:t>
      </w:r>
      <w:sdt>
        <w:sdtPr>
          <w:rPr>
            <w:rFonts w:ascii="Calibri" w:hAnsi="Calibri"/>
          </w:rPr>
          <w:id w:val="-1488233600"/>
          <w:citation/>
        </w:sdtPr>
        <w:sdtEndPr/>
        <w:sdtContent>
          <w:r w:rsidR="000C23C8" w:rsidRPr="002815F4">
            <w:rPr>
              <w:rFonts w:ascii="Calibri" w:hAnsi="Calibri"/>
            </w:rPr>
            <w:fldChar w:fldCharType="begin"/>
          </w:r>
          <w:r w:rsidR="000C23C8" w:rsidRPr="002815F4">
            <w:rPr>
              <w:rFonts w:ascii="Calibri" w:hAnsi="Calibri"/>
            </w:rPr>
            <w:instrText xml:space="preserve"> CITATION Rép16 \l 1033 </w:instrText>
          </w:r>
          <w:r w:rsidR="000C23C8" w:rsidRPr="002815F4">
            <w:rPr>
              <w:rFonts w:ascii="Calibri" w:hAnsi="Calibri"/>
            </w:rPr>
            <w:fldChar w:fldCharType="separate"/>
          </w:r>
          <w:r w:rsidR="003E626E" w:rsidRPr="002815F4">
            <w:rPr>
              <w:rFonts w:ascii="Calibri" w:hAnsi="Calibri"/>
              <w:noProof/>
            </w:rPr>
            <w:t>(République du Senegal, 2016)</w:t>
          </w:r>
          <w:r w:rsidR="000C23C8" w:rsidRPr="002815F4">
            <w:rPr>
              <w:rFonts w:ascii="Calibri" w:hAnsi="Calibri"/>
            </w:rPr>
            <w:fldChar w:fldCharType="end"/>
          </w:r>
        </w:sdtContent>
      </w:sdt>
      <w:r w:rsidR="00E12EB4" w:rsidRPr="002815F4">
        <w:rPr>
          <w:rFonts w:ascii="Calibri" w:hAnsi="Calibri"/>
          <w:bCs/>
        </w:rPr>
        <w:t xml:space="preserve"> </w:t>
      </w:r>
      <w:sdt>
        <w:sdtPr>
          <w:rPr>
            <w:rFonts w:ascii="Calibri" w:hAnsi="Calibri"/>
            <w:bCs/>
          </w:rPr>
          <w:id w:val="423693805"/>
          <w:citation/>
        </w:sdtPr>
        <w:sdtEndPr/>
        <w:sdtContent>
          <w:r w:rsidR="00E12EB4" w:rsidRPr="002815F4">
            <w:rPr>
              <w:rFonts w:ascii="Calibri" w:hAnsi="Calibri"/>
              <w:bCs/>
            </w:rPr>
            <w:fldChar w:fldCharType="begin"/>
          </w:r>
          <w:r w:rsidR="00E12EB4" w:rsidRPr="002815F4">
            <w:rPr>
              <w:rFonts w:ascii="Calibri" w:hAnsi="Calibri"/>
              <w:bCs/>
            </w:rPr>
            <w:instrText xml:space="preserve"> CITATION ITI1628 \l 1033 </w:instrText>
          </w:r>
          <w:r w:rsidR="00E12EB4" w:rsidRPr="002815F4">
            <w:rPr>
              <w:rFonts w:ascii="Calibri" w:hAnsi="Calibri"/>
              <w:bCs/>
            </w:rPr>
            <w:fldChar w:fldCharType="separate"/>
          </w:r>
          <w:r w:rsidR="003E626E" w:rsidRPr="002815F4">
            <w:rPr>
              <w:rFonts w:ascii="Calibri" w:hAnsi="Calibri"/>
              <w:noProof/>
            </w:rPr>
            <w:t>(ITIE Senegal, 2016)</w:t>
          </w:r>
          <w:r w:rsidR="00E12EB4" w:rsidRPr="002815F4">
            <w:rPr>
              <w:rFonts w:ascii="Calibri" w:hAnsi="Calibri"/>
              <w:bCs/>
            </w:rPr>
            <w:fldChar w:fldCharType="end"/>
          </w:r>
        </w:sdtContent>
      </w:sdt>
      <w:r w:rsidR="00E12EB4" w:rsidRPr="002815F4">
        <w:rPr>
          <w:rFonts w:ascii="Calibri" w:hAnsi="Calibri"/>
          <w:bCs/>
        </w:rPr>
        <w:t xml:space="preserve">. In addition, the Mining Code empowers the government to appoint independent companies to audit mining companies’ accounts, facilities, infrastructure and procedures and requires the publication of all payments to the state through publicly-available statements </w:t>
      </w:r>
      <w:sdt>
        <w:sdtPr>
          <w:rPr>
            <w:rFonts w:ascii="Calibri" w:hAnsi="Calibri"/>
            <w:bCs/>
          </w:rPr>
          <w:id w:val="275608131"/>
          <w:citation/>
        </w:sdtPr>
        <w:sdtEndPr/>
        <w:sdtContent>
          <w:r w:rsidR="00E12EB4" w:rsidRPr="002815F4">
            <w:rPr>
              <w:rFonts w:ascii="Calibri" w:hAnsi="Calibri"/>
              <w:bCs/>
            </w:rPr>
            <w:fldChar w:fldCharType="begin"/>
          </w:r>
          <w:r w:rsidR="00E12EB4" w:rsidRPr="002815F4">
            <w:rPr>
              <w:rFonts w:ascii="Calibri" w:hAnsi="Calibri"/>
              <w:bCs/>
            </w:rPr>
            <w:instrText xml:space="preserve"> CITATION DLA16 \l 1033 </w:instrText>
          </w:r>
          <w:r w:rsidR="00E12EB4" w:rsidRPr="002815F4">
            <w:rPr>
              <w:rFonts w:ascii="Calibri" w:hAnsi="Calibri"/>
              <w:bCs/>
            </w:rPr>
            <w:fldChar w:fldCharType="separate"/>
          </w:r>
          <w:r w:rsidR="003E626E" w:rsidRPr="002815F4">
            <w:rPr>
              <w:rFonts w:ascii="Calibri" w:hAnsi="Calibri"/>
              <w:noProof/>
            </w:rPr>
            <w:t>(DLA Piper, 2016)</w:t>
          </w:r>
          <w:r w:rsidR="00E12EB4" w:rsidRPr="002815F4">
            <w:rPr>
              <w:rFonts w:ascii="Calibri" w:hAnsi="Calibri"/>
              <w:bCs/>
            </w:rPr>
            <w:fldChar w:fldCharType="end"/>
          </w:r>
        </w:sdtContent>
      </w:sdt>
      <w:r w:rsidR="00E12EB4" w:rsidRPr="002815F4">
        <w:rPr>
          <w:rFonts w:ascii="Calibri" w:hAnsi="Calibri"/>
          <w:bCs/>
        </w:rPr>
        <w:t xml:space="preserve"> </w:t>
      </w:r>
      <w:sdt>
        <w:sdtPr>
          <w:rPr>
            <w:rFonts w:ascii="Calibri" w:hAnsi="Calibri"/>
            <w:bCs/>
          </w:rPr>
          <w:id w:val="-665086304"/>
          <w:citation/>
        </w:sdtPr>
        <w:sdtEndPr/>
        <w:sdtContent>
          <w:r w:rsidR="00E12EB4" w:rsidRPr="002815F4">
            <w:rPr>
              <w:rFonts w:ascii="Calibri" w:hAnsi="Calibri"/>
              <w:bCs/>
            </w:rPr>
            <w:fldChar w:fldCharType="begin"/>
          </w:r>
          <w:r w:rsidR="00E12EB4" w:rsidRPr="002815F4">
            <w:rPr>
              <w:rFonts w:ascii="Calibri" w:hAnsi="Calibri"/>
              <w:bCs/>
            </w:rPr>
            <w:instrText xml:space="preserve"> CITATION May16 \l 1033 </w:instrText>
          </w:r>
          <w:r w:rsidR="00E12EB4" w:rsidRPr="002815F4">
            <w:rPr>
              <w:rFonts w:ascii="Calibri" w:hAnsi="Calibri"/>
              <w:bCs/>
            </w:rPr>
            <w:fldChar w:fldCharType="separate"/>
          </w:r>
          <w:r w:rsidR="003E626E" w:rsidRPr="002815F4">
            <w:rPr>
              <w:rFonts w:ascii="Calibri" w:hAnsi="Calibri"/>
              <w:noProof/>
            </w:rPr>
            <w:t>(Mayer Brown, 2016)</w:t>
          </w:r>
          <w:r w:rsidR="00E12EB4" w:rsidRPr="002815F4">
            <w:rPr>
              <w:rFonts w:ascii="Calibri" w:hAnsi="Calibri"/>
              <w:bCs/>
            </w:rPr>
            <w:fldChar w:fldCharType="end"/>
          </w:r>
        </w:sdtContent>
      </w:sdt>
      <w:r w:rsidR="00E12EB4" w:rsidRPr="002815F4">
        <w:rPr>
          <w:rFonts w:ascii="Calibri" w:hAnsi="Calibri"/>
          <w:bCs/>
        </w:rPr>
        <w:t xml:space="preserve">. </w:t>
      </w:r>
      <w:r w:rsidR="00EB2C15" w:rsidRPr="002815F4">
        <w:rPr>
          <w:rFonts w:ascii="Calibri" w:hAnsi="Calibri"/>
          <w:bCs/>
        </w:rPr>
        <w:t xml:space="preserve">The government plans to revise Senegal’s 1998 Hydrocarbons Code in 2017 and is likely to include EITI-related provisions in such legislative reforms </w:t>
      </w:r>
      <w:sdt>
        <w:sdtPr>
          <w:rPr>
            <w:rFonts w:ascii="Calibri" w:hAnsi="Calibri"/>
            <w:bCs/>
          </w:rPr>
          <w:id w:val="-1475985711"/>
          <w:citation/>
        </w:sdtPr>
        <w:sdtEndPr/>
        <w:sdtContent>
          <w:r w:rsidR="00EB2C15" w:rsidRPr="002815F4">
            <w:rPr>
              <w:rFonts w:ascii="Calibri" w:hAnsi="Calibri"/>
              <w:bCs/>
            </w:rPr>
            <w:fldChar w:fldCharType="begin"/>
          </w:r>
          <w:r w:rsidR="00EB2C15" w:rsidRPr="002815F4">
            <w:rPr>
              <w:rFonts w:ascii="Calibri" w:hAnsi="Calibri"/>
              <w:bCs/>
            </w:rPr>
            <w:instrText xml:space="preserve"> CITATION LeQ162 \l 1033 </w:instrText>
          </w:r>
          <w:r w:rsidR="00EB2C15" w:rsidRPr="002815F4">
            <w:rPr>
              <w:rFonts w:ascii="Calibri" w:hAnsi="Calibri"/>
              <w:bCs/>
            </w:rPr>
            <w:fldChar w:fldCharType="separate"/>
          </w:r>
          <w:r w:rsidR="003E626E" w:rsidRPr="002815F4">
            <w:rPr>
              <w:rFonts w:ascii="Calibri" w:hAnsi="Calibri"/>
              <w:noProof/>
            </w:rPr>
            <w:t>(Le Quotidien, 2016)</w:t>
          </w:r>
          <w:r w:rsidR="00EB2C15" w:rsidRPr="002815F4">
            <w:rPr>
              <w:rFonts w:ascii="Calibri" w:hAnsi="Calibri"/>
              <w:bCs/>
            </w:rPr>
            <w:fldChar w:fldCharType="end"/>
          </w:r>
        </w:sdtContent>
      </w:sdt>
      <w:r w:rsidR="00501A46" w:rsidRPr="002815F4">
        <w:rPr>
          <w:rFonts w:ascii="Calibri" w:hAnsi="Calibri"/>
          <w:bCs/>
        </w:rPr>
        <w:t xml:space="preserve"> </w:t>
      </w:r>
      <w:sdt>
        <w:sdtPr>
          <w:rPr>
            <w:rFonts w:ascii="Calibri" w:hAnsi="Calibri"/>
            <w:bCs/>
          </w:rPr>
          <w:id w:val="-332135127"/>
          <w:citation/>
        </w:sdtPr>
        <w:sdtEndPr/>
        <w:sdtContent>
          <w:r w:rsidR="00501A46" w:rsidRPr="002815F4">
            <w:rPr>
              <w:rFonts w:ascii="Calibri" w:hAnsi="Calibri"/>
              <w:bCs/>
            </w:rPr>
            <w:fldChar w:fldCharType="begin"/>
          </w:r>
          <w:r w:rsidR="00501A46" w:rsidRPr="002815F4">
            <w:rPr>
              <w:rFonts w:ascii="Calibri" w:hAnsi="Calibri"/>
              <w:bCs/>
            </w:rPr>
            <w:instrText xml:space="preserve"> CITATION LeQ17 \l 1033 </w:instrText>
          </w:r>
          <w:r w:rsidR="00501A46" w:rsidRPr="002815F4">
            <w:rPr>
              <w:rFonts w:ascii="Calibri" w:hAnsi="Calibri"/>
              <w:bCs/>
            </w:rPr>
            <w:fldChar w:fldCharType="separate"/>
          </w:r>
          <w:r w:rsidR="003E626E" w:rsidRPr="002815F4">
            <w:rPr>
              <w:rFonts w:ascii="Calibri" w:hAnsi="Calibri"/>
              <w:noProof/>
            </w:rPr>
            <w:t>(Le Quotidien, 2017)</w:t>
          </w:r>
          <w:r w:rsidR="00501A46" w:rsidRPr="002815F4">
            <w:rPr>
              <w:rFonts w:ascii="Calibri" w:hAnsi="Calibri"/>
              <w:bCs/>
            </w:rPr>
            <w:fldChar w:fldCharType="end"/>
          </w:r>
        </w:sdtContent>
      </w:sdt>
      <w:r w:rsidR="00EB2C15" w:rsidRPr="002815F4">
        <w:rPr>
          <w:rFonts w:ascii="Calibri" w:hAnsi="Calibri"/>
          <w:bCs/>
        </w:rPr>
        <w:t xml:space="preserve">. The government has consistently cited the importance of EITI implementation in its announcements of sector reforms such as the establishment of the high-level committee on oil and gas governance reform (COS-PETROGAZ) </w:t>
      </w:r>
      <w:sdt>
        <w:sdtPr>
          <w:rPr>
            <w:rFonts w:ascii="Calibri" w:hAnsi="Calibri"/>
            <w:bCs/>
          </w:rPr>
          <w:id w:val="2095043101"/>
          <w:citation/>
        </w:sdtPr>
        <w:sdtEndPr/>
        <w:sdtContent>
          <w:r w:rsidR="00EB2C15" w:rsidRPr="002815F4">
            <w:rPr>
              <w:rFonts w:ascii="Calibri" w:hAnsi="Calibri"/>
              <w:bCs/>
            </w:rPr>
            <w:fldChar w:fldCharType="begin"/>
          </w:r>
          <w:r w:rsidR="00EB2C15" w:rsidRPr="002815F4">
            <w:rPr>
              <w:rFonts w:ascii="Calibri" w:hAnsi="Calibri"/>
              <w:bCs/>
            </w:rPr>
            <w:instrText xml:space="preserve"> CITATION Gou16 \l 1033 </w:instrText>
          </w:r>
          <w:r w:rsidR="00EB2C15" w:rsidRPr="002815F4">
            <w:rPr>
              <w:rFonts w:ascii="Calibri" w:hAnsi="Calibri"/>
              <w:bCs/>
            </w:rPr>
            <w:fldChar w:fldCharType="separate"/>
          </w:r>
          <w:r w:rsidR="003E626E" w:rsidRPr="002815F4">
            <w:rPr>
              <w:rFonts w:ascii="Calibri" w:hAnsi="Calibri"/>
              <w:noProof/>
            </w:rPr>
            <w:t>(Gouvernement du Senegal, 2016)</w:t>
          </w:r>
          <w:r w:rsidR="00EB2C15" w:rsidRPr="002815F4">
            <w:rPr>
              <w:rFonts w:ascii="Calibri" w:hAnsi="Calibri"/>
              <w:bCs/>
            </w:rPr>
            <w:fldChar w:fldCharType="end"/>
          </w:r>
        </w:sdtContent>
      </w:sdt>
      <w:r w:rsidR="00EB2C15" w:rsidRPr="002815F4">
        <w:rPr>
          <w:rFonts w:ascii="Calibri" w:hAnsi="Calibri"/>
          <w:bCs/>
        </w:rPr>
        <w:t xml:space="preserve">. </w:t>
      </w:r>
      <w:r w:rsidR="00026365" w:rsidRPr="002815F4">
        <w:rPr>
          <w:rFonts w:ascii="Calibri" w:hAnsi="Calibri"/>
          <w:bCs/>
        </w:rPr>
        <w:t xml:space="preserve">Government officials, including senior representatives like Prime Minister Dionne and Prof. Fall, have actively followed up with companies to encourage full participation in EITI reporting, through bilateral follow-up, media statements and press releases </w:t>
      </w:r>
      <w:sdt>
        <w:sdtPr>
          <w:rPr>
            <w:rFonts w:ascii="Calibri" w:hAnsi="Calibri"/>
          </w:rPr>
          <w:id w:val="-331690825"/>
          <w:citation/>
        </w:sdtPr>
        <w:sdtEndPr/>
        <w:sdtContent>
          <w:r w:rsidR="00026365" w:rsidRPr="002815F4">
            <w:rPr>
              <w:rFonts w:ascii="Calibri" w:hAnsi="Calibri"/>
            </w:rPr>
            <w:fldChar w:fldCharType="begin"/>
          </w:r>
          <w:r w:rsidR="00026365" w:rsidRPr="002815F4">
            <w:rPr>
              <w:rFonts w:ascii="Calibri" w:hAnsi="Calibri"/>
            </w:rPr>
            <w:instrText xml:space="preserve"> CITATION ITI1525 \l 1033 </w:instrText>
          </w:r>
          <w:r w:rsidR="00026365" w:rsidRPr="002815F4">
            <w:rPr>
              <w:rFonts w:ascii="Calibri" w:hAnsi="Calibri"/>
            </w:rPr>
            <w:fldChar w:fldCharType="separate"/>
          </w:r>
          <w:r w:rsidR="003E626E" w:rsidRPr="002815F4">
            <w:rPr>
              <w:rFonts w:ascii="Calibri" w:hAnsi="Calibri"/>
              <w:noProof/>
            </w:rPr>
            <w:t>(ITIE Senegal, 2015)</w:t>
          </w:r>
          <w:r w:rsidR="00026365" w:rsidRPr="002815F4">
            <w:rPr>
              <w:rFonts w:ascii="Calibri" w:hAnsi="Calibri"/>
            </w:rPr>
            <w:fldChar w:fldCharType="end"/>
          </w:r>
        </w:sdtContent>
      </w:sdt>
      <w:r w:rsidR="00026365" w:rsidRPr="002815F4">
        <w:rPr>
          <w:rFonts w:ascii="Calibri" w:hAnsi="Calibri"/>
        </w:rPr>
        <w:t xml:space="preserve"> </w:t>
      </w:r>
      <w:sdt>
        <w:sdtPr>
          <w:rPr>
            <w:rFonts w:ascii="Calibri" w:hAnsi="Calibri"/>
          </w:rPr>
          <w:id w:val="128526589"/>
          <w:citation/>
        </w:sdtPr>
        <w:sdtEndPr/>
        <w:sdtContent>
          <w:r w:rsidR="00026365" w:rsidRPr="002815F4">
            <w:rPr>
              <w:rFonts w:ascii="Calibri" w:hAnsi="Calibri"/>
            </w:rPr>
            <w:fldChar w:fldCharType="begin"/>
          </w:r>
          <w:r w:rsidR="00026365" w:rsidRPr="002815F4">
            <w:rPr>
              <w:rFonts w:ascii="Calibri" w:hAnsi="Calibri"/>
            </w:rPr>
            <w:instrText xml:space="preserve"> CITATION ITI1630 \l 1033 </w:instrText>
          </w:r>
          <w:r w:rsidR="00026365" w:rsidRPr="002815F4">
            <w:rPr>
              <w:rFonts w:ascii="Calibri" w:hAnsi="Calibri"/>
            </w:rPr>
            <w:fldChar w:fldCharType="separate"/>
          </w:r>
          <w:r w:rsidR="003E626E" w:rsidRPr="002815F4">
            <w:rPr>
              <w:rFonts w:ascii="Calibri" w:hAnsi="Calibri"/>
              <w:noProof/>
            </w:rPr>
            <w:t>(ITIE Senegal, 2016)</w:t>
          </w:r>
          <w:r w:rsidR="00026365" w:rsidRPr="002815F4">
            <w:rPr>
              <w:rFonts w:ascii="Calibri" w:hAnsi="Calibri"/>
            </w:rPr>
            <w:fldChar w:fldCharType="end"/>
          </w:r>
        </w:sdtContent>
      </w:sdt>
      <w:r w:rsidR="00026365" w:rsidRPr="002815F4">
        <w:rPr>
          <w:rFonts w:ascii="Calibri" w:hAnsi="Calibri"/>
        </w:rPr>
        <w:t xml:space="preserve"> </w:t>
      </w:r>
      <w:sdt>
        <w:sdtPr>
          <w:rPr>
            <w:rFonts w:ascii="Calibri" w:hAnsi="Calibri"/>
          </w:rPr>
          <w:id w:val="797338430"/>
          <w:citation/>
        </w:sdtPr>
        <w:sdtEndPr/>
        <w:sdtContent>
          <w:r w:rsidR="00026365" w:rsidRPr="002815F4">
            <w:rPr>
              <w:rFonts w:ascii="Calibri" w:hAnsi="Calibri"/>
            </w:rPr>
            <w:fldChar w:fldCharType="begin"/>
          </w:r>
          <w:r w:rsidR="00026365" w:rsidRPr="002815F4">
            <w:rPr>
              <w:rFonts w:ascii="Calibri" w:hAnsi="Calibri"/>
            </w:rPr>
            <w:instrText xml:space="preserve"> CITATION ITI1638 \l 1033 </w:instrText>
          </w:r>
          <w:r w:rsidR="00026365" w:rsidRPr="002815F4">
            <w:rPr>
              <w:rFonts w:ascii="Calibri" w:hAnsi="Calibri"/>
            </w:rPr>
            <w:fldChar w:fldCharType="separate"/>
          </w:r>
          <w:r w:rsidR="003E626E" w:rsidRPr="002815F4">
            <w:rPr>
              <w:rFonts w:ascii="Calibri" w:hAnsi="Calibri"/>
              <w:noProof/>
            </w:rPr>
            <w:t>(ITIE Senegal, 2016)</w:t>
          </w:r>
          <w:r w:rsidR="00026365" w:rsidRPr="002815F4">
            <w:rPr>
              <w:rFonts w:ascii="Calibri" w:hAnsi="Calibri"/>
            </w:rPr>
            <w:fldChar w:fldCharType="end"/>
          </w:r>
        </w:sdtContent>
      </w:sdt>
      <w:r w:rsidR="00026365" w:rsidRPr="002815F4">
        <w:rPr>
          <w:rFonts w:ascii="Calibri" w:hAnsi="Calibri"/>
        </w:rPr>
        <w:t xml:space="preserve">. </w:t>
      </w:r>
    </w:p>
    <w:p w14:paraId="051C51A9" w14:textId="2FD83D7E" w:rsidR="00074AFF" w:rsidRPr="002815F4" w:rsidRDefault="002929E0" w:rsidP="009B3E66">
      <w:pPr>
        <w:pStyle w:val="Heading3"/>
      </w:pPr>
      <w:r w:rsidRPr="002815F4">
        <w:t>Stakehol</w:t>
      </w:r>
      <w:bookmarkStart w:id="95" w:name="industrystakeholderviews"/>
      <w:bookmarkEnd w:id="95"/>
      <w:r w:rsidRPr="002815F4">
        <w:t>der views</w:t>
      </w:r>
      <w:r w:rsidR="00BC2017" w:rsidRPr="002815F4">
        <w:t xml:space="preserve"> </w:t>
      </w:r>
    </w:p>
    <w:p w14:paraId="625ECAEE" w14:textId="20CD6690" w:rsidR="001F73E0" w:rsidRPr="002815F4" w:rsidRDefault="001F73E0" w:rsidP="001F73E0">
      <w:r w:rsidRPr="002815F4">
        <w:t xml:space="preserve">There </w:t>
      </w:r>
      <w:r w:rsidR="008D2677" w:rsidRPr="002815F4">
        <w:t>was</w:t>
      </w:r>
      <w:r w:rsidRPr="002815F4">
        <w:t xml:space="preserve"> general agreement among stakeholders that companies </w:t>
      </w:r>
      <w:r w:rsidR="003F41E5" w:rsidRPr="002815F4">
        <w:t>we</w:t>
      </w:r>
      <w:r w:rsidRPr="002815F4">
        <w:t xml:space="preserve">re making an important contribution to the EITI process. </w:t>
      </w:r>
      <w:r w:rsidR="003F41E5" w:rsidRPr="002815F4">
        <w:t>Industry stakeholders highlighted the importance of t</w:t>
      </w:r>
      <w:r w:rsidRPr="002815F4">
        <w:t>he Chamber of Mines</w:t>
      </w:r>
      <w:r w:rsidR="003F41E5" w:rsidRPr="002815F4">
        <w:t>’ establishment in 2013</w:t>
      </w:r>
      <w:r w:rsidRPr="002815F4">
        <w:t xml:space="preserve"> </w:t>
      </w:r>
      <w:r w:rsidR="00511177" w:rsidRPr="002815F4">
        <w:t xml:space="preserve">in </w:t>
      </w:r>
      <w:r w:rsidRPr="002815F4">
        <w:t>play</w:t>
      </w:r>
      <w:r w:rsidR="00511177" w:rsidRPr="002815F4">
        <w:t>ing</w:t>
      </w:r>
      <w:r w:rsidRPr="002815F4">
        <w:t xml:space="preserve"> a coordinating role for the mining sector. </w:t>
      </w:r>
      <w:r w:rsidR="00F82D13" w:rsidRPr="002815F4">
        <w:t xml:space="preserve">The Chamber </w:t>
      </w:r>
      <w:r w:rsidRPr="002815F4">
        <w:t>consult</w:t>
      </w:r>
      <w:r w:rsidR="00F82D13" w:rsidRPr="002815F4">
        <w:t>ed</w:t>
      </w:r>
      <w:r w:rsidRPr="002815F4">
        <w:t xml:space="preserve"> its members regularly and report</w:t>
      </w:r>
      <w:r w:rsidR="00F82D13" w:rsidRPr="002815F4">
        <w:t>ed</w:t>
      </w:r>
      <w:r w:rsidRPr="002815F4">
        <w:t xml:space="preserve"> on MSG discussions and decisions</w:t>
      </w:r>
      <w:r w:rsidR="00F82D13" w:rsidRPr="002815F4">
        <w:t>, according to industry members consulted</w:t>
      </w:r>
      <w:r w:rsidRPr="002815F4">
        <w:t xml:space="preserve">. </w:t>
      </w:r>
      <w:r w:rsidR="00F82D13" w:rsidRPr="002815F4">
        <w:t xml:space="preserve">Industry members noted that the constituency </w:t>
      </w:r>
      <w:r w:rsidRPr="002815F4">
        <w:t>ha</w:t>
      </w:r>
      <w:r w:rsidR="00F82D13" w:rsidRPr="002815F4">
        <w:t>d</w:t>
      </w:r>
      <w:r w:rsidRPr="002815F4">
        <w:t xml:space="preserve"> </w:t>
      </w:r>
      <w:r w:rsidR="00F82D13" w:rsidRPr="002815F4">
        <w:t xml:space="preserve">always </w:t>
      </w:r>
      <w:r w:rsidRPr="002815F4">
        <w:t xml:space="preserve">sought to </w:t>
      </w:r>
      <w:r w:rsidR="00F82D13" w:rsidRPr="002815F4">
        <w:t xml:space="preserve">strike </w:t>
      </w:r>
      <w:r w:rsidRPr="002815F4">
        <w:t>a balance in the profile of companies (exploration, production</w:t>
      </w:r>
      <w:r w:rsidR="00F82D13" w:rsidRPr="002815F4">
        <w:t>, types of minerals</w:t>
      </w:r>
      <w:r w:rsidRPr="002815F4">
        <w:t xml:space="preserve">) represented at the MSG. </w:t>
      </w:r>
    </w:p>
    <w:p w14:paraId="699BF2E3" w14:textId="41464760" w:rsidR="001F73E0" w:rsidRPr="002815F4" w:rsidRDefault="001F73E0" w:rsidP="001F73E0">
      <w:r w:rsidRPr="002815F4">
        <w:t xml:space="preserve">The limited number of </w:t>
      </w:r>
      <w:r w:rsidR="00F82D13" w:rsidRPr="002815F4">
        <w:t>o</w:t>
      </w:r>
      <w:r w:rsidRPr="002815F4">
        <w:t xml:space="preserve">il and </w:t>
      </w:r>
      <w:r w:rsidR="00F82D13" w:rsidRPr="002815F4">
        <w:t>g</w:t>
      </w:r>
      <w:r w:rsidRPr="002815F4">
        <w:t>as companies (</w:t>
      </w:r>
      <w:r w:rsidR="00F82D13" w:rsidRPr="002815F4">
        <w:t xml:space="preserve">mainly </w:t>
      </w:r>
      <w:r w:rsidRPr="002815F4">
        <w:t xml:space="preserve">Fortesa, Cairn, and Kosmos Energy) </w:t>
      </w:r>
      <w:r w:rsidR="00F82D13" w:rsidRPr="002815F4">
        <w:t xml:space="preserve">has </w:t>
      </w:r>
      <w:r w:rsidRPr="002815F4">
        <w:t>ma</w:t>
      </w:r>
      <w:r w:rsidR="00F82D13" w:rsidRPr="002815F4">
        <w:t>d</w:t>
      </w:r>
      <w:r w:rsidRPr="002815F4">
        <w:t xml:space="preserve">e communication and coordination </w:t>
      </w:r>
      <w:r w:rsidR="00F82D13" w:rsidRPr="002815F4">
        <w:t xml:space="preserve">within that sub-constituency </w:t>
      </w:r>
      <w:r w:rsidRPr="002815F4">
        <w:t>simple</w:t>
      </w:r>
      <w:r w:rsidR="00F82D13" w:rsidRPr="002815F4">
        <w:t>r</w:t>
      </w:r>
      <w:r w:rsidRPr="002815F4">
        <w:t xml:space="preserve"> for now</w:t>
      </w:r>
      <w:r w:rsidR="00F82D13" w:rsidRPr="002815F4">
        <w:t>, according to several company representatives consulted</w:t>
      </w:r>
      <w:r w:rsidRPr="002815F4">
        <w:t xml:space="preserve">. However, several company representatives indicated that the </w:t>
      </w:r>
      <w:r w:rsidR="00F82D13" w:rsidRPr="002815F4">
        <w:t>o</w:t>
      </w:r>
      <w:r w:rsidRPr="002815F4">
        <w:t>il</w:t>
      </w:r>
      <w:r w:rsidR="00F82D13" w:rsidRPr="002815F4">
        <w:t xml:space="preserve"> </w:t>
      </w:r>
      <w:r w:rsidR="00F82D13" w:rsidRPr="002815F4">
        <w:lastRenderedPageBreak/>
        <w:t>and g</w:t>
      </w:r>
      <w:r w:rsidRPr="002815F4">
        <w:t xml:space="preserve">as sector would become much more complex </w:t>
      </w:r>
      <w:r w:rsidR="00F82D13" w:rsidRPr="002815F4">
        <w:t xml:space="preserve">and crowded </w:t>
      </w:r>
      <w:r w:rsidRPr="002815F4">
        <w:t xml:space="preserve">in coming years and that it would be necessary to review </w:t>
      </w:r>
      <w:r w:rsidR="00F82D13" w:rsidRPr="002815F4">
        <w:t xml:space="preserve">and formalise </w:t>
      </w:r>
      <w:r w:rsidRPr="002815F4">
        <w:t>company nomination procedures to the MSG.</w:t>
      </w:r>
    </w:p>
    <w:p w14:paraId="15BBDEEC" w14:textId="1D8FBD7D" w:rsidR="001F73E0" w:rsidRPr="002815F4" w:rsidRDefault="001F73E0" w:rsidP="007474FE">
      <w:r w:rsidRPr="002815F4">
        <w:t xml:space="preserve">All companies were supportive of disclosures required by the EITI, including regarding the publication of contracts. They </w:t>
      </w:r>
      <w:r w:rsidR="00F82D13" w:rsidRPr="002815F4">
        <w:t>noted</w:t>
      </w:r>
      <w:r w:rsidRPr="002815F4">
        <w:t xml:space="preserve"> that the 2016 </w:t>
      </w:r>
      <w:r w:rsidR="00F82D13" w:rsidRPr="002815F4">
        <w:t>M</w:t>
      </w:r>
      <w:r w:rsidRPr="002815F4">
        <w:t xml:space="preserve">ining </w:t>
      </w:r>
      <w:r w:rsidR="00F82D13" w:rsidRPr="002815F4">
        <w:t>C</w:t>
      </w:r>
      <w:r w:rsidRPr="002815F4">
        <w:t xml:space="preserve">ode </w:t>
      </w:r>
      <w:r w:rsidR="00F82D13" w:rsidRPr="002815F4">
        <w:t xml:space="preserve">had </w:t>
      </w:r>
      <w:r w:rsidRPr="002815F4">
        <w:t>made it an obligation</w:t>
      </w:r>
      <w:r w:rsidR="009D362E" w:rsidRPr="002815F4">
        <w:t xml:space="preserve"> for mining companies</w:t>
      </w:r>
      <w:r w:rsidRPr="002815F4">
        <w:t xml:space="preserve"> to participate in EITI </w:t>
      </w:r>
      <w:r w:rsidR="00A11599" w:rsidRPr="002815F4">
        <w:t>reporting</w:t>
      </w:r>
      <w:r w:rsidRPr="002815F4">
        <w:t>. All companies felt that they had t</w:t>
      </w:r>
      <w:r w:rsidR="00A11599" w:rsidRPr="002815F4">
        <w:t>he</w:t>
      </w:r>
      <w:r w:rsidRPr="002815F4">
        <w:t xml:space="preserve"> possibility to comment on </w:t>
      </w:r>
      <w:r w:rsidR="00A11599" w:rsidRPr="002815F4">
        <w:t xml:space="preserve">key EITI documents like </w:t>
      </w:r>
      <w:r w:rsidRPr="002815F4">
        <w:t xml:space="preserve">the </w:t>
      </w:r>
      <w:r w:rsidR="00A11599" w:rsidRPr="002815F4">
        <w:t>w</w:t>
      </w:r>
      <w:r w:rsidRPr="002815F4">
        <w:t>ork</w:t>
      </w:r>
      <w:r w:rsidR="00A11599" w:rsidRPr="002815F4">
        <w:t xml:space="preserve"> </w:t>
      </w:r>
      <w:r w:rsidRPr="002815F4">
        <w:t xml:space="preserve">plan, even if they were not </w:t>
      </w:r>
      <w:r w:rsidR="00A11599" w:rsidRPr="002815F4">
        <w:t xml:space="preserve">MSG </w:t>
      </w:r>
      <w:r w:rsidRPr="002815F4">
        <w:t>member</w:t>
      </w:r>
      <w:r w:rsidR="00A11599" w:rsidRPr="002815F4">
        <w:t>s</w:t>
      </w:r>
      <w:r w:rsidRPr="002815F4">
        <w:t>.</w:t>
      </w:r>
      <w:r w:rsidR="00A11599" w:rsidRPr="002815F4">
        <w:t xml:space="preserve"> </w:t>
      </w:r>
      <w:r w:rsidRPr="002815F4">
        <w:t>All stakeholders indicated that companies</w:t>
      </w:r>
      <w:r w:rsidR="00A11599" w:rsidRPr="002815F4">
        <w:t>, primarily in the mining sector,</w:t>
      </w:r>
      <w:r w:rsidRPr="002815F4">
        <w:t xml:space="preserve"> ha</w:t>
      </w:r>
      <w:r w:rsidR="00A11599" w:rsidRPr="002815F4">
        <w:t>d</w:t>
      </w:r>
      <w:r w:rsidRPr="002815F4">
        <w:t xml:space="preserve"> participated in disseminations activities organised by </w:t>
      </w:r>
      <w:r w:rsidR="00A11599" w:rsidRPr="002815F4">
        <w:t xml:space="preserve">EITI Senegal alongside </w:t>
      </w:r>
      <w:r w:rsidRPr="002815F4">
        <w:t xml:space="preserve">the government and civil society. </w:t>
      </w:r>
      <w:r w:rsidR="00A11599" w:rsidRPr="002815F4">
        <w:t xml:space="preserve">Stakeholders from all three constituencies noted that while oil and gas companies had been less active in EITI dissemination, companies like Cairn and Kosmos organised bilateral outreach and were expected to be more active in EITI implementation as they neared first production in the next five years. </w:t>
      </w:r>
    </w:p>
    <w:p w14:paraId="201DA03F" w14:textId="303E37D7" w:rsidR="002929E0" w:rsidRPr="002815F4" w:rsidRDefault="00BC2017" w:rsidP="009B3E66">
      <w:pPr>
        <w:pStyle w:val="Heading3"/>
      </w:pPr>
      <w:r w:rsidRPr="002815F4">
        <w:t>Initial a</w:t>
      </w:r>
      <w:r w:rsidR="002929E0" w:rsidRPr="002815F4">
        <w:t>ssessment</w:t>
      </w:r>
    </w:p>
    <w:p w14:paraId="1B5D890D" w14:textId="1B77C114" w:rsidR="008D7517" w:rsidRPr="002815F4" w:rsidRDefault="0076558C" w:rsidP="008D7517">
      <w:pPr>
        <w:rPr>
          <w:rFonts w:ascii="Calibri" w:hAnsi="Calibri"/>
        </w:rPr>
      </w:pPr>
      <w:r w:rsidRPr="002815F4">
        <w:rPr>
          <w:rFonts w:ascii="Calibri" w:hAnsi="Calibri"/>
        </w:rPr>
        <w:t xml:space="preserve">The International Secretariat’s initial assessment is that </w:t>
      </w:r>
      <w:r w:rsidR="00C0464C" w:rsidRPr="002815F4">
        <w:rPr>
          <w:rFonts w:ascii="Calibri" w:hAnsi="Calibri"/>
          <w:bCs/>
        </w:rPr>
        <w:t>Senegal</w:t>
      </w:r>
      <w:r w:rsidR="00C0464C" w:rsidRPr="002815F4">
        <w:rPr>
          <w:rFonts w:ascii="Calibri" w:hAnsi="Calibri"/>
        </w:rPr>
        <w:t xml:space="preserve"> </w:t>
      </w:r>
      <w:r w:rsidRPr="002815F4">
        <w:rPr>
          <w:rFonts w:ascii="Calibri" w:hAnsi="Calibri"/>
        </w:rPr>
        <w:t xml:space="preserve">has made </w:t>
      </w:r>
      <w:r w:rsidR="00C0464C" w:rsidRPr="002815F4">
        <w:rPr>
          <w:rFonts w:ascii="Calibri" w:hAnsi="Calibri"/>
          <w:bCs/>
        </w:rPr>
        <w:t>satisfactory</w:t>
      </w:r>
      <w:r w:rsidR="00C0464C" w:rsidRPr="002815F4">
        <w:rPr>
          <w:rFonts w:ascii="Calibri" w:hAnsi="Calibri"/>
          <w:b/>
          <w:bCs/>
        </w:rPr>
        <w:t xml:space="preserve"> </w:t>
      </w:r>
      <w:r w:rsidRPr="002815F4">
        <w:rPr>
          <w:rFonts w:ascii="Calibri" w:hAnsi="Calibri"/>
        </w:rPr>
        <w:t xml:space="preserve">progress in meeting this </w:t>
      </w:r>
      <w:commentRangeStart w:id="96"/>
      <w:r w:rsidRPr="002815F4">
        <w:rPr>
          <w:rFonts w:ascii="Calibri" w:hAnsi="Calibri"/>
        </w:rPr>
        <w:t>requirement</w:t>
      </w:r>
      <w:commentRangeEnd w:id="96"/>
      <w:r w:rsidR="003C01E6">
        <w:rPr>
          <w:rStyle w:val="CommentReference"/>
          <w:szCs w:val="20"/>
        </w:rPr>
        <w:commentReference w:id="96"/>
      </w:r>
      <w:r w:rsidRPr="002815F4">
        <w:rPr>
          <w:rFonts w:ascii="Calibri" w:hAnsi="Calibri"/>
        </w:rPr>
        <w:t xml:space="preserve">. </w:t>
      </w:r>
      <w:bookmarkStart w:id="97" w:name="_Toc459133088"/>
      <w:r w:rsidR="00C62A86" w:rsidRPr="002815F4">
        <w:rPr>
          <w:rFonts w:ascii="Calibri" w:hAnsi="Calibri"/>
        </w:rPr>
        <w:t>Mining, oil and gas companies are actively and effectively engaged in the EITI process, both as providers of information and in the design, implementation, monitoring and evaluation of the EITI process.</w:t>
      </w:r>
      <w:r w:rsidR="00112243" w:rsidRPr="002815F4">
        <w:rPr>
          <w:rFonts w:ascii="Calibri" w:hAnsi="Calibri"/>
        </w:rPr>
        <w:t xml:space="preserve"> Industry representatives are taking part in outreach and efforts to promote public debate, both at a national level and in regional roadshows.</w:t>
      </w:r>
      <w:r w:rsidR="00794A4F" w:rsidRPr="002815F4">
        <w:rPr>
          <w:rFonts w:ascii="Calibri" w:hAnsi="Calibri"/>
        </w:rPr>
        <w:t xml:space="preserve"> Prime Ministerial Decree 2013-881 establishing the EITI has created an enabling legal environment for EITI implementation in Senegal, while 2016 revisions to the Mining Code have made EITI reporting of audited figures mandatory for all mining licenses-holders. The introduction of similar requirements in oil and gas sector legislation, planned for 2017, should further bolster the legal institutionalisation of EITI in Senegal. </w:t>
      </w:r>
    </w:p>
    <w:p w14:paraId="40B9348A" w14:textId="5C3C4537" w:rsidR="00794A4F" w:rsidRPr="002815F4" w:rsidRDefault="00794A4F" w:rsidP="008D7517">
      <w:pPr>
        <w:rPr>
          <w:rFonts w:ascii="Calibri" w:hAnsi="Calibri"/>
        </w:rPr>
      </w:pPr>
      <w:r w:rsidRPr="002815F4">
        <w:rPr>
          <w:rFonts w:ascii="Calibri" w:hAnsi="Calibri"/>
        </w:rPr>
        <w:t xml:space="preserve">To strengthen implementation, the </w:t>
      </w:r>
      <w:r w:rsidR="00A11599" w:rsidRPr="002815F4">
        <w:rPr>
          <w:rFonts w:ascii="Calibri" w:hAnsi="Calibri"/>
        </w:rPr>
        <w:t xml:space="preserve">industry constituency </w:t>
      </w:r>
      <w:r w:rsidR="00543359" w:rsidRPr="002815F4">
        <w:rPr>
          <w:rFonts w:ascii="Calibri" w:hAnsi="Calibri"/>
        </w:rPr>
        <w:t>may wish</w:t>
      </w:r>
      <w:r w:rsidR="006E0916" w:rsidRPr="002815F4">
        <w:rPr>
          <w:rFonts w:ascii="Calibri" w:hAnsi="Calibri"/>
        </w:rPr>
        <w:t xml:space="preserve"> </w:t>
      </w:r>
      <w:r w:rsidR="003E1B2D">
        <w:rPr>
          <w:rFonts w:ascii="Calibri" w:hAnsi="Calibri"/>
        </w:rPr>
        <w:t xml:space="preserve">to </w:t>
      </w:r>
      <w:r w:rsidR="00543359" w:rsidRPr="002815F4">
        <w:rPr>
          <w:rFonts w:ascii="Calibri" w:hAnsi="Calibri"/>
        </w:rPr>
        <w:t>enhance</w:t>
      </w:r>
      <w:r w:rsidR="00A11599" w:rsidRPr="002815F4">
        <w:rPr>
          <w:rFonts w:ascii="Calibri" w:hAnsi="Calibri"/>
        </w:rPr>
        <w:t>,</w:t>
      </w:r>
      <w:r w:rsidR="00543359" w:rsidRPr="002815F4">
        <w:rPr>
          <w:rFonts w:ascii="Calibri" w:hAnsi="Calibri"/>
        </w:rPr>
        <w:t xml:space="preserve"> systematise </w:t>
      </w:r>
      <w:r w:rsidR="00A11599" w:rsidRPr="002815F4">
        <w:rPr>
          <w:rFonts w:ascii="Calibri" w:hAnsi="Calibri"/>
        </w:rPr>
        <w:t xml:space="preserve">and formalise its coordination between </w:t>
      </w:r>
      <w:r w:rsidR="00543359" w:rsidRPr="002815F4">
        <w:rPr>
          <w:rFonts w:ascii="Calibri" w:hAnsi="Calibri"/>
        </w:rPr>
        <w:t xml:space="preserve">companies </w:t>
      </w:r>
      <w:r w:rsidR="00A11599" w:rsidRPr="002815F4">
        <w:rPr>
          <w:rFonts w:ascii="Calibri" w:hAnsi="Calibri"/>
        </w:rPr>
        <w:t xml:space="preserve">involved in </w:t>
      </w:r>
      <w:r w:rsidR="00543359" w:rsidRPr="002815F4">
        <w:rPr>
          <w:rFonts w:ascii="Calibri" w:hAnsi="Calibri"/>
        </w:rPr>
        <w:t>EITI</w:t>
      </w:r>
      <w:r w:rsidR="00A11599" w:rsidRPr="002815F4">
        <w:rPr>
          <w:rFonts w:ascii="Calibri" w:hAnsi="Calibri"/>
        </w:rPr>
        <w:t xml:space="preserve"> implementation</w:t>
      </w:r>
      <w:r w:rsidR="00543359" w:rsidRPr="002815F4">
        <w:rPr>
          <w:rFonts w:ascii="Calibri" w:hAnsi="Calibri"/>
        </w:rPr>
        <w:t xml:space="preserve"> beyond </w:t>
      </w:r>
      <w:r w:rsidR="00A11599" w:rsidRPr="002815F4">
        <w:rPr>
          <w:rFonts w:ascii="Calibri" w:hAnsi="Calibri"/>
        </w:rPr>
        <w:t xml:space="preserve">those directly </w:t>
      </w:r>
      <w:r w:rsidR="00543359" w:rsidRPr="002815F4">
        <w:rPr>
          <w:rFonts w:ascii="Calibri" w:hAnsi="Calibri"/>
        </w:rPr>
        <w:t xml:space="preserve">represented </w:t>
      </w:r>
      <w:r w:rsidR="00A11599" w:rsidRPr="002815F4">
        <w:rPr>
          <w:rFonts w:ascii="Calibri" w:hAnsi="Calibri"/>
        </w:rPr>
        <w:t xml:space="preserve">on </w:t>
      </w:r>
      <w:r w:rsidR="00543359" w:rsidRPr="002815F4">
        <w:rPr>
          <w:rFonts w:ascii="Calibri" w:hAnsi="Calibri"/>
        </w:rPr>
        <w:t xml:space="preserve">the MSG, </w:t>
      </w:r>
      <w:r w:rsidR="00A11599" w:rsidRPr="002815F4">
        <w:rPr>
          <w:rFonts w:ascii="Calibri" w:hAnsi="Calibri"/>
        </w:rPr>
        <w:t>potentially through its own ToR to structure the constituency’s participation in EITI. The industry constituency is also encouraged to formalise its procedures for nominating and replacing its MSG members, potentially through the same ToR (</w:t>
      </w:r>
      <w:r w:rsidR="00A11599" w:rsidRPr="002815F4">
        <w:rPr>
          <w:rFonts w:ascii="Calibri" w:hAnsi="Calibri"/>
          <w:i/>
        </w:rPr>
        <w:t>see Requirement 1.4</w:t>
      </w:r>
      <w:r w:rsidR="00A11599" w:rsidRPr="002815F4">
        <w:rPr>
          <w:rFonts w:ascii="Calibri" w:hAnsi="Calibri"/>
        </w:rPr>
        <w:t xml:space="preserve">). </w:t>
      </w:r>
    </w:p>
    <w:p w14:paraId="0A3EC43A" w14:textId="6887A487" w:rsidR="002929E0" w:rsidRPr="002815F4" w:rsidRDefault="002929E0" w:rsidP="009B3E66">
      <w:pPr>
        <w:pStyle w:val="Heading2"/>
      </w:pPr>
      <w:bookmarkStart w:id="98" w:name="_Toc461803037"/>
      <w:bookmarkStart w:id="99" w:name="_Toc461787318"/>
      <w:bookmarkStart w:id="100" w:name="_Toc461795830"/>
      <w:bookmarkStart w:id="101" w:name="_Toc462149177"/>
      <w:r w:rsidRPr="002815F4">
        <w:t>Civil society engagement in the EITI process (#1.3)</w:t>
      </w:r>
      <w:bookmarkEnd w:id="97"/>
      <w:bookmarkEnd w:id="98"/>
      <w:bookmarkEnd w:id="99"/>
      <w:bookmarkEnd w:id="100"/>
      <w:bookmarkEnd w:id="101"/>
    </w:p>
    <w:p w14:paraId="6DF8F237" w14:textId="3430976C" w:rsidR="00F342CC" w:rsidRPr="002815F4" w:rsidRDefault="002929E0" w:rsidP="009B3E66">
      <w:pPr>
        <w:pStyle w:val="Heading3"/>
      </w:pPr>
      <w:r w:rsidRPr="002815F4">
        <w:t>Documentation of progress</w:t>
      </w:r>
    </w:p>
    <w:p w14:paraId="08DD2FC9" w14:textId="512AC81C" w:rsidR="007070FF" w:rsidRPr="002815F4" w:rsidRDefault="007070FF" w:rsidP="00E93E7B">
      <w:pPr>
        <w:spacing w:before="120"/>
        <w:rPr>
          <w:rFonts w:ascii="Calibri" w:hAnsi="Calibri"/>
          <w:bCs/>
        </w:rPr>
      </w:pPr>
      <w:r w:rsidRPr="002815F4">
        <w:rPr>
          <w:rFonts w:ascii="Calibri" w:hAnsi="Calibri"/>
        </w:rPr>
        <w:t xml:space="preserve">There is evidence of a robust public debate about extractives issues in Senegal, driven by an uninhibited civil society that appears to regularly assess the space for its actions. The Civil Society Protocol is republished, in French and unedited, on the </w:t>
      </w:r>
      <w:r w:rsidR="00AB3893" w:rsidRPr="002815F4">
        <w:rPr>
          <w:rFonts w:ascii="Calibri" w:hAnsi="Calibri"/>
        </w:rPr>
        <w:t xml:space="preserve">EITI </w:t>
      </w:r>
      <w:r w:rsidRPr="002815F4">
        <w:rPr>
          <w:rFonts w:ascii="Calibri" w:hAnsi="Calibri"/>
        </w:rPr>
        <w:t>Senegal website.</w:t>
      </w:r>
      <w:r w:rsidRPr="002815F4">
        <w:rPr>
          <w:rStyle w:val="FootnoteReference"/>
          <w:rFonts w:ascii="Calibri" w:hAnsi="Calibri"/>
        </w:rPr>
        <w:footnoteReference w:id="13"/>
      </w:r>
    </w:p>
    <w:p w14:paraId="32FFD45F" w14:textId="2BFA932C" w:rsidR="00B12E7C" w:rsidRPr="002815F4" w:rsidRDefault="002929E0" w:rsidP="00B12E7C">
      <w:pPr>
        <w:spacing w:before="120"/>
        <w:rPr>
          <w:rFonts w:ascii="Calibri" w:hAnsi="Calibri"/>
        </w:rPr>
      </w:pPr>
      <w:r w:rsidRPr="002815F4">
        <w:rPr>
          <w:rFonts w:ascii="Calibri" w:hAnsi="Calibri"/>
          <w:i/>
          <w:u w:val="single"/>
        </w:rPr>
        <w:t>Expression</w:t>
      </w:r>
      <w:r w:rsidRPr="002815F4">
        <w:rPr>
          <w:rFonts w:ascii="Calibri" w:hAnsi="Calibri"/>
          <w:i/>
        </w:rPr>
        <w:t>:</w:t>
      </w:r>
      <w:r w:rsidR="007070FF" w:rsidRPr="002815F4">
        <w:t xml:space="preserve"> </w:t>
      </w:r>
      <w:r w:rsidR="007070FF" w:rsidRPr="002815F4">
        <w:rPr>
          <w:rFonts w:ascii="Calibri" w:hAnsi="Calibri"/>
        </w:rPr>
        <w:t xml:space="preserve">There is no evidence to suggest constraints on an enabling legal framework for civil society organisations and companies to participate in EITI. Freedom House’s Freedom in the World rankings have </w:t>
      </w:r>
      <w:r w:rsidR="007070FF" w:rsidRPr="002815F4">
        <w:rPr>
          <w:rFonts w:ascii="Calibri" w:hAnsi="Calibri"/>
        </w:rPr>
        <w:lastRenderedPageBreak/>
        <w:t>consistently ranked Senegal as “free” in the 2013-2017 period</w:t>
      </w:r>
      <w:r w:rsidR="006C669D" w:rsidRPr="002815F4">
        <w:rPr>
          <w:rStyle w:val="FootnoteReference"/>
          <w:rFonts w:ascii="Calibri" w:hAnsi="Calibri"/>
        </w:rPr>
        <w:footnoteReference w:id="14"/>
      </w:r>
      <w:r w:rsidR="006C669D" w:rsidRPr="002815F4">
        <w:rPr>
          <w:rFonts w:ascii="Calibri" w:hAnsi="Calibri"/>
        </w:rPr>
        <w:t xml:space="preserve">, despite the existence of defamation laws and </w:t>
      </w:r>
      <w:r w:rsidR="00B12E7C" w:rsidRPr="002815F4">
        <w:rPr>
          <w:rFonts w:ascii="Calibri" w:hAnsi="Calibri"/>
        </w:rPr>
        <w:t xml:space="preserve">several suspended sentences for </w:t>
      </w:r>
      <w:r w:rsidR="006C669D" w:rsidRPr="002815F4">
        <w:rPr>
          <w:rFonts w:ascii="Calibri" w:hAnsi="Calibri"/>
        </w:rPr>
        <w:t>journalists unrelated to extractives issues</w:t>
      </w:r>
      <w:r w:rsidR="007070FF" w:rsidRPr="002815F4">
        <w:rPr>
          <w:rFonts w:ascii="Calibri" w:hAnsi="Calibri"/>
        </w:rPr>
        <w:t>.</w:t>
      </w:r>
      <w:r w:rsidR="006C669D" w:rsidRPr="002815F4" w:rsidDel="007070FF">
        <w:rPr>
          <w:rFonts w:ascii="Calibri" w:hAnsi="Calibri"/>
        </w:rPr>
        <w:t xml:space="preserve"> </w:t>
      </w:r>
      <w:r w:rsidR="00B12E7C" w:rsidRPr="002815F4">
        <w:rPr>
          <w:rFonts w:ascii="Calibri" w:hAnsi="Calibri"/>
        </w:rPr>
        <w:t>None of the articles on the Senegal webpages of Human Rights Watch</w:t>
      </w:r>
      <w:r w:rsidR="00B12E7C" w:rsidRPr="002815F4">
        <w:rPr>
          <w:rStyle w:val="FootnoteReference"/>
          <w:rFonts w:ascii="Calibri" w:hAnsi="Calibri"/>
        </w:rPr>
        <w:footnoteReference w:id="15"/>
      </w:r>
      <w:r w:rsidR="00B12E7C" w:rsidRPr="002815F4">
        <w:rPr>
          <w:rFonts w:ascii="Calibri" w:hAnsi="Calibri"/>
        </w:rPr>
        <w:t>, Freedom House</w:t>
      </w:r>
      <w:r w:rsidR="00B12E7C" w:rsidRPr="002815F4">
        <w:rPr>
          <w:rStyle w:val="FootnoteReference"/>
          <w:rFonts w:ascii="Calibri" w:hAnsi="Calibri"/>
        </w:rPr>
        <w:footnoteReference w:id="16"/>
      </w:r>
      <w:r w:rsidR="00B12E7C" w:rsidRPr="002815F4">
        <w:rPr>
          <w:rFonts w:ascii="Calibri" w:hAnsi="Calibri"/>
        </w:rPr>
        <w:t xml:space="preserve"> and Reporters Without Borders</w:t>
      </w:r>
      <w:r w:rsidR="00B12E7C" w:rsidRPr="002815F4">
        <w:rPr>
          <w:rStyle w:val="FootnoteReference"/>
          <w:rFonts w:ascii="Calibri" w:hAnsi="Calibri"/>
        </w:rPr>
        <w:footnoteReference w:id="17"/>
      </w:r>
      <w:r w:rsidR="00B12E7C" w:rsidRPr="002815F4">
        <w:rPr>
          <w:rFonts w:ascii="Calibri" w:hAnsi="Calibri"/>
        </w:rPr>
        <w:t xml:space="preserve"> related to extractive industries, good governance or transparency as of 1 July 2017. </w:t>
      </w:r>
      <w:r w:rsidR="007E4441">
        <w:rPr>
          <w:rFonts w:ascii="Calibri" w:hAnsi="Calibri"/>
          <w:bCs/>
        </w:rPr>
        <w:t>T</w:t>
      </w:r>
      <w:r w:rsidR="00B12E7C" w:rsidRPr="002815F4">
        <w:rPr>
          <w:rFonts w:ascii="Calibri" w:hAnsi="Calibri"/>
          <w:bCs/>
        </w:rPr>
        <w:t xml:space="preserve">here is ample evidence of NGO’s criticism of the government’s management of the mining, oil and gas sectors, </w:t>
      </w:r>
      <w:r w:rsidR="00501A46" w:rsidRPr="002815F4">
        <w:rPr>
          <w:rFonts w:ascii="Calibri" w:hAnsi="Calibri"/>
          <w:bCs/>
        </w:rPr>
        <w:t xml:space="preserve">and in relation to the EITI, </w:t>
      </w:r>
      <w:r w:rsidR="00B12E7C" w:rsidRPr="002815F4">
        <w:rPr>
          <w:rFonts w:ascii="Calibri" w:hAnsi="Calibri"/>
          <w:bCs/>
        </w:rPr>
        <w:t>including in collaboration with international CSOs</w:t>
      </w:r>
      <w:r w:rsidR="0036470E" w:rsidRPr="002815F4">
        <w:rPr>
          <w:rFonts w:ascii="Calibri" w:hAnsi="Calibri"/>
          <w:bCs/>
        </w:rPr>
        <w:t xml:space="preserve"> </w:t>
      </w:r>
      <w:sdt>
        <w:sdtPr>
          <w:rPr>
            <w:rFonts w:ascii="Calibri" w:hAnsi="Calibri"/>
            <w:bCs/>
          </w:rPr>
          <w:id w:val="-698463350"/>
          <w:citation/>
        </w:sdtPr>
        <w:sdtEndPr/>
        <w:sdtContent>
          <w:r w:rsidR="00501A46" w:rsidRPr="002815F4">
            <w:rPr>
              <w:rFonts w:ascii="Calibri" w:hAnsi="Calibri"/>
              <w:bCs/>
            </w:rPr>
            <w:fldChar w:fldCharType="begin"/>
          </w:r>
          <w:r w:rsidR="00501A46" w:rsidRPr="002815F4">
            <w:rPr>
              <w:rFonts w:ascii="Calibri" w:hAnsi="Calibri"/>
              <w:bCs/>
            </w:rPr>
            <w:instrText xml:space="preserve"> CITATION Amn14 \l 1033 </w:instrText>
          </w:r>
          <w:r w:rsidR="00501A46" w:rsidRPr="002815F4">
            <w:rPr>
              <w:rFonts w:ascii="Calibri" w:hAnsi="Calibri"/>
              <w:bCs/>
            </w:rPr>
            <w:fldChar w:fldCharType="separate"/>
          </w:r>
          <w:r w:rsidR="003E626E" w:rsidRPr="002815F4">
            <w:rPr>
              <w:rFonts w:ascii="Calibri" w:hAnsi="Calibri"/>
              <w:noProof/>
            </w:rPr>
            <w:t>(Amnesty International, 2014)</w:t>
          </w:r>
          <w:r w:rsidR="00501A46" w:rsidRPr="002815F4">
            <w:rPr>
              <w:rFonts w:ascii="Calibri" w:hAnsi="Calibri"/>
              <w:bCs/>
            </w:rPr>
            <w:fldChar w:fldCharType="end"/>
          </w:r>
        </w:sdtContent>
      </w:sdt>
      <w:r w:rsidR="00501A46" w:rsidRPr="002815F4">
        <w:rPr>
          <w:rFonts w:ascii="Calibri" w:hAnsi="Calibri"/>
          <w:bCs/>
        </w:rPr>
        <w:t xml:space="preserve"> </w:t>
      </w:r>
      <w:sdt>
        <w:sdtPr>
          <w:rPr>
            <w:rFonts w:ascii="Calibri" w:hAnsi="Calibri"/>
            <w:bCs/>
          </w:rPr>
          <w:id w:val="-1567792871"/>
          <w:citation/>
        </w:sdtPr>
        <w:sdtEndPr/>
        <w:sdtContent>
          <w:r w:rsidR="00501A46" w:rsidRPr="002815F4">
            <w:rPr>
              <w:rFonts w:ascii="Calibri" w:hAnsi="Calibri"/>
              <w:bCs/>
            </w:rPr>
            <w:fldChar w:fldCharType="begin"/>
          </w:r>
          <w:r w:rsidR="00501A46" w:rsidRPr="002815F4">
            <w:rPr>
              <w:rFonts w:ascii="Calibri" w:hAnsi="Calibri"/>
              <w:bCs/>
            </w:rPr>
            <w:instrText xml:space="preserve"> CITATION PWY163 \l 1033 </w:instrText>
          </w:r>
          <w:r w:rsidR="00501A46" w:rsidRPr="002815F4">
            <w:rPr>
              <w:rFonts w:ascii="Calibri" w:hAnsi="Calibri"/>
              <w:bCs/>
            </w:rPr>
            <w:fldChar w:fldCharType="separate"/>
          </w:r>
          <w:r w:rsidR="003E626E" w:rsidRPr="002815F4">
            <w:rPr>
              <w:rFonts w:ascii="Calibri" w:hAnsi="Calibri"/>
              <w:noProof/>
            </w:rPr>
            <w:t>(PWYP Senegal, 2016)</w:t>
          </w:r>
          <w:r w:rsidR="00501A46" w:rsidRPr="002815F4">
            <w:rPr>
              <w:rFonts w:ascii="Calibri" w:hAnsi="Calibri"/>
              <w:bCs/>
            </w:rPr>
            <w:fldChar w:fldCharType="end"/>
          </w:r>
        </w:sdtContent>
      </w:sdt>
      <w:r w:rsidR="00501A46" w:rsidRPr="002815F4">
        <w:rPr>
          <w:rFonts w:ascii="Calibri" w:hAnsi="Calibri"/>
          <w:bCs/>
        </w:rPr>
        <w:t xml:space="preserve"> </w:t>
      </w:r>
      <w:sdt>
        <w:sdtPr>
          <w:rPr>
            <w:rFonts w:ascii="Calibri" w:hAnsi="Calibri"/>
            <w:bCs/>
          </w:rPr>
          <w:id w:val="-915004932"/>
          <w:citation/>
        </w:sdtPr>
        <w:sdtEndPr/>
        <w:sdtContent>
          <w:r w:rsidR="0036470E" w:rsidRPr="002815F4">
            <w:rPr>
              <w:rFonts w:ascii="Calibri" w:hAnsi="Calibri"/>
              <w:bCs/>
            </w:rPr>
            <w:fldChar w:fldCharType="begin"/>
          </w:r>
          <w:r w:rsidR="0036470E" w:rsidRPr="002815F4">
            <w:rPr>
              <w:rFonts w:ascii="Calibri" w:hAnsi="Calibri"/>
              <w:bCs/>
            </w:rPr>
            <w:instrText xml:space="preserve"> CITATION PWY171 \l 1033 </w:instrText>
          </w:r>
          <w:r w:rsidR="0036470E" w:rsidRPr="002815F4">
            <w:rPr>
              <w:rFonts w:ascii="Calibri" w:hAnsi="Calibri"/>
              <w:bCs/>
            </w:rPr>
            <w:fldChar w:fldCharType="separate"/>
          </w:r>
          <w:r w:rsidR="003E626E" w:rsidRPr="002815F4">
            <w:rPr>
              <w:rFonts w:ascii="Calibri" w:hAnsi="Calibri"/>
              <w:noProof/>
            </w:rPr>
            <w:t>(PWYP Senegal, 2017)</w:t>
          </w:r>
          <w:r w:rsidR="0036470E" w:rsidRPr="002815F4">
            <w:rPr>
              <w:rFonts w:ascii="Calibri" w:hAnsi="Calibri"/>
              <w:bCs/>
            </w:rPr>
            <w:fldChar w:fldCharType="end"/>
          </w:r>
        </w:sdtContent>
      </w:sdt>
      <w:sdt>
        <w:sdtPr>
          <w:rPr>
            <w:rFonts w:ascii="Calibri" w:hAnsi="Calibri"/>
            <w:bCs/>
          </w:rPr>
          <w:id w:val="-889253224"/>
          <w:citation/>
        </w:sdtPr>
        <w:sdtEndPr/>
        <w:sdtContent>
          <w:r w:rsidR="00501A46" w:rsidRPr="002815F4">
            <w:rPr>
              <w:rFonts w:ascii="Calibri" w:hAnsi="Calibri"/>
              <w:bCs/>
            </w:rPr>
            <w:fldChar w:fldCharType="begin"/>
          </w:r>
          <w:r w:rsidR="00501A46" w:rsidRPr="002815F4">
            <w:rPr>
              <w:rFonts w:ascii="Calibri" w:hAnsi="Calibri"/>
              <w:bCs/>
            </w:rPr>
            <w:instrText xml:space="preserve"> CITATION Rew17 \l 1033 </w:instrText>
          </w:r>
          <w:r w:rsidR="00501A46" w:rsidRPr="002815F4">
            <w:rPr>
              <w:rFonts w:ascii="Calibri" w:hAnsi="Calibri"/>
              <w:bCs/>
            </w:rPr>
            <w:fldChar w:fldCharType="separate"/>
          </w:r>
          <w:r w:rsidR="003E626E" w:rsidRPr="002815F4">
            <w:rPr>
              <w:rFonts w:ascii="Calibri" w:hAnsi="Calibri"/>
              <w:bCs/>
              <w:noProof/>
            </w:rPr>
            <w:t xml:space="preserve"> </w:t>
          </w:r>
          <w:r w:rsidR="003E626E" w:rsidRPr="002815F4">
            <w:rPr>
              <w:rFonts w:ascii="Calibri" w:hAnsi="Calibri"/>
              <w:noProof/>
            </w:rPr>
            <w:t>(Rewmi.com, 2017)</w:t>
          </w:r>
          <w:r w:rsidR="00501A46" w:rsidRPr="002815F4">
            <w:rPr>
              <w:rFonts w:ascii="Calibri" w:hAnsi="Calibri"/>
              <w:bCs/>
            </w:rPr>
            <w:fldChar w:fldCharType="end"/>
          </w:r>
        </w:sdtContent>
      </w:sdt>
      <w:r w:rsidR="00B12E7C" w:rsidRPr="002815F4">
        <w:rPr>
          <w:rFonts w:ascii="Calibri" w:hAnsi="Calibri"/>
          <w:bCs/>
        </w:rPr>
        <w:t xml:space="preserve">. </w:t>
      </w:r>
      <w:r w:rsidR="00E05634" w:rsidRPr="002815F4">
        <w:rPr>
          <w:rFonts w:ascii="Calibri" w:hAnsi="Calibri"/>
        </w:rPr>
        <w:t xml:space="preserve">There is also extensive evidence of civil society statements critical of aspects of Senegal’s EITI implementation </w:t>
      </w:r>
      <w:sdt>
        <w:sdtPr>
          <w:rPr>
            <w:rFonts w:ascii="Calibri" w:hAnsi="Calibri"/>
          </w:rPr>
          <w:id w:val="-417099415"/>
          <w:citation/>
        </w:sdtPr>
        <w:sdtEndPr/>
        <w:sdtContent>
          <w:r w:rsidR="00E05634" w:rsidRPr="002815F4">
            <w:rPr>
              <w:rFonts w:ascii="Calibri" w:hAnsi="Calibri"/>
            </w:rPr>
            <w:fldChar w:fldCharType="begin"/>
          </w:r>
          <w:r w:rsidR="00E05634" w:rsidRPr="002815F4">
            <w:rPr>
              <w:rFonts w:ascii="Calibri" w:hAnsi="Calibri"/>
            </w:rPr>
            <w:instrText xml:space="preserve"> CITATION Sen151 \l 1033 </w:instrText>
          </w:r>
          <w:r w:rsidR="00E05634" w:rsidRPr="002815F4">
            <w:rPr>
              <w:rFonts w:ascii="Calibri" w:hAnsi="Calibri"/>
            </w:rPr>
            <w:fldChar w:fldCharType="separate"/>
          </w:r>
          <w:r w:rsidR="003E626E" w:rsidRPr="002815F4">
            <w:rPr>
              <w:rFonts w:ascii="Calibri" w:hAnsi="Calibri"/>
              <w:noProof/>
            </w:rPr>
            <w:t>(SenePlus, 2015)</w:t>
          </w:r>
          <w:r w:rsidR="00E05634" w:rsidRPr="002815F4">
            <w:rPr>
              <w:rFonts w:ascii="Calibri" w:hAnsi="Calibri"/>
            </w:rPr>
            <w:fldChar w:fldCharType="end"/>
          </w:r>
        </w:sdtContent>
      </w:sdt>
      <w:r w:rsidR="00E05634" w:rsidRPr="002815F4">
        <w:rPr>
          <w:rFonts w:ascii="Calibri" w:hAnsi="Calibri"/>
        </w:rPr>
        <w:t xml:space="preserve"> </w:t>
      </w:r>
      <w:sdt>
        <w:sdtPr>
          <w:rPr>
            <w:rFonts w:ascii="Calibri" w:hAnsi="Calibri"/>
          </w:rPr>
          <w:id w:val="1960373629"/>
          <w:citation/>
        </w:sdtPr>
        <w:sdtEndPr/>
        <w:sdtContent>
          <w:r w:rsidR="00E05634" w:rsidRPr="002815F4">
            <w:rPr>
              <w:rFonts w:ascii="Calibri" w:hAnsi="Calibri"/>
            </w:rPr>
            <w:fldChar w:fldCharType="begin"/>
          </w:r>
          <w:r w:rsidR="00E05634" w:rsidRPr="002815F4">
            <w:rPr>
              <w:rFonts w:ascii="Calibri" w:hAnsi="Calibri"/>
            </w:rPr>
            <w:instrText xml:space="preserve"> CITATION Sen15 \l 1033 </w:instrText>
          </w:r>
          <w:r w:rsidR="00E05634" w:rsidRPr="002815F4">
            <w:rPr>
              <w:rFonts w:ascii="Calibri" w:hAnsi="Calibri"/>
            </w:rPr>
            <w:fldChar w:fldCharType="separate"/>
          </w:r>
          <w:r w:rsidR="003E626E" w:rsidRPr="002815F4">
            <w:rPr>
              <w:rFonts w:ascii="Calibri" w:hAnsi="Calibri"/>
              <w:noProof/>
            </w:rPr>
            <w:t>(SenePlus, 2015)</w:t>
          </w:r>
          <w:r w:rsidR="00E05634" w:rsidRPr="002815F4">
            <w:rPr>
              <w:rFonts w:ascii="Calibri" w:hAnsi="Calibri"/>
            </w:rPr>
            <w:fldChar w:fldCharType="end"/>
          </w:r>
        </w:sdtContent>
      </w:sdt>
      <w:r w:rsidR="00E05634" w:rsidRPr="002815F4">
        <w:rPr>
          <w:rFonts w:ascii="Calibri" w:hAnsi="Calibri"/>
        </w:rPr>
        <w:t xml:space="preserve">. </w:t>
      </w:r>
    </w:p>
    <w:p w14:paraId="47CB414C" w14:textId="359DCB8E" w:rsidR="007E4441" w:rsidRDefault="002929E0" w:rsidP="00E02D8A">
      <w:pPr>
        <w:spacing w:before="120"/>
        <w:rPr>
          <w:rFonts w:ascii="Calibri" w:hAnsi="Calibri" w:cs="Arial"/>
        </w:rPr>
      </w:pPr>
      <w:r w:rsidRPr="002815F4">
        <w:rPr>
          <w:rFonts w:ascii="Calibri" w:hAnsi="Calibri"/>
          <w:i/>
          <w:u w:val="single"/>
        </w:rPr>
        <w:t>Operation</w:t>
      </w:r>
      <w:r w:rsidRPr="002815F4">
        <w:rPr>
          <w:rFonts w:ascii="Calibri" w:hAnsi="Calibri"/>
          <w:i/>
        </w:rPr>
        <w:t>:</w:t>
      </w:r>
      <w:r w:rsidRPr="002815F4">
        <w:rPr>
          <w:rFonts w:ascii="Calibri" w:hAnsi="Calibri"/>
        </w:rPr>
        <w:t xml:space="preserve"> </w:t>
      </w:r>
      <w:r w:rsidR="00EB3C36" w:rsidRPr="002815F4">
        <w:rPr>
          <w:rFonts w:ascii="Calibri" w:hAnsi="Calibri"/>
        </w:rPr>
        <w:t xml:space="preserve">Senegal’s civil society is governed by common law, with </w:t>
      </w:r>
      <w:r w:rsidR="007F20B8" w:rsidRPr="002815F4">
        <w:rPr>
          <w:rFonts w:ascii="Calibri" w:hAnsi="Calibri"/>
        </w:rPr>
        <w:t xml:space="preserve">a declarative system for NGO and association registration </w:t>
      </w:r>
      <w:sdt>
        <w:sdtPr>
          <w:rPr>
            <w:rFonts w:ascii="Calibri" w:hAnsi="Calibri" w:cs="Arial"/>
          </w:rPr>
          <w:id w:val="-1876295635"/>
          <w:citation/>
        </w:sdtPr>
        <w:sdtEndPr/>
        <w:sdtContent>
          <w:r w:rsidR="007F20B8" w:rsidRPr="002815F4">
            <w:rPr>
              <w:rFonts w:ascii="Calibri" w:hAnsi="Calibri" w:cs="Arial"/>
            </w:rPr>
            <w:fldChar w:fldCharType="begin"/>
          </w:r>
          <w:r w:rsidR="007F20B8" w:rsidRPr="002815F4">
            <w:rPr>
              <w:rFonts w:ascii="Calibri" w:hAnsi="Calibri" w:cs="Arial"/>
            </w:rPr>
            <w:instrText xml:space="preserve"> CITATION The17 \l 1033 </w:instrText>
          </w:r>
          <w:r w:rsidR="007F20B8" w:rsidRPr="002815F4">
            <w:rPr>
              <w:rFonts w:ascii="Calibri" w:hAnsi="Calibri" w:cs="Arial"/>
            </w:rPr>
            <w:fldChar w:fldCharType="separate"/>
          </w:r>
          <w:r w:rsidR="003E626E" w:rsidRPr="002815F4">
            <w:rPr>
              <w:rFonts w:ascii="Calibri" w:hAnsi="Calibri" w:cs="Arial"/>
              <w:noProof/>
            </w:rPr>
            <w:t>(The International Center for Not-for-Profit Law, 2017)</w:t>
          </w:r>
          <w:r w:rsidR="007F20B8" w:rsidRPr="002815F4">
            <w:rPr>
              <w:rFonts w:ascii="Calibri" w:hAnsi="Calibri" w:cs="Arial"/>
            </w:rPr>
            <w:fldChar w:fldCharType="end"/>
          </w:r>
        </w:sdtContent>
      </w:sdt>
      <w:r w:rsidR="007F20B8" w:rsidRPr="002815F4">
        <w:rPr>
          <w:rFonts w:ascii="Calibri" w:hAnsi="Calibri"/>
        </w:rPr>
        <w:t xml:space="preserve">. The government registration body varies depending on the nature of the non-profit, with the Ministry of Interior </w:t>
      </w:r>
      <w:r w:rsidR="007F20B8" w:rsidRPr="002815F4">
        <w:rPr>
          <w:rFonts w:ascii="Calibri" w:hAnsi="Calibri"/>
          <w:bCs/>
        </w:rPr>
        <w:t xml:space="preserve">for </w:t>
      </w:r>
      <w:r w:rsidR="007F20B8" w:rsidRPr="002815F4">
        <w:rPr>
          <w:rFonts w:ascii="Calibri" w:hAnsi="Calibri" w:cs="Arial"/>
        </w:rPr>
        <w:t>associations, the Ministry of Finance for foundations, the line ministry for national NGOs and the Ministry of Foreign Affairs for international NGOs</w:t>
      </w:r>
      <w:r w:rsidR="00AB434E" w:rsidRPr="002815F4">
        <w:rPr>
          <w:rFonts w:ascii="Calibri" w:hAnsi="Calibri" w:cs="Arial"/>
        </w:rPr>
        <w:t xml:space="preserve"> </w:t>
      </w:r>
      <w:sdt>
        <w:sdtPr>
          <w:rPr>
            <w:rFonts w:ascii="Calibri" w:hAnsi="Calibri" w:cs="Arial"/>
          </w:rPr>
          <w:id w:val="-1946226216"/>
          <w:citation/>
        </w:sdtPr>
        <w:sdtEndPr/>
        <w:sdtContent>
          <w:r w:rsidR="00AB434E" w:rsidRPr="002815F4">
            <w:rPr>
              <w:rFonts w:ascii="Calibri" w:hAnsi="Calibri" w:cs="Arial"/>
            </w:rPr>
            <w:fldChar w:fldCharType="begin"/>
          </w:r>
          <w:r w:rsidR="00AB434E" w:rsidRPr="002815F4">
            <w:rPr>
              <w:rFonts w:ascii="Calibri" w:hAnsi="Calibri" w:cs="Arial"/>
            </w:rPr>
            <w:instrText xml:space="preserve"> CITATION The17 \l 1033 </w:instrText>
          </w:r>
          <w:r w:rsidR="00AB434E" w:rsidRPr="002815F4">
            <w:rPr>
              <w:rFonts w:ascii="Calibri" w:hAnsi="Calibri" w:cs="Arial"/>
            </w:rPr>
            <w:fldChar w:fldCharType="separate"/>
          </w:r>
          <w:r w:rsidR="003E626E" w:rsidRPr="002815F4">
            <w:rPr>
              <w:rFonts w:ascii="Calibri" w:hAnsi="Calibri" w:cs="Arial"/>
              <w:noProof/>
            </w:rPr>
            <w:t>(The International Center for Not-for-Profit Law, 2017)</w:t>
          </w:r>
          <w:r w:rsidR="00AB434E" w:rsidRPr="002815F4">
            <w:rPr>
              <w:rFonts w:ascii="Calibri" w:hAnsi="Calibri" w:cs="Arial"/>
            </w:rPr>
            <w:fldChar w:fldCharType="end"/>
          </w:r>
        </w:sdtContent>
      </w:sdt>
      <w:r w:rsidR="007F20B8" w:rsidRPr="002815F4">
        <w:rPr>
          <w:rFonts w:ascii="Calibri" w:hAnsi="Calibri" w:cs="Arial"/>
        </w:rPr>
        <w:t>. There are no barriers to NGOs working with international partners or accessing funding, although NGOs must have a proven track record of two years’ existence to enjoy all registered NGO benefits including (tax) exemptions. Only groups whose activities and goals are contrary to the Penal Code or against public order are banned</w:t>
      </w:r>
      <w:sdt>
        <w:sdtPr>
          <w:rPr>
            <w:rFonts w:ascii="Calibri" w:hAnsi="Calibri" w:cs="Arial"/>
          </w:rPr>
          <w:id w:val="1451824616"/>
          <w:citation/>
        </w:sdtPr>
        <w:sdtEndPr/>
        <w:sdtContent>
          <w:r w:rsidR="00AB434E" w:rsidRPr="002815F4">
            <w:rPr>
              <w:rFonts w:ascii="Calibri" w:hAnsi="Calibri" w:cs="Arial"/>
            </w:rPr>
            <w:fldChar w:fldCharType="begin"/>
          </w:r>
          <w:r w:rsidR="00AB434E" w:rsidRPr="002815F4">
            <w:rPr>
              <w:rFonts w:ascii="Calibri" w:hAnsi="Calibri" w:cs="Arial"/>
            </w:rPr>
            <w:instrText xml:space="preserve"> CITATION The17 \l 1033 </w:instrText>
          </w:r>
          <w:r w:rsidR="00AB434E" w:rsidRPr="002815F4">
            <w:rPr>
              <w:rFonts w:ascii="Calibri" w:hAnsi="Calibri" w:cs="Arial"/>
            </w:rPr>
            <w:fldChar w:fldCharType="separate"/>
          </w:r>
          <w:r w:rsidR="003E626E" w:rsidRPr="002815F4">
            <w:rPr>
              <w:rFonts w:ascii="Calibri" w:hAnsi="Calibri" w:cs="Arial"/>
              <w:noProof/>
            </w:rPr>
            <w:t xml:space="preserve"> (The International Center for Not-for-Profit Law, 2017)</w:t>
          </w:r>
          <w:r w:rsidR="00AB434E" w:rsidRPr="002815F4">
            <w:rPr>
              <w:rFonts w:ascii="Calibri" w:hAnsi="Calibri" w:cs="Arial"/>
            </w:rPr>
            <w:fldChar w:fldCharType="end"/>
          </w:r>
        </w:sdtContent>
      </w:sdt>
      <w:r w:rsidR="007F20B8" w:rsidRPr="002815F4">
        <w:rPr>
          <w:rFonts w:ascii="Calibri" w:hAnsi="Calibri" w:cs="Arial"/>
        </w:rPr>
        <w:t>. While certain NGOs have raised concerns over the need for approval from two Ministries (of Finance and of Social Development) and for submitting regular project reports to the Ministry of Social Development, requirements seen as potentially undermining CSOs’ autonomy, there is no evidence such administrative requirements have hindered CSOs’ free operation in relation to EITI-related activities</w:t>
      </w:r>
      <w:sdt>
        <w:sdtPr>
          <w:rPr>
            <w:rFonts w:ascii="Calibri" w:hAnsi="Calibri" w:cs="Arial"/>
          </w:rPr>
          <w:id w:val="777911104"/>
          <w:citation/>
        </w:sdtPr>
        <w:sdtEndPr/>
        <w:sdtContent>
          <w:r w:rsidR="00F61D21" w:rsidRPr="002815F4">
            <w:rPr>
              <w:rFonts w:ascii="Calibri" w:hAnsi="Calibri" w:cs="Arial"/>
            </w:rPr>
            <w:fldChar w:fldCharType="begin"/>
          </w:r>
          <w:r w:rsidR="00F61D21" w:rsidRPr="002815F4">
            <w:rPr>
              <w:rFonts w:ascii="Calibri" w:hAnsi="Calibri" w:cs="Arial"/>
            </w:rPr>
            <w:instrText xml:space="preserve"> CITATION The12 \l 1033 </w:instrText>
          </w:r>
          <w:r w:rsidR="00F61D21" w:rsidRPr="002815F4">
            <w:rPr>
              <w:rFonts w:ascii="Calibri" w:hAnsi="Calibri" w:cs="Arial"/>
            </w:rPr>
            <w:fldChar w:fldCharType="separate"/>
          </w:r>
          <w:r w:rsidR="003E626E" w:rsidRPr="002815F4">
            <w:rPr>
              <w:rFonts w:ascii="Calibri" w:hAnsi="Calibri" w:cs="Arial"/>
              <w:noProof/>
            </w:rPr>
            <w:t xml:space="preserve"> (The International Centre for Not-for-Profit Law, 2012)</w:t>
          </w:r>
          <w:r w:rsidR="00F61D21" w:rsidRPr="002815F4">
            <w:rPr>
              <w:rFonts w:ascii="Calibri" w:hAnsi="Calibri" w:cs="Arial"/>
            </w:rPr>
            <w:fldChar w:fldCharType="end"/>
          </w:r>
        </w:sdtContent>
      </w:sdt>
      <w:r w:rsidR="007F20B8" w:rsidRPr="002815F4">
        <w:rPr>
          <w:rFonts w:ascii="Calibri" w:hAnsi="Calibri" w:cs="Arial"/>
        </w:rPr>
        <w:t xml:space="preserve">. </w:t>
      </w:r>
    </w:p>
    <w:p w14:paraId="5A259D08" w14:textId="23853191" w:rsidR="00944A85" w:rsidRPr="002815F4" w:rsidRDefault="001F700F" w:rsidP="00E02D8A">
      <w:pPr>
        <w:spacing w:before="120"/>
        <w:rPr>
          <w:rFonts w:ascii="Calibri" w:hAnsi="Calibri" w:cs="Arial"/>
        </w:rPr>
      </w:pPr>
      <w:r w:rsidRPr="002815F4">
        <w:rPr>
          <w:rFonts w:ascii="Calibri" w:hAnsi="Calibri" w:cs="Arial"/>
        </w:rPr>
        <w:t xml:space="preserve">Decree 2013-881 establishing the EITI allocated five MSG seats for self-appointed representatives of civil society, alongside designated members of three specific non-state institutions </w:t>
      </w:r>
      <w:sdt>
        <w:sdtPr>
          <w:rPr>
            <w:rFonts w:ascii="Calibri" w:hAnsi="Calibri" w:cs="Arial"/>
          </w:rPr>
          <w:id w:val="60300691"/>
          <w:citation/>
        </w:sdtPr>
        <w:sdtEndPr/>
        <w:sdtContent>
          <w:r w:rsidRPr="002815F4">
            <w:rPr>
              <w:rFonts w:ascii="Calibri" w:hAnsi="Calibri" w:cs="Arial"/>
            </w:rPr>
            <w:fldChar w:fldCharType="begin"/>
          </w:r>
          <w:r w:rsidRPr="002815F4">
            <w:rPr>
              <w:rFonts w:ascii="Calibri" w:hAnsi="Calibri" w:cs="Arial"/>
            </w:rPr>
            <w:instrText xml:space="preserve"> CITATION Min13 \l 1033 </w:instrText>
          </w:r>
          <w:r w:rsidRPr="002815F4">
            <w:rPr>
              <w:rFonts w:ascii="Calibri" w:hAnsi="Calibri" w:cs="Arial"/>
            </w:rPr>
            <w:fldChar w:fldCharType="separate"/>
          </w:r>
          <w:r w:rsidR="003E626E" w:rsidRPr="002815F4">
            <w:rPr>
              <w:rFonts w:ascii="Calibri" w:hAnsi="Calibri" w:cs="Arial"/>
              <w:noProof/>
            </w:rPr>
            <w:t>(Premier Ministre, 2013)</w:t>
          </w:r>
          <w:r w:rsidRPr="002815F4">
            <w:rPr>
              <w:rFonts w:ascii="Calibri" w:hAnsi="Calibri" w:cs="Arial"/>
            </w:rPr>
            <w:fldChar w:fldCharType="end"/>
          </w:r>
        </w:sdtContent>
      </w:sdt>
      <w:r w:rsidRPr="002815F4">
        <w:rPr>
          <w:rFonts w:ascii="Calibri" w:hAnsi="Calibri" w:cs="Arial"/>
        </w:rPr>
        <w:t>. As noted in a 9 November 2012 call for nominations from the Ministry of Energy and Mines to CSOs included in Senegal’s EITI application, t</w:t>
      </w:r>
      <w:r w:rsidR="004C3665" w:rsidRPr="002815F4">
        <w:rPr>
          <w:rFonts w:ascii="Calibri" w:hAnsi="Calibri" w:cs="Arial"/>
        </w:rPr>
        <w:t xml:space="preserve">he nomination of </w:t>
      </w:r>
      <w:r w:rsidR="00944A85" w:rsidRPr="002815F4">
        <w:rPr>
          <w:rFonts w:ascii="Calibri" w:hAnsi="Calibri" w:cs="Arial"/>
        </w:rPr>
        <w:t xml:space="preserve">the five bona fide </w:t>
      </w:r>
      <w:r w:rsidR="004C3665" w:rsidRPr="002815F4">
        <w:rPr>
          <w:rFonts w:ascii="Calibri" w:hAnsi="Calibri" w:cs="Arial"/>
        </w:rPr>
        <w:t xml:space="preserve">CSO </w:t>
      </w:r>
      <w:r w:rsidRPr="002815F4">
        <w:rPr>
          <w:rFonts w:ascii="Calibri" w:hAnsi="Calibri" w:cs="Arial"/>
        </w:rPr>
        <w:t xml:space="preserve">MSG </w:t>
      </w:r>
      <w:r w:rsidR="004C3665" w:rsidRPr="002815F4">
        <w:rPr>
          <w:rFonts w:ascii="Calibri" w:hAnsi="Calibri" w:cs="Arial"/>
        </w:rPr>
        <w:t>representatives was left to CSOs themselves</w:t>
      </w:r>
      <w:r w:rsidRPr="002815F4">
        <w:rPr>
          <w:rFonts w:ascii="Calibri" w:hAnsi="Calibri" w:cs="Arial"/>
        </w:rPr>
        <w:t xml:space="preserve"> </w:t>
      </w:r>
      <w:sdt>
        <w:sdtPr>
          <w:rPr>
            <w:rFonts w:ascii="Calibri" w:hAnsi="Calibri" w:cs="Arial"/>
          </w:rPr>
          <w:id w:val="-1348479403"/>
          <w:citation/>
        </w:sdtPr>
        <w:sdtEndPr/>
        <w:sdtContent>
          <w:r w:rsidRPr="002815F4">
            <w:rPr>
              <w:rFonts w:ascii="Calibri" w:hAnsi="Calibri" w:cs="Arial"/>
            </w:rPr>
            <w:fldChar w:fldCharType="begin"/>
          </w:r>
          <w:r w:rsidRPr="002815F4">
            <w:rPr>
              <w:rFonts w:ascii="Calibri" w:hAnsi="Calibri" w:cs="Arial"/>
            </w:rPr>
            <w:instrText xml:space="preserve"> CITATION ITI1319 \l 1033 </w:instrText>
          </w:r>
          <w:r w:rsidRPr="002815F4">
            <w:rPr>
              <w:rFonts w:ascii="Calibri" w:hAnsi="Calibri" w:cs="Arial"/>
            </w:rPr>
            <w:fldChar w:fldCharType="separate"/>
          </w:r>
          <w:r w:rsidR="003E626E" w:rsidRPr="002815F4">
            <w:rPr>
              <w:rFonts w:ascii="Calibri" w:hAnsi="Calibri" w:cs="Arial"/>
              <w:noProof/>
            </w:rPr>
            <w:t>(ITIE Senegal, 2013)</w:t>
          </w:r>
          <w:r w:rsidRPr="002815F4">
            <w:rPr>
              <w:rFonts w:ascii="Calibri" w:hAnsi="Calibri" w:cs="Arial"/>
            </w:rPr>
            <w:fldChar w:fldCharType="end"/>
          </w:r>
        </w:sdtContent>
      </w:sdt>
      <w:r w:rsidRPr="002815F4">
        <w:rPr>
          <w:rFonts w:ascii="Calibri" w:hAnsi="Calibri" w:cs="Arial"/>
        </w:rPr>
        <w:t xml:space="preserve">. </w:t>
      </w:r>
    </w:p>
    <w:p w14:paraId="1F2DCF24" w14:textId="16B8CC01" w:rsidR="00F61D21" w:rsidRPr="002815F4" w:rsidRDefault="004C3665" w:rsidP="00F61D21">
      <w:pPr>
        <w:spacing w:before="120"/>
        <w:rPr>
          <w:rFonts w:ascii="Calibri" w:hAnsi="Calibri" w:cs="Arial"/>
        </w:rPr>
      </w:pPr>
      <w:r w:rsidRPr="00863985">
        <w:rPr>
          <w:rFonts w:ascii="Calibri" w:hAnsi="Calibri" w:cs="Arial"/>
          <w:lang w:val="fr-FR"/>
        </w:rPr>
        <w:t>According to EITI Senegal</w:t>
      </w:r>
      <w:r w:rsidR="001F700F" w:rsidRPr="00863985">
        <w:rPr>
          <w:rFonts w:ascii="Calibri" w:hAnsi="Calibri" w:cs="Arial"/>
          <w:lang w:val="fr-FR"/>
        </w:rPr>
        <w:t>’s</w:t>
      </w:r>
      <w:r w:rsidRPr="00863985">
        <w:rPr>
          <w:rFonts w:ascii="Calibri" w:hAnsi="Calibri" w:cs="Arial"/>
          <w:lang w:val="fr-FR"/>
        </w:rPr>
        <w:t xml:space="preserve"> website</w:t>
      </w:r>
      <w:r w:rsidR="001F700F" w:rsidRPr="00863985">
        <w:rPr>
          <w:rFonts w:ascii="Calibri" w:hAnsi="Calibri" w:cs="Arial"/>
          <w:lang w:val="fr-FR"/>
        </w:rPr>
        <w:t xml:space="preserve">, the MSG includes </w:t>
      </w:r>
      <w:r w:rsidR="005D0B01" w:rsidRPr="00863985">
        <w:rPr>
          <w:rFonts w:ascii="Calibri" w:hAnsi="Calibri" w:cs="Arial"/>
          <w:lang w:val="fr-FR"/>
        </w:rPr>
        <w:t>ten</w:t>
      </w:r>
      <w:r w:rsidR="001F700F" w:rsidRPr="00863985">
        <w:rPr>
          <w:rFonts w:ascii="Calibri" w:hAnsi="Calibri" w:cs="Arial"/>
          <w:lang w:val="fr-FR"/>
        </w:rPr>
        <w:t xml:space="preserve"> </w:t>
      </w:r>
      <w:r w:rsidR="005D0B01" w:rsidRPr="00863985">
        <w:rPr>
          <w:rFonts w:ascii="Calibri" w:hAnsi="Calibri" w:cs="Arial"/>
          <w:lang w:val="fr-FR"/>
        </w:rPr>
        <w:t xml:space="preserve">civil society </w:t>
      </w:r>
      <w:r w:rsidR="001F700F" w:rsidRPr="00863985">
        <w:rPr>
          <w:rFonts w:ascii="Calibri" w:hAnsi="Calibri" w:cs="Arial"/>
          <w:lang w:val="fr-FR"/>
        </w:rPr>
        <w:t xml:space="preserve">members including </w:t>
      </w:r>
      <w:r w:rsidR="005C5420" w:rsidRPr="00863985">
        <w:rPr>
          <w:rFonts w:ascii="Calibri" w:hAnsi="Calibri" w:cs="Arial"/>
          <w:lang w:val="fr-FR"/>
        </w:rPr>
        <w:t>five</w:t>
      </w:r>
      <w:r w:rsidR="001F700F" w:rsidRPr="00863985">
        <w:rPr>
          <w:rFonts w:ascii="Calibri" w:hAnsi="Calibri" w:cs="Arial"/>
          <w:lang w:val="fr-FR"/>
        </w:rPr>
        <w:t xml:space="preserve"> </w:t>
      </w:r>
      <w:r w:rsidR="005D0B01" w:rsidRPr="00863985">
        <w:rPr>
          <w:rFonts w:ascii="Calibri" w:hAnsi="Calibri" w:cs="Arial"/>
          <w:lang w:val="fr-FR"/>
        </w:rPr>
        <w:t xml:space="preserve">elected PWYP </w:t>
      </w:r>
      <w:r w:rsidR="001F700F" w:rsidRPr="00863985">
        <w:rPr>
          <w:rFonts w:ascii="Calibri" w:hAnsi="Calibri" w:cs="Arial"/>
          <w:lang w:val="fr-FR"/>
        </w:rPr>
        <w:t xml:space="preserve">members from </w:t>
      </w:r>
      <w:r w:rsidRPr="00863985">
        <w:rPr>
          <w:rFonts w:ascii="Calibri" w:hAnsi="Calibri" w:cs="Arial"/>
          <w:lang w:val="fr-FR"/>
        </w:rPr>
        <w:t>Forum Civil</w:t>
      </w:r>
      <w:r w:rsidR="00D52B15" w:rsidRPr="00863985">
        <w:rPr>
          <w:rFonts w:ascii="Calibri" w:hAnsi="Calibri" w:cs="Arial"/>
          <w:lang w:val="fr-FR"/>
        </w:rPr>
        <w:t xml:space="preserve"> (the local Transparency International affiliate)</w:t>
      </w:r>
      <w:r w:rsidR="001F700F" w:rsidRPr="00863985">
        <w:rPr>
          <w:rFonts w:ascii="Calibri" w:hAnsi="Calibri" w:cs="Arial"/>
          <w:lang w:val="fr-FR"/>
        </w:rPr>
        <w:t xml:space="preserve">, Amnesty International, CONGAD (Conseil </w:t>
      </w:r>
      <w:r w:rsidR="005C5420" w:rsidRPr="00863985">
        <w:rPr>
          <w:rFonts w:ascii="Calibri" w:hAnsi="Calibri" w:cs="Arial"/>
          <w:lang w:val="fr-FR"/>
        </w:rPr>
        <w:t>des Organisations Non-Gouvernementales d'Appui au D</w:t>
      </w:r>
      <w:r w:rsidR="001F700F" w:rsidRPr="00863985">
        <w:rPr>
          <w:rFonts w:ascii="Calibri" w:hAnsi="Calibri" w:cs="Arial"/>
          <w:lang w:val="fr-FR"/>
        </w:rPr>
        <w:t>éveloppement), AGERNA (</w:t>
      </w:r>
      <w:r w:rsidR="005C5420" w:rsidRPr="00863985">
        <w:rPr>
          <w:rFonts w:ascii="Calibri" w:hAnsi="Calibri" w:cs="Arial"/>
          <w:lang w:val="fr-FR"/>
        </w:rPr>
        <w:t>Association pour une Gestion E</w:t>
      </w:r>
      <w:r w:rsidR="001F700F" w:rsidRPr="00863985">
        <w:rPr>
          <w:rFonts w:ascii="Calibri" w:hAnsi="Calibri" w:cs="Arial"/>
          <w:lang w:val="fr-FR"/>
        </w:rPr>
        <w:t>fficace</w:t>
      </w:r>
      <w:r w:rsidR="005C5420" w:rsidRPr="00863985">
        <w:rPr>
          <w:rFonts w:ascii="Calibri" w:hAnsi="Calibri" w:cs="Arial"/>
          <w:lang w:val="fr-FR"/>
        </w:rPr>
        <w:t xml:space="preserve"> et Rationnelle des Ressources N</w:t>
      </w:r>
      <w:r w:rsidR="001F700F" w:rsidRPr="00863985">
        <w:rPr>
          <w:rFonts w:ascii="Calibri" w:hAnsi="Calibri" w:cs="Arial"/>
          <w:lang w:val="fr-FR"/>
        </w:rPr>
        <w:t>aturelles)</w:t>
      </w:r>
      <w:r w:rsidR="005D0B01" w:rsidRPr="00863985">
        <w:rPr>
          <w:rFonts w:ascii="Calibri" w:hAnsi="Calibri" w:cs="Arial"/>
          <w:lang w:val="fr-FR"/>
        </w:rPr>
        <w:t xml:space="preserve"> and</w:t>
      </w:r>
      <w:r w:rsidR="005C5420" w:rsidRPr="00863985">
        <w:rPr>
          <w:rFonts w:ascii="Calibri" w:hAnsi="Calibri" w:cs="Arial"/>
          <w:lang w:val="fr-FR"/>
        </w:rPr>
        <w:t xml:space="preserve"> RADDHO (Rencontre Africaine pour la Défense des Droits de l'Homme)</w:t>
      </w:r>
      <w:r w:rsidR="005D0B01" w:rsidRPr="00863985">
        <w:rPr>
          <w:rFonts w:ascii="Calibri" w:hAnsi="Calibri" w:cs="Arial"/>
          <w:lang w:val="fr-FR"/>
        </w:rPr>
        <w:t xml:space="preserve"> as well as representatives from a trade union (Syndicat des professionnels de l'information et de la communication du Sénégal – SYNPICS), the National Order of Accountants (Ordre National des Experts Comptables et Comptables Agréés du Sénégal – ONECCA) and the </w:t>
      </w:r>
      <w:r w:rsidR="00944A85" w:rsidRPr="00863985">
        <w:rPr>
          <w:rFonts w:ascii="Calibri" w:hAnsi="Calibri" w:cs="Arial"/>
          <w:lang w:val="fr-FR"/>
        </w:rPr>
        <w:t xml:space="preserve">Association of Town Councillors </w:t>
      </w:r>
      <w:r w:rsidR="005D0B01" w:rsidRPr="00863985">
        <w:rPr>
          <w:rFonts w:ascii="Calibri" w:hAnsi="Calibri" w:cs="Arial"/>
          <w:lang w:val="fr-FR"/>
        </w:rPr>
        <w:t>(</w:t>
      </w:r>
      <w:r w:rsidR="00944A85" w:rsidRPr="00863985">
        <w:rPr>
          <w:rFonts w:ascii="Calibri" w:hAnsi="Calibri" w:cs="Arial"/>
          <w:lang w:val="fr-FR"/>
        </w:rPr>
        <w:t>Union des A</w:t>
      </w:r>
      <w:r w:rsidR="005D0B01" w:rsidRPr="00863985">
        <w:rPr>
          <w:rFonts w:ascii="Calibri" w:hAnsi="Calibri" w:cs="Arial"/>
          <w:lang w:val="fr-FR"/>
        </w:rPr>
        <w:t>ssoci</w:t>
      </w:r>
      <w:r w:rsidR="00944A85" w:rsidRPr="00863985">
        <w:rPr>
          <w:rFonts w:ascii="Calibri" w:hAnsi="Calibri" w:cs="Arial"/>
          <w:lang w:val="fr-FR"/>
        </w:rPr>
        <w:t>ations d'Elus L</w:t>
      </w:r>
      <w:r w:rsidR="005D0B01" w:rsidRPr="00863985">
        <w:rPr>
          <w:rFonts w:ascii="Calibri" w:hAnsi="Calibri" w:cs="Arial"/>
          <w:lang w:val="fr-FR"/>
        </w:rPr>
        <w:t xml:space="preserve">ocaux – UAEL). </w:t>
      </w:r>
      <w:r w:rsidR="005D0B01" w:rsidRPr="002815F4">
        <w:rPr>
          <w:rFonts w:ascii="Calibri" w:hAnsi="Calibri" w:cs="Arial"/>
        </w:rPr>
        <w:t xml:space="preserve">There are also two parliamentarians – members of the National Assembly – loosely categorised as civil society given their </w:t>
      </w:r>
      <w:r w:rsidR="005D0B01" w:rsidRPr="002815F4">
        <w:rPr>
          <w:rFonts w:ascii="Calibri" w:hAnsi="Calibri" w:cs="Arial"/>
        </w:rPr>
        <w:lastRenderedPageBreak/>
        <w:t xml:space="preserve">lack of affiliation with government. </w:t>
      </w:r>
      <w:r w:rsidR="00944A85" w:rsidRPr="002815F4">
        <w:rPr>
          <w:rFonts w:ascii="Calibri" w:hAnsi="Calibri" w:cs="Arial"/>
        </w:rPr>
        <w:t xml:space="preserve">Some NGOs have voiced public concerns over the allocation of MSG civil society seats to appointed representatives of specific institutions, in particular the Association of Town Councillors, while some international CSOs have criticised the government’s prerogative in deciding the structure of the civil society constituency on the MSG </w:t>
      </w:r>
      <w:sdt>
        <w:sdtPr>
          <w:rPr>
            <w:rFonts w:ascii="Calibri" w:hAnsi="Calibri" w:cs="Arial"/>
          </w:rPr>
          <w:id w:val="1790312248"/>
          <w:citation/>
        </w:sdtPr>
        <w:sdtEndPr/>
        <w:sdtContent>
          <w:r w:rsidR="00944A85" w:rsidRPr="002815F4">
            <w:rPr>
              <w:rFonts w:ascii="Calibri" w:hAnsi="Calibri" w:cs="Arial"/>
            </w:rPr>
            <w:fldChar w:fldCharType="begin"/>
          </w:r>
          <w:r w:rsidR="00944A85" w:rsidRPr="002815F4">
            <w:rPr>
              <w:rFonts w:ascii="Calibri" w:hAnsi="Calibri" w:cs="Arial"/>
            </w:rPr>
            <w:instrText xml:space="preserve"> CITATION MSI152 \l 1033 </w:instrText>
          </w:r>
          <w:r w:rsidR="00944A85" w:rsidRPr="002815F4">
            <w:rPr>
              <w:rFonts w:ascii="Calibri" w:hAnsi="Calibri" w:cs="Arial"/>
            </w:rPr>
            <w:fldChar w:fldCharType="separate"/>
          </w:r>
          <w:r w:rsidR="003E626E" w:rsidRPr="002815F4">
            <w:rPr>
              <w:rFonts w:ascii="Calibri" w:hAnsi="Calibri" w:cs="Arial"/>
              <w:noProof/>
            </w:rPr>
            <w:t>(MSI Integrity, 2015)</w:t>
          </w:r>
          <w:r w:rsidR="00944A85" w:rsidRPr="002815F4">
            <w:rPr>
              <w:rFonts w:ascii="Calibri" w:hAnsi="Calibri" w:cs="Arial"/>
            </w:rPr>
            <w:fldChar w:fldCharType="end"/>
          </w:r>
        </w:sdtContent>
      </w:sdt>
      <w:r w:rsidR="00944A85" w:rsidRPr="002815F4">
        <w:rPr>
          <w:rFonts w:ascii="Calibri" w:hAnsi="Calibri" w:cs="Arial"/>
        </w:rPr>
        <w:t>. However, there is no indication that the structure of civil society representation on the MSG has curbed the ability of NGOs in general, and PWYP in particular, to steer the direction of MSG discussions (</w:t>
      </w:r>
      <w:r w:rsidR="00944A85" w:rsidRPr="002815F4">
        <w:rPr>
          <w:rFonts w:ascii="Calibri" w:hAnsi="Calibri" w:cs="Arial"/>
          <w:i/>
        </w:rPr>
        <w:t>see Requirement 1.4</w:t>
      </w:r>
      <w:r w:rsidR="00944A85" w:rsidRPr="002815F4">
        <w:rPr>
          <w:rFonts w:ascii="Calibri" w:hAnsi="Calibri" w:cs="Arial"/>
        </w:rPr>
        <w:t xml:space="preserve">). </w:t>
      </w:r>
    </w:p>
    <w:p w14:paraId="2FB52408" w14:textId="6E4021DC" w:rsidR="00BA12D2" w:rsidRPr="002815F4" w:rsidRDefault="0099126B" w:rsidP="00F61D21">
      <w:pPr>
        <w:spacing w:before="120"/>
        <w:rPr>
          <w:rFonts w:ascii="Calibri" w:hAnsi="Calibri" w:cs="Arial"/>
        </w:rPr>
      </w:pPr>
      <w:r w:rsidRPr="002815F4">
        <w:rPr>
          <w:rFonts w:ascii="Calibri" w:hAnsi="Calibri" w:cs="Arial"/>
        </w:rPr>
        <w:t xml:space="preserve">There is no evidence of any legal, regulatory or administrative obstacles affecting the ability of civil society representatives to participate in the EITI process. On the contrary, civil society has been able to access funds, with PWYP Senegal receiving grants from </w:t>
      </w:r>
      <w:r w:rsidR="0082293E" w:rsidRPr="002815F4">
        <w:rPr>
          <w:rFonts w:ascii="Calibri" w:hAnsi="Calibri" w:cs="Arial"/>
        </w:rPr>
        <w:t xml:space="preserve">international NGOs including </w:t>
      </w:r>
      <w:r w:rsidRPr="002815F4">
        <w:rPr>
          <w:rFonts w:ascii="Calibri" w:hAnsi="Calibri" w:cs="Arial"/>
        </w:rPr>
        <w:t xml:space="preserve">OSIWA (Open Society Initiative for West Africa), </w:t>
      </w:r>
      <w:r w:rsidR="0082293E" w:rsidRPr="002815F4">
        <w:rPr>
          <w:rFonts w:ascii="Calibri" w:hAnsi="Calibri" w:cs="Arial"/>
        </w:rPr>
        <w:t>Oxfam America, Amnesty International and devel</w:t>
      </w:r>
      <w:r w:rsidR="00082C1A" w:rsidRPr="002815F4">
        <w:rPr>
          <w:rFonts w:ascii="Calibri" w:hAnsi="Calibri" w:cs="Arial"/>
        </w:rPr>
        <w:t xml:space="preserve">opment partners including USAID. </w:t>
      </w:r>
      <w:r w:rsidR="007B3598" w:rsidRPr="002815F4">
        <w:rPr>
          <w:rFonts w:ascii="Calibri" w:hAnsi="Calibri" w:cs="Arial"/>
        </w:rPr>
        <w:t xml:space="preserve"> </w:t>
      </w:r>
    </w:p>
    <w:p w14:paraId="2CDCD507" w14:textId="1DD2D614" w:rsidR="00A9141D" w:rsidRPr="002815F4" w:rsidRDefault="002929E0" w:rsidP="00E956E1">
      <w:pPr>
        <w:spacing w:before="120"/>
        <w:rPr>
          <w:rFonts w:ascii="Calibri" w:hAnsi="Calibri"/>
        </w:rPr>
      </w:pPr>
      <w:r w:rsidRPr="002815F4">
        <w:rPr>
          <w:rFonts w:ascii="Calibri" w:hAnsi="Calibri"/>
          <w:i/>
          <w:u w:val="single"/>
        </w:rPr>
        <w:t>Association</w:t>
      </w:r>
      <w:r w:rsidRPr="002815F4">
        <w:rPr>
          <w:rFonts w:ascii="Calibri" w:hAnsi="Calibri"/>
          <w:i/>
        </w:rPr>
        <w:t xml:space="preserve">: </w:t>
      </w:r>
      <w:r w:rsidR="00944A85" w:rsidRPr="002815F4">
        <w:rPr>
          <w:rFonts w:ascii="Calibri" w:hAnsi="Calibri"/>
          <w:bCs/>
        </w:rPr>
        <w:t xml:space="preserve">There is a robust and vibrant civil society in Senegal, including roughly 11,600 associations and 487 registered NGOs as of 2016, including 303 Senegalese NGOs and 184 foreign organisations, according to the Department </w:t>
      </w:r>
      <w:r w:rsidR="00944A85" w:rsidRPr="002815F4">
        <w:rPr>
          <w:rFonts w:ascii="Calibri" w:hAnsi="Calibri"/>
        </w:rPr>
        <w:t xml:space="preserve">of Community Development of the Ministry of the Family </w:t>
      </w:r>
      <w:sdt>
        <w:sdtPr>
          <w:rPr>
            <w:rFonts w:ascii="Calibri" w:hAnsi="Calibri"/>
          </w:rPr>
          <w:id w:val="842513376"/>
          <w:citation/>
        </w:sdtPr>
        <w:sdtEndPr/>
        <w:sdtContent>
          <w:r w:rsidR="00944A85" w:rsidRPr="002815F4">
            <w:rPr>
              <w:rFonts w:ascii="Calibri" w:hAnsi="Calibri"/>
            </w:rPr>
            <w:fldChar w:fldCharType="begin"/>
          </w:r>
          <w:r w:rsidR="00944A85" w:rsidRPr="002815F4">
            <w:rPr>
              <w:rFonts w:ascii="Calibri" w:hAnsi="Calibri"/>
            </w:rPr>
            <w:instrText xml:space="preserve"> CITATION The17 \l 1033 </w:instrText>
          </w:r>
          <w:r w:rsidR="00944A85" w:rsidRPr="002815F4">
            <w:rPr>
              <w:rFonts w:ascii="Calibri" w:hAnsi="Calibri"/>
            </w:rPr>
            <w:fldChar w:fldCharType="separate"/>
          </w:r>
          <w:r w:rsidR="003E626E" w:rsidRPr="002815F4">
            <w:rPr>
              <w:rFonts w:ascii="Calibri" w:hAnsi="Calibri"/>
              <w:noProof/>
            </w:rPr>
            <w:t>(The International Center for Not-for-Profit Law, 2017)</w:t>
          </w:r>
          <w:r w:rsidR="00944A85" w:rsidRPr="002815F4">
            <w:rPr>
              <w:rFonts w:ascii="Calibri" w:hAnsi="Calibri"/>
            </w:rPr>
            <w:fldChar w:fldCharType="end"/>
          </w:r>
        </w:sdtContent>
      </w:sdt>
      <w:r w:rsidR="00944A85" w:rsidRPr="002815F4">
        <w:rPr>
          <w:rFonts w:ascii="Calibri" w:hAnsi="Calibri"/>
        </w:rPr>
        <w:t xml:space="preserve">. A civil society index assessment of Senegal undertaken by CIVICUS in 2011 mapped a diverse range of non-state actors including the media, national and international NGOs, unions, professional networks, religious groups, village committees, family clans, youth and women organisations </w:t>
      </w:r>
      <w:sdt>
        <w:sdtPr>
          <w:rPr>
            <w:rFonts w:ascii="Calibri" w:hAnsi="Calibri"/>
          </w:rPr>
          <w:id w:val="-1968967013"/>
          <w:citation/>
        </w:sdtPr>
        <w:sdtEndPr/>
        <w:sdtContent>
          <w:r w:rsidR="00944A85" w:rsidRPr="002815F4">
            <w:rPr>
              <w:rFonts w:ascii="Calibri" w:hAnsi="Calibri"/>
            </w:rPr>
            <w:fldChar w:fldCharType="begin"/>
          </w:r>
          <w:r w:rsidR="00944A85" w:rsidRPr="002815F4">
            <w:rPr>
              <w:rFonts w:ascii="Calibri" w:hAnsi="Calibri"/>
            </w:rPr>
            <w:instrText xml:space="preserve"> CITATION CIV11 \l 1033 </w:instrText>
          </w:r>
          <w:r w:rsidR="00944A85" w:rsidRPr="002815F4">
            <w:rPr>
              <w:rFonts w:ascii="Calibri" w:hAnsi="Calibri"/>
            </w:rPr>
            <w:fldChar w:fldCharType="separate"/>
          </w:r>
          <w:r w:rsidR="003E626E" w:rsidRPr="002815F4">
            <w:rPr>
              <w:rFonts w:ascii="Calibri" w:hAnsi="Calibri"/>
              <w:noProof/>
            </w:rPr>
            <w:t>(CIVICUS, 2011)</w:t>
          </w:r>
          <w:r w:rsidR="00944A85" w:rsidRPr="002815F4">
            <w:rPr>
              <w:rFonts w:ascii="Calibri" w:hAnsi="Calibri"/>
            </w:rPr>
            <w:fldChar w:fldCharType="end"/>
          </w:r>
        </w:sdtContent>
      </w:sdt>
      <w:r w:rsidR="00944A85" w:rsidRPr="002815F4">
        <w:rPr>
          <w:rFonts w:ascii="Calibri" w:hAnsi="Calibri"/>
        </w:rPr>
        <w:t xml:space="preserve">. Senegal has a strong tradition of NGOs dating back to 1921, when non-state actors primarily focused on culture and sports </w:t>
      </w:r>
      <w:sdt>
        <w:sdtPr>
          <w:rPr>
            <w:rFonts w:ascii="Calibri" w:hAnsi="Calibri"/>
          </w:rPr>
          <w:id w:val="-1061951736"/>
          <w:citation/>
        </w:sdtPr>
        <w:sdtEndPr/>
        <w:sdtContent>
          <w:r w:rsidR="00944A85" w:rsidRPr="002815F4">
            <w:rPr>
              <w:rFonts w:ascii="Calibri" w:hAnsi="Calibri"/>
            </w:rPr>
            <w:fldChar w:fldCharType="begin"/>
          </w:r>
          <w:r w:rsidR="00944A85" w:rsidRPr="002815F4">
            <w:rPr>
              <w:rFonts w:ascii="Calibri" w:hAnsi="Calibri"/>
            </w:rPr>
            <w:instrText xml:space="preserve"> CITATION The17 \l 1033 </w:instrText>
          </w:r>
          <w:r w:rsidR="00944A85" w:rsidRPr="002815F4">
            <w:rPr>
              <w:rFonts w:ascii="Calibri" w:hAnsi="Calibri"/>
            </w:rPr>
            <w:fldChar w:fldCharType="separate"/>
          </w:r>
          <w:r w:rsidR="003E626E" w:rsidRPr="002815F4">
            <w:rPr>
              <w:rFonts w:ascii="Calibri" w:hAnsi="Calibri"/>
              <w:noProof/>
            </w:rPr>
            <w:t>(The International Center for Not-for-Profit Law, 2017)</w:t>
          </w:r>
          <w:r w:rsidR="00944A85" w:rsidRPr="002815F4">
            <w:rPr>
              <w:rFonts w:ascii="Calibri" w:hAnsi="Calibri"/>
            </w:rPr>
            <w:fldChar w:fldCharType="end"/>
          </w:r>
        </w:sdtContent>
      </w:sdt>
      <w:r w:rsidR="00944A85" w:rsidRPr="002815F4">
        <w:rPr>
          <w:rFonts w:ascii="Calibri" w:hAnsi="Calibri"/>
        </w:rPr>
        <w:t xml:space="preserve">. The modern NGOs focused on development issues started emerging from 1972, with the creation of Senegal’s ENDA Third World organisation was created </w:t>
      </w:r>
      <w:sdt>
        <w:sdtPr>
          <w:rPr>
            <w:rFonts w:ascii="Calibri" w:hAnsi="Calibri"/>
          </w:rPr>
          <w:id w:val="287551981"/>
          <w:citation/>
        </w:sdtPr>
        <w:sdtEndPr/>
        <w:sdtContent>
          <w:r w:rsidR="00944A85" w:rsidRPr="002815F4">
            <w:rPr>
              <w:rFonts w:ascii="Calibri" w:hAnsi="Calibri"/>
            </w:rPr>
            <w:fldChar w:fldCharType="begin"/>
          </w:r>
          <w:r w:rsidR="00944A85" w:rsidRPr="002815F4">
            <w:rPr>
              <w:rFonts w:ascii="Calibri" w:hAnsi="Calibri"/>
            </w:rPr>
            <w:instrText xml:space="preserve"> CITATION CIV11 \l 1033 </w:instrText>
          </w:r>
          <w:r w:rsidR="00944A85" w:rsidRPr="002815F4">
            <w:rPr>
              <w:rFonts w:ascii="Calibri" w:hAnsi="Calibri"/>
            </w:rPr>
            <w:fldChar w:fldCharType="separate"/>
          </w:r>
          <w:r w:rsidR="003E626E" w:rsidRPr="002815F4">
            <w:rPr>
              <w:rFonts w:ascii="Calibri" w:hAnsi="Calibri"/>
              <w:noProof/>
            </w:rPr>
            <w:t>(CIVICUS, 2011)</w:t>
          </w:r>
          <w:r w:rsidR="00944A85" w:rsidRPr="002815F4">
            <w:rPr>
              <w:rFonts w:ascii="Calibri" w:hAnsi="Calibri"/>
            </w:rPr>
            <w:fldChar w:fldCharType="end"/>
          </w:r>
        </w:sdtContent>
      </w:sdt>
      <w:r w:rsidR="00944A85" w:rsidRPr="002815F4">
        <w:rPr>
          <w:rFonts w:ascii="Calibri" w:hAnsi="Calibri"/>
        </w:rPr>
        <w:t xml:space="preserve">. The number of development-focused NGOs grew with the droughts of the 1970s and under the structural adjustment programmes of the 1980s </w:t>
      </w:r>
      <w:sdt>
        <w:sdtPr>
          <w:rPr>
            <w:rFonts w:ascii="Calibri" w:hAnsi="Calibri"/>
          </w:rPr>
          <w:id w:val="-1295601132"/>
          <w:citation/>
        </w:sdtPr>
        <w:sdtEndPr/>
        <w:sdtContent>
          <w:r w:rsidR="00944A85" w:rsidRPr="002815F4">
            <w:rPr>
              <w:rFonts w:ascii="Calibri" w:hAnsi="Calibri"/>
            </w:rPr>
            <w:fldChar w:fldCharType="begin"/>
          </w:r>
          <w:r w:rsidR="00944A85" w:rsidRPr="002815F4">
            <w:rPr>
              <w:rFonts w:ascii="Calibri" w:hAnsi="Calibri"/>
            </w:rPr>
            <w:instrText xml:space="preserve"> CITATION The17 \l 1033 </w:instrText>
          </w:r>
          <w:r w:rsidR="00944A85" w:rsidRPr="002815F4">
            <w:rPr>
              <w:rFonts w:ascii="Calibri" w:hAnsi="Calibri"/>
            </w:rPr>
            <w:fldChar w:fldCharType="separate"/>
          </w:r>
          <w:r w:rsidR="003E626E" w:rsidRPr="002815F4">
            <w:rPr>
              <w:rFonts w:ascii="Calibri" w:hAnsi="Calibri"/>
              <w:noProof/>
            </w:rPr>
            <w:t>(The International Center for Not-for-Profit Law, 2017)</w:t>
          </w:r>
          <w:r w:rsidR="00944A85" w:rsidRPr="002815F4">
            <w:rPr>
              <w:rFonts w:ascii="Calibri" w:hAnsi="Calibri"/>
            </w:rPr>
            <w:fldChar w:fldCharType="end"/>
          </w:r>
        </w:sdtContent>
      </w:sdt>
      <w:r w:rsidR="00944A85" w:rsidRPr="002815F4">
        <w:rPr>
          <w:rFonts w:ascii="Calibri" w:hAnsi="Calibri"/>
        </w:rPr>
        <w:t xml:space="preserve">. A third wave of NGOs emerged in the 1990-2000 period focused on human rights, gender and good governance </w:t>
      </w:r>
      <w:sdt>
        <w:sdtPr>
          <w:rPr>
            <w:rFonts w:ascii="Calibri" w:hAnsi="Calibri"/>
          </w:rPr>
          <w:id w:val="624437804"/>
          <w:citation/>
        </w:sdtPr>
        <w:sdtEndPr/>
        <w:sdtContent>
          <w:r w:rsidR="00944A85" w:rsidRPr="002815F4">
            <w:rPr>
              <w:rFonts w:ascii="Calibri" w:hAnsi="Calibri"/>
            </w:rPr>
            <w:fldChar w:fldCharType="begin"/>
          </w:r>
          <w:r w:rsidR="00944A85" w:rsidRPr="002815F4">
            <w:rPr>
              <w:rFonts w:ascii="Calibri" w:hAnsi="Calibri"/>
            </w:rPr>
            <w:instrText xml:space="preserve"> CITATION CIV11 \l 1033 </w:instrText>
          </w:r>
          <w:r w:rsidR="00944A85" w:rsidRPr="002815F4">
            <w:rPr>
              <w:rFonts w:ascii="Calibri" w:hAnsi="Calibri"/>
            </w:rPr>
            <w:fldChar w:fldCharType="separate"/>
          </w:r>
          <w:r w:rsidR="003E626E" w:rsidRPr="002815F4">
            <w:rPr>
              <w:rFonts w:ascii="Calibri" w:hAnsi="Calibri"/>
              <w:noProof/>
            </w:rPr>
            <w:t>(CIVICUS, 2011)</w:t>
          </w:r>
          <w:r w:rsidR="00944A85" w:rsidRPr="002815F4">
            <w:rPr>
              <w:rFonts w:ascii="Calibri" w:hAnsi="Calibri"/>
            </w:rPr>
            <w:fldChar w:fldCharType="end"/>
          </w:r>
        </w:sdtContent>
      </w:sdt>
      <w:r w:rsidR="00944A85" w:rsidRPr="002815F4">
        <w:rPr>
          <w:rFonts w:ascii="Calibri" w:hAnsi="Calibri"/>
        </w:rPr>
        <w:t>. Most CSOs operate through a network of provincial, regional and national networks, federations and coalitions. Outreach related to EITI has covered a broad swathe of these actors, including faith and community organisations, although it is mainly the development and justice NGOs as well as some people’s organisations that have actively engaged in EITI implementation.</w:t>
      </w:r>
      <w:r w:rsidR="00CC76AD" w:rsidRPr="002815F4">
        <w:rPr>
          <w:rFonts w:ascii="Calibri" w:hAnsi="Calibri"/>
        </w:rPr>
        <w:t xml:space="preserve"> </w:t>
      </w:r>
      <w:r w:rsidR="00A9141D" w:rsidRPr="002815F4">
        <w:rPr>
          <w:rFonts w:ascii="Calibri" w:hAnsi="Calibri"/>
        </w:rPr>
        <w:t xml:space="preserve">Development partners like USAID (through its Governance and Peace Programme) supported initial coordination and canvassing of Senegalese civil society in relation to the EITI </w:t>
      </w:r>
      <w:sdt>
        <w:sdtPr>
          <w:rPr>
            <w:rFonts w:ascii="Calibri" w:hAnsi="Calibri" w:cs="Arial"/>
            <w:iCs/>
          </w:rPr>
          <w:id w:val="421449676"/>
          <w:citation/>
        </w:sdtPr>
        <w:sdtEndPr/>
        <w:sdtContent>
          <w:r w:rsidR="00A9141D" w:rsidRPr="002815F4">
            <w:rPr>
              <w:rFonts w:ascii="Calibri" w:hAnsi="Calibri" w:cs="Arial"/>
              <w:iCs/>
            </w:rPr>
            <w:fldChar w:fldCharType="begin"/>
          </w:r>
          <w:r w:rsidR="00A9141D" w:rsidRPr="002815F4">
            <w:rPr>
              <w:rFonts w:ascii="Calibri" w:hAnsi="Calibri" w:cs="Arial"/>
              <w:iCs/>
            </w:rPr>
            <w:instrText xml:space="preserve"> CITATION USA13 \l 1033 </w:instrText>
          </w:r>
          <w:r w:rsidR="00A9141D" w:rsidRPr="002815F4">
            <w:rPr>
              <w:rFonts w:ascii="Calibri" w:hAnsi="Calibri" w:cs="Arial"/>
              <w:iCs/>
            </w:rPr>
            <w:fldChar w:fldCharType="separate"/>
          </w:r>
          <w:r w:rsidR="003E626E" w:rsidRPr="002815F4">
            <w:rPr>
              <w:rFonts w:ascii="Calibri" w:hAnsi="Calibri" w:cs="Arial"/>
              <w:noProof/>
            </w:rPr>
            <w:t>(USAID, 2013)</w:t>
          </w:r>
          <w:r w:rsidR="00A9141D" w:rsidRPr="002815F4">
            <w:rPr>
              <w:rFonts w:ascii="Calibri" w:hAnsi="Calibri" w:cs="Arial"/>
              <w:iCs/>
            </w:rPr>
            <w:fldChar w:fldCharType="end"/>
          </w:r>
        </w:sdtContent>
      </w:sdt>
      <w:r w:rsidR="00A9141D" w:rsidRPr="002815F4">
        <w:rPr>
          <w:rFonts w:ascii="Calibri" w:hAnsi="Calibri" w:cs="Arial"/>
          <w:iCs/>
        </w:rPr>
        <w:t xml:space="preserve">. </w:t>
      </w:r>
    </w:p>
    <w:p w14:paraId="2B7F835B" w14:textId="5712B25F" w:rsidR="00944A85" w:rsidRPr="002815F4" w:rsidRDefault="00CC76AD" w:rsidP="00E956E1">
      <w:pPr>
        <w:spacing w:before="120"/>
        <w:rPr>
          <w:rFonts w:ascii="Calibri" w:hAnsi="Calibri"/>
        </w:rPr>
      </w:pPr>
      <w:r w:rsidRPr="002815F4">
        <w:rPr>
          <w:rFonts w:ascii="Calibri" w:hAnsi="Calibri"/>
        </w:rPr>
        <w:t xml:space="preserve">There are no statutory curbs on freedom of assembly aside from the requirement for 72-hour advance notice of public demonstrations and restrictions on some locations </w:t>
      </w:r>
      <w:sdt>
        <w:sdtPr>
          <w:rPr>
            <w:rFonts w:ascii="Calibri" w:hAnsi="Calibri"/>
            <w:bCs/>
          </w:rPr>
          <w:id w:val="1574473813"/>
          <w:citation/>
        </w:sdtPr>
        <w:sdtEndPr/>
        <w:sdtContent>
          <w:r w:rsidRPr="002815F4">
            <w:rPr>
              <w:rFonts w:ascii="Calibri" w:hAnsi="Calibri"/>
              <w:bCs/>
            </w:rPr>
            <w:fldChar w:fldCharType="begin"/>
          </w:r>
          <w:r w:rsidRPr="002815F4">
            <w:rPr>
              <w:rFonts w:ascii="Calibri" w:hAnsi="Calibri"/>
              <w:bCs/>
            </w:rPr>
            <w:instrText xml:space="preserve"> CITATION The17 \l 1033 </w:instrText>
          </w:r>
          <w:r w:rsidRPr="002815F4">
            <w:rPr>
              <w:rFonts w:ascii="Calibri" w:hAnsi="Calibri"/>
              <w:bCs/>
            </w:rPr>
            <w:fldChar w:fldCharType="separate"/>
          </w:r>
          <w:r w:rsidR="003E626E" w:rsidRPr="002815F4">
            <w:rPr>
              <w:rFonts w:ascii="Calibri" w:hAnsi="Calibri"/>
              <w:noProof/>
            </w:rPr>
            <w:t>(The International Center for Not-for-Profit Law, 2017)</w:t>
          </w:r>
          <w:r w:rsidRPr="002815F4">
            <w:rPr>
              <w:rFonts w:ascii="Calibri" w:hAnsi="Calibri"/>
              <w:bCs/>
            </w:rPr>
            <w:fldChar w:fldCharType="end"/>
          </w:r>
        </w:sdtContent>
      </w:sdt>
      <w:r w:rsidRPr="002815F4">
        <w:rPr>
          <w:rFonts w:ascii="Calibri" w:hAnsi="Calibri"/>
          <w:bCs/>
        </w:rPr>
        <w:t xml:space="preserve">. However, the US Department of State’s human rights report for Senegal in 2014 and 2015 highlighted some CSOs’ concerns over delays in authorisation for public demonstrations </w:t>
      </w:r>
      <w:sdt>
        <w:sdtPr>
          <w:rPr>
            <w:rFonts w:ascii="Calibri" w:hAnsi="Calibri"/>
            <w:bCs/>
          </w:rPr>
          <w:id w:val="-157540874"/>
          <w:citation/>
        </w:sdtPr>
        <w:sdtEndPr/>
        <w:sdtContent>
          <w:r w:rsidRPr="002815F4">
            <w:rPr>
              <w:rFonts w:ascii="Calibri" w:hAnsi="Calibri"/>
              <w:bCs/>
            </w:rPr>
            <w:fldChar w:fldCharType="begin"/>
          </w:r>
          <w:r w:rsidRPr="002815F4">
            <w:rPr>
              <w:rFonts w:ascii="Calibri" w:hAnsi="Calibri"/>
              <w:bCs/>
            </w:rPr>
            <w:instrText xml:space="preserve"> CITATION USD14 \l 1033 </w:instrText>
          </w:r>
          <w:r w:rsidRPr="002815F4">
            <w:rPr>
              <w:rFonts w:ascii="Calibri" w:hAnsi="Calibri"/>
              <w:bCs/>
            </w:rPr>
            <w:fldChar w:fldCharType="separate"/>
          </w:r>
          <w:r w:rsidR="003E626E" w:rsidRPr="002815F4">
            <w:rPr>
              <w:rFonts w:ascii="Calibri" w:hAnsi="Calibri"/>
              <w:noProof/>
            </w:rPr>
            <w:t>(US Department of State, 2014)</w:t>
          </w:r>
          <w:r w:rsidRPr="002815F4">
            <w:rPr>
              <w:rFonts w:ascii="Calibri" w:hAnsi="Calibri"/>
              <w:bCs/>
            </w:rPr>
            <w:fldChar w:fldCharType="end"/>
          </w:r>
        </w:sdtContent>
      </w:sdt>
      <w:r w:rsidRPr="002815F4">
        <w:rPr>
          <w:rFonts w:ascii="Calibri" w:hAnsi="Calibri"/>
          <w:bCs/>
        </w:rPr>
        <w:t xml:space="preserve"> </w:t>
      </w:r>
      <w:sdt>
        <w:sdtPr>
          <w:rPr>
            <w:rFonts w:ascii="Calibri" w:hAnsi="Calibri"/>
            <w:bCs/>
          </w:rPr>
          <w:id w:val="-1740013677"/>
          <w:citation/>
        </w:sdtPr>
        <w:sdtEndPr/>
        <w:sdtContent>
          <w:r w:rsidRPr="002815F4">
            <w:rPr>
              <w:rFonts w:ascii="Calibri" w:hAnsi="Calibri"/>
              <w:bCs/>
            </w:rPr>
            <w:fldChar w:fldCharType="begin"/>
          </w:r>
          <w:r w:rsidRPr="002815F4">
            <w:rPr>
              <w:rFonts w:ascii="Calibri" w:hAnsi="Calibri"/>
              <w:bCs/>
            </w:rPr>
            <w:instrText xml:space="preserve"> CITATION USD151 \l 1033 </w:instrText>
          </w:r>
          <w:r w:rsidRPr="002815F4">
            <w:rPr>
              <w:rFonts w:ascii="Calibri" w:hAnsi="Calibri"/>
              <w:bCs/>
            </w:rPr>
            <w:fldChar w:fldCharType="separate"/>
          </w:r>
          <w:r w:rsidR="003E626E" w:rsidRPr="002815F4">
            <w:rPr>
              <w:rFonts w:ascii="Calibri" w:hAnsi="Calibri"/>
              <w:noProof/>
            </w:rPr>
            <w:t>(US Department of State, 2015)</w:t>
          </w:r>
          <w:r w:rsidRPr="002815F4">
            <w:rPr>
              <w:rFonts w:ascii="Calibri" w:hAnsi="Calibri"/>
              <w:bCs/>
            </w:rPr>
            <w:fldChar w:fldCharType="end"/>
          </w:r>
        </w:sdtContent>
      </w:sdt>
      <w:r w:rsidRPr="002815F4">
        <w:rPr>
          <w:rFonts w:ascii="Calibri" w:hAnsi="Calibri"/>
          <w:bCs/>
        </w:rPr>
        <w:t>.</w:t>
      </w:r>
      <w:r w:rsidR="0003454E" w:rsidRPr="002815F4">
        <w:rPr>
          <w:rFonts w:ascii="Calibri" w:hAnsi="Calibri"/>
          <w:bCs/>
        </w:rPr>
        <w:t xml:space="preserve"> There is evidence of public demonstrations regarding oil and gas issues in </w:t>
      </w:r>
      <w:r w:rsidR="009A417B" w:rsidRPr="002815F4">
        <w:rPr>
          <w:rFonts w:ascii="Calibri" w:hAnsi="Calibri"/>
          <w:bCs/>
        </w:rPr>
        <w:t>the 2013-2017 period</w:t>
      </w:r>
      <w:r w:rsidR="0003454E" w:rsidRPr="002815F4">
        <w:rPr>
          <w:rFonts w:ascii="Calibri" w:hAnsi="Calibri"/>
          <w:bCs/>
        </w:rPr>
        <w:t xml:space="preserve"> </w:t>
      </w:r>
      <w:sdt>
        <w:sdtPr>
          <w:rPr>
            <w:rFonts w:ascii="Calibri" w:hAnsi="Calibri"/>
            <w:bCs/>
          </w:rPr>
          <w:id w:val="660733502"/>
          <w:citation/>
        </w:sdtPr>
        <w:sdtEndPr/>
        <w:sdtContent>
          <w:r w:rsidR="009A417B" w:rsidRPr="002815F4">
            <w:rPr>
              <w:rFonts w:ascii="Calibri" w:hAnsi="Calibri"/>
              <w:bCs/>
            </w:rPr>
            <w:fldChar w:fldCharType="begin"/>
          </w:r>
          <w:r w:rsidR="009A417B" w:rsidRPr="002815F4">
            <w:rPr>
              <w:rFonts w:ascii="Calibri" w:hAnsi="Calibri"/>
              <w:bCs/>
            </w:rPr>
            <w:instrText xml:space="preserve"> CITATION Pre163 \l 1033 </w:instrText>
          </w:r>
          <w:r w:rsidR="009A417B" w:rsidRPr="002815F4">
            <w:rPr>
              <w:rFonts w:ascii="Calibri" w:hAnsi="Calibri"/>
              <w:bCs/>
            </w:rPr>
            <w:fldChar w:fldCharType="separate"/>
          </w:r>
          <w:r w:rsidR="003E626E" w:rsidRPr="002815F4">
            <w:rPr>
              <w:rFonts w:ascii="Calibri" w:hAnsi="Calibri"/>
              <w:noProof/>
            </w:rPr>
            <w:t>(PressTV, 2016)</w:t>
          </w:r>
          <w:r w:rsidR="009A417B" w:rsidRPr="002815F4">
            <w:rPr>
              <w:rFonts w:ascii="Calibri" w:hAnsi="Calibri"/>
              <w:bCs/>
            </w:rPr>
            <w:fldChar w:fldCharType="end"/>
          </w:r>
        </w:sdtContent>
      </w:sdt>
      <w:r w:rsidR="00A9141D" w:rsidRPr="002815F4">
        <w:rPr>
          <w:rFonts w:ascii="Calibri" w:hAnsi="Calibri"/>
          <w:bCs/>
        </w:rPr>
        <w:t xml:space="preserve"> </w:t>
      </w:r>
      <w:sdt>
        <w:sdtPr>
          <w:rPr>
            <w:rFonts w:ascii="Calibri" w:hAnsi="Calibri"/>
            <w:bCs/>
          </w:rPr>
          <w:id w:val="-1605098698"/>
          <w:citation/>
        </w:sdtPr>
        <w:sdtEndPr/>
        <w:sdtContent>
          <w:r w:rsidR="0003454E" w:rsidRPr="002815F4">
            <w:rPr>
              <w:rFonts w:ascii="Calibri" w:hAnsi="Calibri"/>
              <w:bCs/>
            </w:rPr>
            <w:fldChar w:fldCharType="begin"/>
          </w:r>
          <w:r w:rsidR="0003454E" w:rsidRPr="002815F4">
            <w:rPr>
              <w:rFonts w:ascii="Calibri" w:hAnsi="Calibri"/>
              <w:bCs/>
            </w:rPr>
            <w:instrText xml:space="preserve"> CITATION BBC16 \l 1033 </w:instrText>
          </w:r>
          <w:r w:rsidR="0003454E" w:rsidRPr="002815F4">
            <w:rPr>
              <w:rFonts w:ascii="Calibri" w:hAnsi="Calibri"/>
              <w:bCs/>
            </w:rPr>
            <w:fldChar w:fldCharType="separate"/>
          </w:r>
          <w:r w:rsidR="003E626E" w:rsidRPr="002815F4">
            <w:rPr>
              <w:rFonts w:ascii="Calibri" w:hAnsi="Calibri"/>
              <w:noProof/>
            </w:rPr>
            <w:t>(BBC, 2016)</w:t>
          </w:r>
          <w:r w:rsidR="0003454E" w:rsidRPr="002815F4">
            <w:rPr>
              <w:rFonts w:ascii="Calibri" w:hAnsi="Calibri"/>
              <w:bCs/>
            </w:rPr>
            <w:fldChar w:fldCharType="end"/>
          </w:r>
        </w:sdtContent>
      </w:sdt>
      <w:r w:rsidR="009A417B" w:rsidRPr="002815F4">
        <w:rPr>
          <w:rFonts w:ascii="Calibri" w:hAnsi="Calibri"/>
          <w:bCs/>
        </w:rPr>
        <w:t xml:space="preserve">. </w:t>
      </w:r>
    </w:p>
    <w:p w14:paraId="41D43C45" w14:textId="72FF628F" w:rsidR="006971A0" w:rsidRPr="002815F4" w:rsidRDefault="007E4441" w:rsidP="00E956E1">
      <w:pPr>
        <w:spacing w:before="120"/>
        <w:rPr>
          <w:rFonts w:ascii="Calibri" w:hAnsi="Calibri" w:cs="Arial"/>
          <w:iCs/>
        </w:rPr>
      </w:pPr>
      <w:r>
        <w:rPr>
          <w:rFonts w:ascii="Calibri" w:hAnsi="Calibri"/>
        </w:rPr>
        <w:t>The</w:t>
      </w:r>
      <w:r w:rsidR="000A0513">
        <w:rPr>
          <w:rFonts w:ascii="Calibri" w:hAnsi="Calibri"/>
        </w:rPr>
        <w:t xml:space="preserve"> main civil society network, the</w:t>
      </w:r>
      <w:r w:rsidR="000F0B57" w:rsidRPr="002815F4">
        <w:rPr>
          <w:rFonts w:ascii="Calibri" w:hAnsi="Calibri"/>
        </w:rPr>
        <w:t xml:space="preserve"> C</w:t>
      </w:r>
      <w:r w:rsidR="00485BEA" w:rsidRPr="002815F4">
        <w:rPr>
          <w:rFonts w:ascii="Calibri" w:hAnsi="Calibri"/>
        </w:rPr>
        <w:t>oalition</w:t>
      </w:r>
      <w:r w:rsidR="00EF73FE" w:rsidRPr="002815F4">
        <w:rPr>
          <w:rFonts w:ascii="Calibri" w:hAnsi="Calibri"/>
        </w:rPr>
        <w:t xml:space="preserve"> for Transparency in the Extractive Industries</w:t>
      </w:r>
      <w:r w:rsidR="000A0513">
        <w:rPr>
          <w:rFonts w:ascii="Calibri" w:hAnsi="Calibri"/>
        </w:rPr>
        <w:t>, established in 2011,</w:t>
      </w:r>
      <w:r w:rsidR="00485BEA" w:rsidRPr="002815F4">
        <w:rPr>
          <w:rFonts w:ascii="Calibri" w:hAnsi="Calibri"/>
        </w:rPr>
        <w:t xml:space="preserve"> brought together a core of </w:t>
      </w:r>
      <w:r w:rsidR="007D4E93" w:rsidRPr="002815F4">
        <w:rPr>
          <w:rFonts w:ascii="Calibri" w:hAnsi="Calibri"/>
        </w:rPr>
        <w:t xml:space="preserve">40 </w:t>
      </w:r>
      <w:r w:rsidR="00485BEA" w:rsidRPr="002815F4">
        <w:rPr>
          <w:rFonts w:ascii="Calibri" w:hAnsi="Calibri"/>
        </w:rPr>
        <w:t>member</w:t>
      </w:r>
      <w:r w:rsidR="007D4E93" w:rsidRPr="002815F4">
        <w:rPr>
          <w:rFonts w:ascii="Calibri" w:hAnsi="Calibri"/>
        </w:rPr>
        <w:t xml:space="preserve"> NGOs</w:t>
      </w:r>
      <w:r w:rsidR="00485BEA" w:rsidRPr="002815F4">
        <w:rPr>
          <w:rFonts w:ascii="Calibri" w:hAnsi="Calibri"/>
        </w:rPr>
        <w:t xml:space="preserve"> focused on public governance, human rights and </w:t>
      </w:r>
      <w:r w:rsidR="00485BEA" w:rsidRPr="002815F4">
        <w:rPr>
          <w:rFonts w:ascii="Calibri" w:hAnsi="Calibri"/>
        </w:rPr>
        <w:lastRenderedPageBreak/>
        <w:t>community development including CONGAD, La Lumière, Forum Civil, Amnesty International, the Organisation for the Defense of Freedom of Opinion and Expression</w:t>
      </w:r>
      <w:r w:rsidR="00485BEA" w:rsidRPr="002815F4">
        <w:rPr>
          <w:rStyle w:val="FootnoteReference"/>
          <w:rFonts w:ascii="Calibri" w:hAnsi="Calibri"/>
        </w:rPr>
        <w:footnoteReference w:id="18"/>
      </w:r>
      <w:r w:rsidR="00485BEA" w:rsidRPr="002815F4">
        <w:rPr>
          <w:rFonts w:ascii="Calibri" w:hAnsi="Calibri"/>
        </w:rPr>
        <w:t xml:space="preserve"> (Article 19), the Senegalese section of the International Society for Human Rights</w:t>
      </w:r>
      <w:r w:rsidR="00485BEA" w:rsidRPr="002815F4">
        <w:rPr>
          <w:rStyle w:val="FootnoteReference"/>
          <w:rFonts w:ascii="Calibri" w:hAnsi="Calibri"/>
        </w:rPr>
        <w:footnoteReference w:id="19"/>
      </w:r>
      <w:r w:rsidR="00485BEA" w:rsidRPr="002815F4">
        <w:rPr>
          <w:rFonts w:ascii="Calibri" w:hAnsi="Calibri"/>
        </w:rPr>
        <w:t xml:space="preserve"> (SIDH-Sénégal), the Groupe Agora for education, child rights and peace</w:t>
      </w:r>
      <w:r w:rsidR="00485BEA" w:rsidRPr="002815F4">
        <w:rPr>
          <w:rStyle w:val="FootnoteReference"/>
          <w:rFonts w:ascii="Calibri" w:hAnsi="Calibri"/>
        </w:rPr>
        <w:footnoteReference w:id="20"/>
      </w:r>
      <w:r w:rsidR="000F0B57" w:rsidRPr="002815F4">
        <w:rPr>
          <w:rFonts w:ascii="Calibri" w:hAnsi="Calibri"/>
        </w:rPr>
        <w:t>, t</w:t>
      </w:r>
      <w:r w:rsidR="00485BEA" w:rsidRPr="002815F4">
        <w:rPr>
          <w:rFonts w:ascii="Calibri" w:hAnsi="Calibri"/>
        </w:rPr>
        <w:t>he National Organisation for Human Rights</w:t>
      </w:r>
      <w:r w:rsidR="00485BEA" w:rsidRPr="002815F4">
        <w:rPr>
          <w:rStyle w:val="FootnoteReference"/>
          <w:rFonts w:ascii="Calibri" w:hAnsi="Calibri"/>
        </w:rPr>
        <w:footnoteReference w:id="21"/>
      </w:r>
      <w:r w:rsidR="00485BEA" w:rsidRPr="002815F4">
        <w:rPr>
          <w:rFonts w:ascii="Calibri" w:hAnsi="Calibri"/>
        </w:rPr>
        <w:t xml:space="preserve"> (ONDH), the Student and Youth Travel Organisation (SYTO) and the Institut Panos Afrique de l’Ouest</w:t>
      </w:r>
      <w:sdt>
        <w:sdtPr>
          <w:rPr>
            <w:rFonts w:ascii="Calibri" w:hAnsi="Calibri" w:cs="Arial"/>
            <w:iCs/>
          </w:rPr>
          <w:id w:val="-1513296835"/>
          <w:citation/>
        </w:sdtPr>
        <w:sdtEndPr/>
        <w:sdtContent>
          <w:r w:rsidR="00485BEA" w:rsidRPr="002815F4">
            <w:rPr>
              <w:rFonts w:ascii="Calibri" w:hAnsi="Calibri" w:cs="Arial"/>
              <w:iCs/>
            </w:rPr>
            <w:fldChar w:fldCharType="begin"/>
          </w:r>
          <w:r w:rsidR="00485BEA" w:rsidRPr="002815F4">
            <w:rPr>
              <w:rFonts w:ascii="Calibri" w:hAnsi="Calibri" w:cs="Arial"/>
              <w:iCs/>
            </w:rPr>
            <w:instrText xml:space="preserve"> CITATION ITI1538 \l 1033 </w:instrText>
          </w:r>
          <w:r w:rsidR="00485BEA" w:rsidRPr="002815F4">
            <w:rPr>
              <w:rFonts w:ascii="Calibri" w:hAnsi="Calibri" w:cs="Arial"/>
              <w:iCs/>
            </w:rPr>
            <w:fldChar w:fldCharType="separate"/>
          </w:r>
          <w:r w:rsidR="003E626E" w:rsidRPr="002815F4">
            <w:rPr>
              <w:rFonts w:ascii="Calibri" w:hAnsi="Calibri" w:cs="Arial"/>
              <w:iCs/>
              <w:noProof/>
            </w:rPr>
            <w:t xml:space="preserve"> </w:t>
          </w:r>
          <w:r w:rsidR="003E626E" w:rsidRPr="002815F4">
            <w:rPr>
              <w:rFonts w:ascii="Calibri" w:hAnsi="Calibri" w:cs="Arial"/>
              <w:noProof/>
            </w:rPr>
            <w:t>(ITIE Senegal, 2015)</w:t>
          </w:r>
          <w:r w:rsidR="00485BEA" w:rsidRPr="002815F4">
            <w:rPr>
              <w:rFonts w:ascii="Calibri" w:hAnsi="Calibri" w:cs="Arial"/>
              <w:iCs/>
            </w:rPr>
            <w:fldChar w:fldCharType="end"/>
          </w:r>
        </w:sdtContent>
      </w:sdt>
      <w:r w:rsidR="007D4E93" w:rsidRPr="002815F4">
        <w:rPr>
          <w:rFonts w:ascii="Calibri" w:hAnsi="Calibri" w:cs="Arial"/>
          <w:iCs/>
        </w:rPr>
        <w:t xml:space="preserve"> </w:t>
      </w:r>
      <w:sdt>
        <w:sdtPr>
          <w:rPr>
            <w:rFonts w:ascii="Calibri" w:hAnsi="Calibri"/>
            <w:bCs/>
          </w:rPr>
          <w:id w:val="56746943"/>
          <w:citation/>
        </w:sdtPr>
        <w:sdtEndPr/>
        <w:sdtContent>
          <w:r w:rsidR="007D4E93" w:rsidRPr="002815F4">
            <w:rPr>
              <w:rFonts w:ascii="Calibri" w:hAnsi="Calibri"/>
              <w:bCs/>
            </w:rPr>
            <w:fldChar w:fldCharType="begin"/>
          </w:r>
          <w:r w:rsidR="007D4E93" w:rsidRPr="002815F4">
            <w:rPr>
              <w:rFonts w:ascii="Calibri" w:hAnsi="Calibri"/>
              <w:bCs/>
            </w:rPr>
            <w:instrText xml:space="preserve"> CITATION Wor162 \l 1033 </w:instrText>
          </w:r>
          <w:r w:rsidR="007D4E93" w:rsidRPr="002815F4">
            <w:rPr>
              <w:rFonts w:ascii="Calibri" w:hAnsi="Calibri"/>
              <w:bCs/>
            </w:rPr>
            <w:fldChar w:fldCharType="separate"/>
          </w:r>
          <w:r w:rsidR="007D4E93" w:rsidRPr="002815F4">
            <w:rPr>
              <w:rFonts w:ascii="Calibri" w:hAnsi="Calibri"/>
              <w:noProof/>
            </w:rPr>
            <w:t>(World Bank, 2016)</w:t>
          </w:r>
          <w:r w:rsidR="007D4E93" w:rsidRPr="002815F4">
            <w:rPr>
              <w:rFonts w:ascii="Calibri" w:hAnsi="Calibri"/>
              <w:bCs/>
            </w:rPr>
            <w:fldChar w:fldCharType="end"/>
          </w:r>
        </w:sdtContent>
      </w:sdt>
      <w:r w:rsidR="00485BEA" w:rsidRPr="002815F4">
        <w:rPr>
          <w:rFonts w:ascii="Calibri" w:hAnsi="Calibri" w:cs="Arial"/>
          <w:iCs/>
        </w:rPr>
        <w:t xml:space="preserve">. </w:t>
      </w:r>
      <w:r w:rsidR="000A0513" w:rsidRPr="002815F4">
        <w:rPr>
          <w:rFonts w:ascii="Calibri" w:hAnsi="Calibri" w:cs="Arial"/>
          <w:iCs/>
        </w:rPr>
        <w:t>Th</w:t>
      </w:r>
      <w:r w:rsidR="000A0513">
        <w:rPr>
          <w:rFonts w:ascii="Calibri" w:hAnsi="Calibri" w:cs="Arial"/>
          <w:iCs/>
        </w:rPr>
        <w:t>is</w:t>
      </w:r>
      <w:r w:rsidR="00EF73FE" w:rsidRPr="002815F4">
        <w:rPr>
          <w:rFonts w:ascii="Calibri" w:hAnsi="Calibri" w:cs="Arial"/>
          <w:iCs/>
        </w:rPr>
        <w:t xml:space="preserve"> Coalition has continued to play a key coordinating role for the civil society constituency since, even if many of its constituent NGOs are also members of PWYP Senegal </w:t>
      </w:r>
      <w:sdt>
        <w:sdtPr>
          <w:rPr>
            <w:rFonts w:ascii="Calibri" w:hAnsi="Calibri"/>
          </w:rPr>
          <w:id w:val="-2007508649"/>
          <w:citation/>
        </w:sdtPr>
        <w:sdtEndPr/>
        <w:sdtContent>
          <w:r w:rsidR="00EF73FE" w:rsidRPr="002815F4">
            <w:rPr>
              <w:rFonts w:ascii="Calibri" w:hAnsi="Calibri"/>
            </w:rPr>
            <w:fldChar w:fldCharType="begin"/>
          </w:r>
          <w:r w:rsidR="00EF73FE" w:rsidRPr="002815F4">
            <w:rPr>
              <w:rFonts w:ascii="Calibri" w:hAnsi="Calibri"/>
            </w:rPr>
            <w:instrText xml:space="preserve"> CITATION Wor161 \l 1033 </w:instrText>
          </w:r>
          <w:r w:rsidR="00EF73FE" w:rsidRPr="002815F4">
            <w:rPr>
              <w:rFonts w:ascii="Calibri" w:hAnsi="Calibri"/>
            </w:rPr>
            <w:fldChar w:fldCharType="separate"/>
          </w:r>
          <w:r w:rsidR="003E626E" w:rsidRPr="002815F4">
            <w:rPr>
              <w:rFonts w:ascii="Calibri" w:hAnsi="Calibri"/>
              <w:noProof/>
            </w:rPr>
            <w:t>(World Bank, 2016)</w:t>
          </w:r>
          <w:r w:rsidR="00EF73FE" w:rsidRPr="002815F4">
            <w:rPr>
              <w:rFonts w:ascii="Calibri" w:hAnsi="Calibri"/>
            </w:rPr>
            <w:fldChar w:fldCharType="end"/>
          </w:r>
        </w:sdtContent>
      </w:sdt>
      <w:r w:rsidR="00EF73FE" w:rsidRPr="002815F4">
        <w:rPr>
          <w:rFonts w:ascii="Calibri" w:hAnsi="Calibri"/>
        </w:rPr>
        <w:t xml:space="preserve">. </w:t>
      </w:r>
      <w:r w:rsidR="00B874D9" w:rsidRPr="002815F4">
        <w:rPr>
          <w:rFonts w:ascii="Calibri" w:hAnsi="Calibri"/>
        </w:rPr>
        <w:t xml:space="preserve">Since becoming a PWYP affiliate in April 2015, </w:t>
      </w:r>
      <w:r w:rsidR="00082C1A" w:rsidRPr="002815F4">
        <w:rPr>
          <w:rFonts w:ascii="Calibri" w:hAnsi="Calibri"/>
        </w:rPr>
        <w:t>PWYP Senegal’s membership</w:t>
      </w:r>
      <w:r w:rsidR="009A417B" w:rsidRPr="002815F4">
        <w:rPr>
          <w:rStyle w:val="FootnoteReference"/>
          <w:rFonts w:ascii="Calibri" w:hAnsi="Calibri"/>
        </w:rPr>
        <w:footnoteReference w:id="22"/>
      </w:r>
      <w:r w:rsidR="00082C1A" w:rsidRPr="002815F4">
        <w:rPr>
          <w:rFonts w:ascii="Calibri" w:hAnsi="Calibri"/>
        </w:rPr>
        <w:t xml:space="preserve"> has grown from </w:t>
      </w:r>
      <w:r w:rsidR="009A417B" w:rsidRPr="002815F4">
        <w:rPr>
          <w:rFonts w:ascii="Calibri" w:hAnsi="Calibri"/>
        </w:rPr>
        <w:t xml:space="preserve">18 </w:t>
      </w:r>
      <w:r w:rsidR="00082C1A" w:rsidRPr="002815F4">
        <w:rPr>
          <w:rFonts w:ascii="Calibri" w:hAnsi="Calibri"/>
        </w:rPr>
        <w:t xml:space="preserve">to </w:t>
      </w:r>
      <w:r w:rsidR="00B874D9" w:rsidRPr="002815F4">
        <w:rPr>
          <w:rFonts w:ascii="Calibri" w:hAnsi="Calibri"/>
        </w:rPr>
        <w:t>26</w:t>
      </w:r>
      <w:r w:rsidR="00082C1A" w:rsidRPr="002815F4">
        <w:rPr>
          <w:rFonts w:ascii="Calibri" w:hAnsi="Calibri"/>
        </w:rPr>
        <w:t xml:space="preserve"> in </w:t>
      </w:r>
      <w:r w:rsidR="009A417B" w:rsidRPr="002815F4">
        <w:rPr>
          <w:rFonts w:ascii="Calibri" w:hAnsi="Calibri"/>
        </w:rPr>
        <w:t xml:space="preserve">July </w:t>
      </w:r>
      <w:r w:rsidR="00082C1A" w:rsidRPr="002815F4">
        <w:rPr>
          <w:rFonts w:ascii="Calibri" w:hAnsi="Calibri"/>
        </w:rPr>
        <w:t>2017</w:t>
      </w:r>
      <w:r w:rsidR="009A417B" w:rsidRPr="002815F4">
        <w:rPr>
          <w:rFonts w:ascii="Calibri" w:hAnsi="Calibri"/>
        </w:rPr>
        <w:t xml:space="preserve"> </w:t>
      </w:r>
      <w:sdt>
        <w:sdtPr>
          <w:rPr>
            <w:rFonts w:ascii="Calibri" w:hAnsi="Calibri" w:cs="Arial"/>
            <w:iCs/>
          </w:rPr>
          <w:id w:val="1473720275"/>
          <w:citation/>
        </w:sdtPr>
        <w:sdtEndPr/>
        <w:sdtContent>
          <w:r w:rsidR="009A417B" w:rsidRPr="002815F4">
            <w:rPr>
              <w:rFonts w:ascii="Calibri" w:hAnsi="Calibri" w:cs="Arial"/>
              <w:iCs/>
            </w:rPr>
            <w:fldChar w:fldCharType="begin"/>
          </w:r>
          <w:r w:rsidR="009A417B" w:rsidRPr="002815F4">
            <w:rPr>
              <w:rFonts w:ascii="Calibri" w:hAnsi="Calibri" w:cs="Arial"/>
              <w:iCs/>
            </w:rPr>
            <w:instrText xml:space="preserve"> CITATION Ope17 \l 1033 </w:instrText>
          </w:r>
          <w:r w:rsidR="009A417B" w:rsidRPr="002815F4">
            <w:rPr>
              <w:rFonts w:ascii="Calibri" w:hAnsi="Calibri" w:cs="Arial"/>
              <w:iCs/>
            </w:rPr>
            <w:fldChar w:fldCharType="separate"/>
          </w:r>
          <w:r w:rsidR="003E626E" w:rsidRPr="002815F4">
            <w:rPr>
              <w:rFonts w:ascii="Calibri" w:hAnsi="Calibri" w:cs="Arial"/>
              <w:noProof/>
            </w:rPr>
            <w:t>(Open Contracting Partnership, 2017)</w:t>
          </w:r>
          <w:r w:rsidR="009A417B" w:rsidRPr="002815F4">
            <w:rPr>
              <w:rFonts w:ascii="Calibri" w:hAnsi="Calibri" w:cs="Arial"/>
              <w:iCs/>
            </w:rPr>
            <w:fldChar w:fldCharType="end"/>
          </w:r>
        </w:sdtContent>
      </w:sdt>
      <w:r w:rsidR="009A417B" w:rsidRPr="002815F4">
        <w:rPr>
          <w:rFonts w:ascii="Calibri" w:hAnsi="Calibri" w:cs="Arial"/>
          <w:iCs/>
        </w:rPr>
        <w:t>.</w:t>
      </w:r>
      <w:r w:rsidR="00A9141D" w:rsidRPr="002815F4">
        <w:rPr>
          <w:rFonts w:ascii="Calibri" w:hAnsi="Calibri" w:cs="Arial"/>
          <w:iCs/>
        </w:rPr>
        <w:t xml:space="preserve"> PWYP Senegal’s statutes are available online.</w:t>
      </w:r>
      <w:r w:rsidR="00A9141D" w:rsidRPr="002815F4">
        <w:rPr>
          <w:rStyle w:val="FootnoteReference"/>
          <w:rFonts w:ascii="Calibri" w:hAnsi="Calibri"/>
          <w:iCs/>
        </w:rPr>
        <w:footnoteReference w:id="23"/>
      </w:r>
      <w:r w:rsidR="00A9141D" w:rsidRPr="002815F4">
        <w:rPr>
          <w:rFonts w:ascii="Calibri" w:hAnsi="Calibri" w:cs="Arial"/>
          <w:iCs/>
        </w:rPr>
        <w:t xml:space="preserve"> </w:t>
      </w:r>
      <w:r w:rsidR="00F56F49" w:rsidRPr="002815F4">
        <w:rPr>
          <w:rFonts w:ascii="Calibri" w:hAnsi="Calibri" w:cs="Arial"/>
          <w:iCs/>
        </w:rPr>
        <w:t>Representatives of PWYP Senegal sit on the PWYP Global Council</w:t>
      </w:r>
      <w:r w:rsidR="00F56F49" w:rsidRPr="002815F4">
        <w:rPr>
          <w:rStyle w:val="FootnoteReference"/>
          <w:rFonts w:ascii="Calibri" w:hAnsi="Calibri"/>
          <w:iCs/>
        </w:rPr>
        <w:footnoteReference w:id="24"/>
      </w:r>
      <w:r w:rsidR="00F56F49" w:rsidRPr="002815F4">
        <w:rPr>
          <w:rFonts w:ascii="Calibri" w:hAnsi="Calibri" w:cs="Arial"/>
          <w:iCs/>
        </w:rPr>
        <w:t xml:space="preserve"> on behalf of francophone Africa.</w:t>
      </w:r>
      <w:r w:rsidR="00A9141D" w:rsidRPr="002815F4">
        <w:rPr>
          <w:rFonts w:ascii="Calibri" w:hAnsi="Calibri" w:cs="Arial"/>
          <w:iCs/>
        </w:rPr>
        <w:t xml:space="preserve"> </w:t>
      </w:r>
      <w:r w:rsidR="009D06BA" w:rsidRPr="002815F4">
        <w:rPr>
          <w:rFonts w:ascii="Calibri" w:hAnsi="Calibri" w:cs="Arial"/>
          <w:iCs/>
        </w:rPr>
        <w:t xml:space="preserve">The PWYP West Africa Regional Coordinator is based in Senegal, since 2017. Senegal’s CSOs </w:t>
      </w:r>
      <w:r w:rsidR="00A9141D" w:rsidRPr="002815F4">
        <w:rPr>
          <w:rFonts w:ascii="Calibri" w:hAnsi="Calibri" w:cs="Arial"/>
          <w:iCs/>
        </w:rPr>
        <w:t xml:space="preserve">have also actively contributed to EITI outreach and capacity building regionally amongst civil society in relation to EITI, </w:t>
      </w:r>
      <w:r w:rsidR="009D06BA" w:rsidRPr="002815F4">
        <w:rPr>
          <w:rFonts w:ascii="Calibri" w:hAnsi="Calibri" w:cs="Arial"/>
          <w:iCs/>
        </w:rPr>
        <w:t>engaging in peer exchanges with Cameroon, Ghana, Mauritania</w:t>
      </w:r>
      <w:r w:rsidR="00A9141D" w:rsidRPr="002815F4">
        <w:rPr>
          <w:rFonts w:ascii="Calibri" w:hAnsi="Calibri" w:cs="Arial"/>
          <w:iCs/>
        </w:rPr>
        <w:t>. PWYP Senegal has also established good communication channels with NGOs throughout the country</w:t>
      </w:r>
      <w:r w:rsidR="009D06BA" w:rsidRPr="002815F4">
        <w:rPr>
          <w:rFonts w:ascii="Calibri" w:hAnsi="Calibri" w:cs="Arial"/>
          <w:iCs/>
        </w:rPr>
        <w:t>, with civil society MSG</w:t>
      </w:r>
      <w:r w:rsidR="00A9141D" w:rsidRPr="002815F4">
        <w:rPr>
          <w:rFonts w:ascii="Calibri" w:hAnsi="Calibri" w:cs="Arial"/>
          <w:iCs/>
        </w:rPr>
        <w:t xml:space="preserve"> </w:t>
      </w:r>
      <w:r w:rsidR="009D06BA" w:rsidRPr="002815F4">
        <w:rPr>
          <w:rFonts w:ascii="Calibri" w:hAnsi="Calibri" w:cs="Arial"/>
          <w:iCs/>
        </w:rPr>
        <w:t xml:space="preserve">members based in mining regions of Thiès and Kédougou, </w:t>
      </w:r>
      <w:r w:rsidR="00A9141D" w:rsidRPr="002815F4">
        <w:rPr>
          <w:rFonts w:ascii="Calibri" w:hAnsi="Calibri" w:cs="Arial"/>
          <w:iCs/>
        </w:rPr>
        <w:t>and there is no evidence of any attempts to interfere in civil society communications.</w:t>
      </w:r>
      <w:r w:rsidR="00B874D9" w:rsidRPr="002815F4">
        <w:rPr>
          <w:rFonts w:ascii="Calibri" w:hAnsi="Calibri" w:cs="Arial"/>
          <w:iCs/>
        </w:rPr>
        <w:t xml:space="preserve"> PWYP Senegal is also active on Twitter</w:t>
      </w:r>
      <w:r w:rsidR="00B874D9" w:rsidRPr="002815F4">
        <w:rPr>
          <w:rStyle w:val="FootnoteReference"/>
          <w:rFonts w:ascii="Calibri" w:hAnsi="Calibri"/>
          <w:iCs/>
        </w:rPr>
        <w:footnoteReference w:id="25"/>
      </w:r>
      <w:r w:rsidR="00B874D9" w:rsidRPr="002815F4">
        <w:rPr>
          <w:rFonts w:ascii="Calibri" w:hAnsi="Calibri" w:cs="Arial"/>
          <w:iCs/>
        </w:rPr>
        <w:t>, with 96 followers (as of July 2017), and Facebook</w:t>
      </w:r>
      <w:r w:rsidR="00B874D9" w:rsidRPr="002815F4">
        <w:rPr>
          <w:rStyle w:val="FootnoteReference"/>
          <w:rFonts w:ascii="Calibri" w:hAnsi="Calibri"/>
          <w:iCs/>
        </w:rPr>
        <w:footnoteReference w:id="26"/>
      </w:r>
      <w:r w:rsidR="00B874D9" w:rsidRPr="002815F4">
        <w:rPr>
          <w:rFonts w:ascii="Calibri" w:hAnsi="Calibri" w:cs="Arial"/>
          <w:iCs/>
        </w:rPr>
        <w:t xml:space="preserve">, with its 557 followers. </w:t>
      </w:r>
      <w:r w:rsidR="006971A0" w:rsidRPr="002815F4">
        <w:rPr>
          <w:rFonts w:ascii="Calibri" w:hAnsi="Calibri" w:cs="Arial"/>
          <w:iCs/>
        </w:rPr>
        <w:t xml:space="preserve"> </w:t>
      </w:r>
    </w:p>
    <w:p w14:paraId="276319B8" w14:textId="5E6D6467" w:rsidR="00B874D9" w:rsidRPr="002815F4" w:rsidRDefault="002929E0" w:rsidP="00E956E1">
      <w:pPr>
        <w:spacing w:before="120"/>
        <w:rPr>
          <w:rFonts w:ascii="Calibri" w:hAnsi="Calibri"/>
        </w:rPr>
      </w:pPr>
      <w:r w:rsidRPr="002815F4">
        <w:rPr>
          <w:rFonts w:ascii="Calibri" w:hAnsi="Calibri"/>
          <w:i/>
          <w:u w:val="single"/>
        </w:rPr>
        <w:t>Engagement</w:t>
      </w:r>
      <w:r w:rsidRPr="002815F4">
        <w:rPr>
          <w:rFonts w:ascii="Calibri" w:hAnsi="Calibri"/>
          <w:i/>
        </w:rPr>
        <w:t xml:space="preserve">: </w:t>
      </w:r>
      <w:r w:rsidR="00B874D9" w:rsidRPr="002815F4">
        <w:rPr>
          <w:rFonts w:cs="Arial"/>
          <w:color w:val="000000" w:themeColor="text1"/>
        </w:rPr>
        <w:t>Civil society is actively involved in the design, implementation, monitoring and evaluation of the EITI through its participation in MSG meetings, CSO forums both in the capital Dakar and in the regions, dissemination events and other channels. Following the February 2012 Council of Ministers announcement of Senegal’s intention to implement the EITI, the CSO Coalition took the lead in public outreach</w:t>
      </w:r>
      <w:r w:rsidR="009D06BA" w:rsidRPr="002815F4">
        <w:rPr>
          <w:rFonts w:cs="Arial"/>
          <w:color w:val="000000" w:themeColor="text1"/>
        </w:rPr>
        <w:t xml:space="preserve"> through consultations and roadshows in the mining regions</w:t>
      </w:r>
      <w:r w:rsidR="00B874D9" w:rsidRPr="002815F4">
        <w:rPr>
          <w:rFonts w:cs="Arial"/>
          <w:color w:val="000000" w:themeColor="text1"/>
        </w:rPr>
        <w:t xml:space="preserve"> in preparation of Senegal’s EITI application </w:t>
      </w:r>
      <w:sdt>
        <w:sdtPr>
          <w:rPr>
            <w:rFonts w:cs="Arial"/>
            <w:color w:val="000000" w:themeColor="text1"/>
          </w:rPr>
          <w:id w:val="-2109340078"/>
          <w:citation/>
        </w:sdtPr>
        <w:sdtEndPr/>
        <w:sdtContent>
          <w:r w:rsidR="00B874D9" w:rsidRPr="002815F4">
            <w:rPr>
              <w:rFonts w:cs="Arial"/>
              <w:color w:val="000000" w:themeColor="text1"/>
            </w:rPr>
            <w:fldChar w:fldCharType="begin"/>
          </w:r>
          <w:r w:rsidR="00B874D9" w:rsidRPr="002815F4">
            <w:rPr>
              <w:rFonts w:cs="Arial"/>
              <w:color w:val="000000" w:themeColor="text1"/>
            </w:rPr>
            <w:instrText xml:space="preserve"> CITATION ITI1319 \l 1033 </w:instrText>
          </w:r>
          <w:r w:rsidR="00B874D9" w:rsidRPr="002815F4">
            <w:rPr>
              <w:rFonts w:cs="Arial"/>
              <w:color w:val="000000" w:themeColor="text1"/>
            </w:rPr>
            <w:fldChar w:fldCharType="separate"/>
          </w:r>
          <w:r w:rsidR="003E626E" w:rsidRPr="002815F4">
            <w:rPr>
              <w:rFonts w:cs="Arial"/>
              <w:noProof/>
              <w:color w:val="000000" w:themeColor="text1"/>
            </w:rPr>
            <w:t>(ITIE Senegal, 2013)</w:t>
          </w:r>
          <w:r w:rsidR="00B874D9" w:rsidRPr="002815F4">
            <w:rPr>
              <w:rFonts w:cs="Arial"/>
              <w:color w:val="000000" w:themeColor="text1"/>
            </w:rPr>
            <w:fldChar w:fldCharType="end"/>
          </w:r>
        </w:sdtContent>
      </w:sdt>
      <w:r w:rsidR="00B874D9" w:rsidRPr="002815F4">
        <w:rPr>
          <w:rFonts w:cs="Arial"/>
          <w:color w:val="000000" w:themeColor="text1"/>
        </w:rPr>
        <w:t>. PWYP Senegal has also used annual conferences and regional roadshows as venues for canvassing stakeholder concerns and feeding back developments on the MSG to the broader constituency</w:t>
      </w:r>
      <w:sdt>
        <w:sdtPr>
          <w:rPr>
            <w:rFonts w:cs="Arial"/>
            <w:color w:val="000000" w:themeColor="text1"/>
          </w:rPr>
          <w:id w:val="-1789816141"/>
          <w:citation/>
        </w:sdtPr>
        <w:sdtEndPr/>
        <w:sdtContent>
          <w:r w:rsidR="005D02FA" w:rsidRPr="002815F4">
            <w:rPr>
              <w:rFonts w:cs="Arial"/>
              <w:color w:val="000000" w:themeColor="text1"/>
            </w:rPr>
            <w:fldChar w:fldCharType="begin"/>
          </w:r>
          <w:r w:rsidR="005D02FA" w:rsidRPr="002815F4">
            <w:rPr>
              <w:rFonts w:cs="Arial"/>
              <w:color w:val="000000" w:themeColor="text1"/>
            </w:rPr>
            <w:instrText xml:space="preserve"> CITATION PWY16 \l 1033 </w:instrText>
          </w:r>
          <w:r w:rsidR="005D02FA" w:rsidRPr="002815F4">
            <w:rPr>
              <w:rFonts w:cs="Arial"/>
              <w:color w:val="000000" w:themeColor="text1"/>
            </w:rPr>
            <w:fldChar w:fldCharType="separate"/>
          </w:r>
          <w:r w:rsidR="003E626E" w:rsidRPr="002815F4">
            <w:rPr>
              <w:rFonts w:cs="Arial"/>
              <w:noProof/>
              <w:color w:val="000000" w:themeColor="text1"/>
            </w:rPr>
            <w:t xml:space="preserve"> (PWYP Senegal, 2016)</w:t>
          </w:r>
          <w:r w:rsidR="005D02FA" w:rsidRPr="002815F4">
            <w:rPr>
              <w:rFonts w:cs="Arial"/>
              <w:color w:val="000000" w:themeColor="text1"/>
            </w:rPr>
            <w:fldChar w:fldCharType="end"/>
          </w:r>
        </w:sdtContent>
      </w:sdt>
      <w:sdt>
        <w:sdtPr>
          <w:rPr>
            <w:rFonts w:cs="Arial"/>
            <w:color w:val="000000" w:themeColor="text1"/>
          </w:rPr>
          <w:id w:val="-210504239"/>
          <w:citation/>
        </w:sdtPr>
        <w:sdtEndPr/>
        <w:sdtContent>
          <w:r w:rsidR="005D02FA" w:rsidRPr="002815F4">
            <w:rPr>
              <w:rFonts w:cs="Arial"/>
              <w:color w:val="000000" w:themeColor="text1"/>
            </w:rPr>
            <w:fldChar w:fldCharType="begin"/>
          </w:r>
          <w:r w:rsidR="005D02FA" w:rsidRPr="002815F4">
            <w:rPr>
              <w:rFonts w:cs="Arial"/>
              <w:color w:val="000000" w:themeColor="text1"/>
            </w:rPr>
            <w:instrText xml:space="preserve"> CITATION PWY163 \l 1033 </w:instrText>
          </w:r>
          <w:r w:rsidR="005D02FA" w:rsidRPr="002815F4">
            <w:rPr>
              <w:rFonts w:cs="Arial"/>
              <w:color w:val="000000" w:themeColor="text1"/>
            </w:rPr>
            <w:fldChar w:fldCharType="separate"/>
          </w:r>
          <w:r w:rsidR="003E626E" w:rsidRPr="002815F4">
            <w:rPr>
              <w:rFonts w:cs="Arial"/>
              <w:noProof/>
              <w:color w:val="000000" w:themeColor="text1"/>
            </w:rPr>
            <w:t xml:space="preserve"> (PWYP Senegal, 2016)</w:t>
          </w:r>
          <w:r w:rsidR="005D02FA" w:rsidRPr="002815F4">
            <w:rPr>
              <w:rFonts w:cs="Arial"/>
              <w:color w:val="000000" w:themeColor="text1"/>
            </w:rPr>
            <w:fldChar w:fldCharType="end"/>
          </w:r>
        </w:sdtContent>
      </w:sdt>
      <w:sdt>
        <w:sdtPr>
          <w:rPr>
            <w:rFonts w:cs="Arial"/>
            <w:color w:val="000000" w:themeColor="text1"/>
          </w:rPr>
          <w:id w:val="-1203161929"/>
          <w:citation/>
        </w:sdtPr>
        <w:sdtEndPr/>
        <w:sdtContent>
          <w:r w:rsidR="005D02FA" w:rsidRPr="002815F4">
            <w:rPr>
              <w:rFonts w:cs="Arial"/>
              <w:color w:val="000000" w:themeColor="text1"/>
            </w:rPr>
            <w:fldChar w:fldCharType="begin"/>
          </w:r>
          <w:r w:rsidR="005D02FA" w:rsidRPr="002815F4">
            <w:rPr>
              <w:rFonts w:cs="Arial"/>
              <w:color w:val="000000" w:themeColor="text1"/>
            </w:rPr>
            <w:instrText xml:space="preserve"> CITATION PWY151 \l 1033 </w:instrText>
          </w:r>
          <w:r w:rsidR="005D02FA" w:rsidRPr="002815F4">
            <w:rPr>
              <w:rFonts w:cs="Arial"/>
              <w:color w:val="000000" w:themeColor="text1"/>
            </w:rPr>
            <w:fldChar w:fldCharType="separate"/>
          </w:r>
          <w:r w:rsidR="003E626E" w:rsidRPr="002815F4">
            <w:rPr>
              <w:rFonts w:cs="Arial"/>
              <w:noProof/>
              <w:color w:val="000000" w:themeColor="text1"/>
            </w:rPr>
            <w:t xml:space="preserve"> (PWYP Senegal, 2015)</w:t>
          </w:r>
          <w:r w:rsidR="005D02FA" w:rsidRPr="002815F4">
            <w:rPr>
              <w:rFonts w:cs="Arial"/>
              <w:color w:val="000000" w:themeColor="text1"/>
            </w:rPr>
            <w:fldChar w:fldCharType="end"/>
          </w:r>
        </w:sdtContent>
      </w:sdt>
      <w:r w:rsidR="00B874D9" w:rsidRPr="002815F4">
        <w:rPr>
          <w:rFonts w:cs="Arial"/>
          <w:color w:val="000000" w:themeColor="text1"/>
        </w:rPr>
        <w:t xml:space="preserve">. </w:t>
      </w:r>
      <w:r w:rsidR="005D02FA" w:rsidRPr="002815F4">
        <w:rPr>
          <w:rFonts w:cs="Arial"/>
          <w:color w:val="000000" w:themeColor="text1"/>
        </w:rPr>
        <w:t xml:space="preserve">PWYP Senegal led organisation of subnational CSO roadshows and workshops in Kedougou, Rufisque and Thiès both in outreach and trainings ahead of publication of Senegal’s first EITI Report and in dissemination and consultation workshops thereafter </w:t>
      </w:r>
      <w:sdt>
        <w:sdtPr>
          <w:rPr>
            <w:rFonts w:cs="Arial"/>
            <w:color w:val="000000" w:themeColor="text1"/>
          </w:rPr>
          <w:id w:val="-1516377722"/>
          <w:citation/>
        </w:sdtPr>
        <w:sdtEndPr/>
        <w:sdtContent>
          <w:r w:rsidR="005D02FA" w:rsidRPr="002815F4">
            <w:rPr>
              <w:rFonts w:cs="Arial"/>
              <w:color w:val="000000" w:themeColor="text1"/>
            </w:rPr>
            <w:fldChar w:fldCharType="begin"/>
          </w:r>
          <w:r w:rsidR="005D02FA" w:rsidRPr="002815F4">
            <w:rPr>
              <w:rFonts w:cs="Arial"/>
              <w:color w:val="000000" w:themeColor="text1"/>
            </w:rPr>
            <w:instrText xml:space="preserve"> CITATION ITI1410 \l 1033 </w:instrText>
          </w:r>
          <w:r w:rsidR="005D02FA" w:rsidRPr="002815F4">
            <w:rPr>
              <w:rFonts w:cs="Arial"/>
              <w:color w:val="000000" w:themeColor="text1"/>
            </w:rPr>
            <w:fldChar w:fldCharType="separate"/>
          </w:r>
          <w:r w:rsidR="003E626E" w:rsidRPr="002815F4">
            <w:rPr>
              <w:rFonts w:cs="Arial"/>
              <w:noProof/>
              <w:color w:val="000000" w:themeColor="text1"/>
            </w:rPr>
            <w:t>(ITIE Senegal, 2014)</w:t>
          </w:r>
          <w:r w:rsidR="005D02FA" w:rsidRPr="002815F4">
            <w:rPr>
              <w:rFonts w:cs="Arial"/>
              <w:color w:val="000000" w:themeColor="text1"/>
            </w:rPr>
            <w:fldChar w:fldCharType="end"/>
          </w:r>
        </w:sdtContent>
      </w:sdt>
      <w:r w:rsidR="005D02FA" w:rsidRPr="002815F4">
        <w:rPr>
          <w:rFonts w:cs="Arial"/>
          <w:color w:val="000000" w:themeColor="text1"/>
        </w:rPr>
        <w:t xml:space="preserve"> </w:t>
      </w:r>
      <w:sdt>
        <w:sdtPr>
          <w:rPr>
            <w:rFonts w:cs="Arial"/>
            <w:color w:val="000000" w:themeColor="text1"/>
          </w:rPr>
          <w:id w:val="-1990862572"/>
          <w:citation/>
        </w:sdtPr>
        <w:sdtEndPr/>
        <w:sdtContent>
          <w:r w:rsidR="005D02FA" w:rsidRPr="002815F4">
            <w:rPr>
              <w:rFonts w:cs="Arial"/>
              <w:color w:val="000000" w:themeColor="text1"/>
            </w:rPr>
            <w:fldChar w:fldCharType="begin"/>
          </w:r>
          <w:r w:rsidR="005D02FA" w:rsidRPr="002815F4">
            <w:rPr>
              <w:rFonts w:cs="Arial"/>
              <w:color w:val="000000" w:themeColor="text1"/>
            </w:rPr>
            <w:instrText xml:space="preserve"> CITATION ITI1532 \l 1033 </w:instrText>
          </w:r>
          <w:r w:rsidR="005D02FA" w:rsidRPr="002815F4">
            <w:rPr>
              <w:rFonts w:cs="Arial"/>
              <w:color w:val="000000" w:themeColor="text1"/>
            </w:rPr>
            <w:fldChar w:fldCharType="separate"/>
          </w:r>
          <w:r w:rsidR="003E626E" w:rsidRPr="002815F4">
            <w:rPr>
              <w:rFonts w:cs="Arial"/>
              <w:noProof/>
              <w:color w:val="000000" w:themeColor="text1"/>
            </w:rPr>
            <w:t>(ITIE Senegal, 2015)</w:t>
          </w:r>
          <w:r w:rsidR="005D02FA" w:rsidRPr="002815F4">
            <w:rPr>
              <w:rFonts w:cs="Arial"/>
              <w:color w:val="000000" w:themeColor="text1"/>
            </w:rPr>
            <w:fldChar w:fldCharType="end"/>
          </w:r>
        </w:sdtContent>
      </w:sdt>
      <w:sdt>
        <w:sdtPr>
          <w:rPr>
            <w:rFonts w:cs="Arial"/>
            <w:color w:val="000000" w:themeColor="text1"/>
          </w:rPr>
          <w:id w:val="-1702543612"/>
          <w:citation/>
        </w:sdtPr>
        <w:sdtEndPr/>
        <w:sdtContent>
          <w:r w:rsidR="005D02FA" w:rsidRPr="002815F4">
            <w:rPr>
              <w:rFonts w:cs="Arial"/>
              <w:color w:val="000000" w:themeColor="text1"/>
            </w:rPr>
            <w:fldChar w:fldCharType="begin"/>
          </w:r>
          <w:r w:rsidR="005D02FA" w:rsidRPr="002815F4">
            <w:rPr>
              <w:rFonts w:cs="Arial"/>
              <w:color w:val="000000" w:themeColor="text1"/>
            </w:rPr>
            <w:instrText xml:space="preserve"> CITATION ITI1514 \l 1033 </w:instrText>
          </w:r>
          <w:r w:rsidR="005D02FA" w:rsidRPr="002815F4">
            <w:rPr>
              <w:rFonts w:cs="Arial"/>
              <w:color w:val="000000" w:themeColor="text1"/>
            </w:rPr>
            <w:fldChar w:fldCharType="separate"/>
          </w:r>
          <w:r w:rsidR="003E626E" w:rsidRPr="002815F4">
            <w:rPr>
              <w:rFonts w:cs="Arial"/>
              <w:noProof/>
              <w:color w:val="000000" w:themeColor="text1"/>
            </w:rPr>
            <w:t xml:space="preserve"> (ITIE Senegal, 2015)</w:t>
          </w:r>
          <w:r w:rsidR="005D02FA" w:rsidRPr="002815F4">
            <w:rPr>
              <w:rFonts w:cs="Arial"/>
              <w:color w:val="000000" w:themeColor="text1"/>
            </w:rPr>
            <w:fldChar w:fldCharType="end"/>
          </w:r>
        </w:sdtContent>
      </w:sdt>
      <w:sdt>
        <w:sdtPr>
          <w:rPr>
            <w:rFonts w:cs="Arial"/>
            <w:color w:val="000000" w:themeColor="text1"/>
          </w:rPr>
          <w:id w:val="-1753733797"/>
          <w:citation/>
        </w:sdtPr>
        <w:sdtEndPr/>
        <w:sdtContent>
          <w:r w:rsidR="005D02FA" w:rsidRPr="002815F4">
            <w:rPr>
              <w:rFonts w:cs="Arial"/>
              <w:color w:val="000000" w:themeColor="text1"/>
            </w:rPr>
            <w:fldChar w:fldCharType="begin"/>
          </w:r>
          <w:r w:rsidR="005D02FA" w:rsidRPr="002815F4">
            <w:rPr>
              <w:rFonts w:cs="Arial"/>
              <w:color w:val="000000" w:themeColor="text1"/>
            </w:rPr>
            <w:instrText xml:space="preserve"> CITATION ITI1515 \l 1033 </w:instrText>
          </w:r>
          <w:r w:rsidR="005D02FA" w:rsidRPr="002815F4">
            <w:rPr>
              <w:rFonts w:cs="Arial"/>
              <w:color w:val="000000" w:themeColor="text1"/>
            </w:rPr>
            <w:fldChar w:fldCharType="separate"/>
          </w:r>
          <w:r w:rsidR="003E626E" w:rsidRPr="002815F4">
            <w:rPr>
              <w:rFonts w:cs="Arial"/>
              <w:noProof/>
              <w:color w:val="000000" w:themeColor="text1"/>
            </w:rPr>
            <w:t xml:space="preserve"> (ITIE Senegal, 2015)</w:t>
          </w:r>
          <w:r w:rsidR="005D02FA" w:rsidRPr="002815F4">
            <w:rPr>
              <w:rFonts w:cs="Arial"/>
              <w:color w:val="000000" w:themeColor="text1"/>
            </w:rPr>
            <w:fldChar w:fldCharType="end"/>
          </w:r>
        </w:sdtContent>
      </w:sdt>
      <w:r w:rsidR="005D02FA" w:rsidRPr="002815F4">
        <w:rPr>
          <w:rFonts w:cs="Arial"/>
          <w:color w:val="000000" w:themeColor="text1"/>
        </w:rPr>
        <w:t xml:space="preserve">. </w:t>
      </w:r>
      <w:r w:rsidR="00AC7317" w:rsidRPr="002815F4">
        <w:rPr>
          <w:rFonts w:ascii="Calibri" w:hAnsi="Calibri"/>
        </w:rPr>
        <w:t xml:space="preserve">CSO groups involved in the EITI have organised regular workshops and conferences to canvass civil society’s views and report back from MSG proceedings. Oxfam and OSIWA have also supported three-day workshops for both regional civil society representatives from 14 francophone countries on common UEMOA mining regulations in September 2014 </w:t>
      </w:r>
      <w:sdt>
        <w:sdtPr>
          <w:rPr>
            <w:rFonts w:ascii="Calibri" w:hAnsi="Calibri"/>
          </w:rPr>
          <w:id w:val="-1452931494"/>
          <w:citation/>
        </w:sdtPr>
        <w:sdtEndPr/>
        <w:sdtContent>
          <w:r w:rsidR="00AC7317" w:rsidRPr="002815F4">
            <w:rPr>
              <w:rFonts w:ascii="Calibri" w:hAnsi="Calibri"/>
            </w:rPr>
            <w:fldChar w:fldCharType="begin"/>
          </w:r>
          <w:r w:rsidR="00AC7317" w:rsidRPr="002815F4">
            <w:rPr>
              <w:rFonts w:ascii="Calibri" w:hAnsi="Calibri"/>
            </w:rPr>
            <w:instrText xml:space="preserve">CITATION ITI1536 \l 1033 </w:instrText>
          </w:r>
          <w:r w:rsidR="00AC7317" w:rsidRPr="002815F4">
            <w:rPr>
              <w:rFonts w:ascii="Calibri" w:hAnsi="Calibri"/>
            </w:rPr>
            <w:fldChar w:fldCharType="separate"/>
          </w:r>
          <w:r w:rsidR="003E626E" w:rsidRPr="002815F4">
            <w:rPr>
              <w:rFonts w:ascii="Calibri" w:hAnsi="Calibri"/>
              <w:noProof/>
            </w:rPr>
            <w:t>(ITIE Senegal, 2014)</w:t>
          </w:r>
          <w:r w:rsidR="00AC7317" w:rsidRPr="002815F4">
            <w:rPr>
              <w:rFonts w:ascii="Calibri" w:hAnsi="Calibri"/>
            </w:rPr>
            <w:fldChar w:fldCharType="end"/>
          </w:r>
        </w:sdtContent>
      </w:sdt>
      <w:r w:rsidR="00AC7317" w:rsidRPr="002815F4">
        <w:rPr>
          <w:rFonts w:ascii="Calibri" w:hAnsi="Calibri"/>
        </w:rPr>
        <w:t xml:space="preserve"> and for Senegalese civil society on oil and gas governance in 2017 </w:t>
      </w:r>
      <w:sdt>
        <w:sdtPr>
          <w:rPr>
            <w:rFonts w:ascii="Calibri" w:hAnsi="Calibri"/>
          </w:rPr>
          <w:id w:val="-628083261"/>
          <w:citation/>
        </w:sdtPr>
        <w:sdtEndPr/>
        <w:sdtContent>
          <w:r w:rsidR="00AC7317" w:rsidRPr="002815F4">
            <w:rPr>
              <w:rFonts w:ascii="Calibri" w:hAnsi="Calibri"/>
            </w:rPr>
            <w:fldChar w:fldCharType="begin"/>
          </w:r>
          <w:r w:rsidR="00AC7317" w:rsidRPr="002815F4">
            <w:rPr>
              <w:rFonts w:ascii="Calibri" w:hAnsi="Calibri"/>
            </w:rPr>
            <w:instrText xml:space="preserve"> CITATION ITI1718 \l 1033 </w:instrText>
          </w:r>
          <w:r w:rsidR="00AC7317" w:rsidRPr="002815F4">
            <w:rPr>
              <w:rFonts w:ascii="Calibri" w:hAnsi="Calibri"/>
            </w:rPr>
            <w:fldChar w:fldCharType="separate"/>
          </w:r>
          <w:r w:rsidR="003E626E" w:rsidRPr="002815F4">
            <w:rPr>
              <w:rFonts w:ascii="Calibri" w:hAnsi="Calibri"/>
              <w:noProof/>
            </w:rPr>
            <w:t>(ITIE Senegal, 2017)</w:t>
          </w:r>
          <w:r w:rsidR="00AC7317" w:rsidRPr="002815F4">
            <w:rPr>
              <w:rFonts w:ascii="Calibri" w:hAnsi="Calibri"/>
            </w:rPr>
            <w:fldChar w:fldCharType="end"/>
          </w:r>
        </w:sdtContent>
      </w:sdt>
      <w:r w:rsidR="00AC7317" w:rsidRPr="002815F4">
        <w:rPr>
          <w:rFonts w:ascii="Calibri" w:hAnsi="Calibri"/>
        </w:rPr>
        <w:t xml:space="preserve">. </w:t>
      </w:r>
      <w:r w:rsidR="00AC7317" w:rsidRPr="002815F4">
        <w:rPr>
          <w:rFonts w:cs="Arial"/>
          <w:color w:val="000000" w:themeColor="text1"/>
        </w:rPr>
        <w:t xml:space="preserve">The CSO Coalition has also been </w:t>
      </w:r>
      <w:r w:rsidR="002815F4" w:rsidRPr="002815F4">
        <w:rPr>
          <w:rFonts w:cs="Arial"/>
          <w:color w:val="000000" w:themeColor="text1"/>
        </w:rPr>
        <w:t>highly</w:t>
      </w:r>
      <w:r w:rsidR="00AC7317" w:rsidRPr="002815F4">
        <w:rPr>
          <w:rFonts w:cs="Arial"/>
          <w:color w:val="000000" w:themeColor="text1"/>
        </w:rPr>
        <w:t xml:space="preserve"> engaged in advocacy and lobbying national policy-making, for instance around reforms to the Mining Code in 2015-16 </w:t>
      </w:r>
      <w:sdt>
        <w:sdtPr>
          <w:rPr>
            <w:rFonts w:ascii="Calibri" w:hAnsi="Calibri"/>
          </w:rPr>
          <w:id w:val="792096349"/>
          <w:citation/>
        </w:sdtPr>
        <w:sdtEndPr/>
        <w:sdtContent>
          <w:r w:rsidR="00AC7317" w:rsidRPr="002815F4">
            <w:rPr>
              <w:rFonts w:ascii="Calibri" w:hAnsi="Calibri"/>
            </w:rPr>
            <w:fldChar w:fldCharType="begin"/>
          </w:r>
          <w:r w:rsidR="00AC7317" w:rsidRPr="002815F4">
            <w:rPr>
              <w:rFonts w:ascii="Calibri" w:hAnsi="Calibri"/>
            </w:rPr>
            <w:instrText xml:space="preserve"> CITATION Oxf16 \l 1033 </w:instrText>
          </w:r>
          <w:r w:rsidR="00AC7317" w:rsidRPr="002815F4">
            <w:rPr>
              <w:rFonts w:ascii="Calibri" w:hAnsi="Calibri"/>
            </w:rPr>
            <w:fldChar w:fldCharType="separate"/>
          </w:r>
          <w:r w:rsidR="003E626E" w:rsidRPr="002815F4">
            <w:rPr>
              <w:rFonts w:ascii="Calibri" w:hAnsi="Calibri"/>
              <w:noProof/>
            </w:rPr>
            <w:t>(Oxfam America, 2016)</w:t>
          </w:r>
          <w:r w:rsidR="00AC7317" w:rsidRPr="002815F4">
            <w:rPr>
              <w:rFonts w:ascii="Calibri" w:hAnsi="Calibri"/>
            </w:rPr>
            <w:fldChar w:fldCharType="end"/>
          </w:r>
        </w:sdtContent>
      </w:sdt>
      <w:r w:rsidR="00AC7317" w:rsidRPr="002815F4">
        <w:rPr>
          <w:rFonts w:ascii="Calibri" w:hAnsi="Calibri"/>
        </w:rPr>
        <w:t xml:space="preserve">. PWYP Senegal has repeatedly highlighted that the </w:t>
      </w:r>
      <w:r w:rsidR="00AC7317" w:rsidRPr="002815F4">
        <w:rPr>
          <w:rFonts w:ascii="Calibri" w:hAnsi="Calibri"/>
        </w:rPr>
        <w:lastRenderedPageBreak/>
        <w:t xml:space="preserve">coalition’s credibility is measured by the trust it builds between stakeholders at both national and local levels </w:t>
      </w:r>
      <w:sdt>
        <w:sdtPr>
          <w:rPr>
            <w:rFonts w:ascii="Calibri" w:hAnsi="Calibri"/>
          </w:rPr>
          <w:id w:val="978729335"/>
          <w:citation/>
        </w:sdtPr>
        <w:sdtEndPr/>
        <w:sdtContent>
          <w:r w:rsidR="00AC7317" w:rsidRPr="002815F4">
            <w:rPr>
              <w:rFonts w:ascii="Calibri" w:hAnsi="Calibri"/>
            </w:rPr>
            <w:fldChar w:fldCharType="begin"/>
          </w:r>
          <w:r w:rsidR="00AC7317" w:rsidRPr="002815F4">
            <w:rPr>
              <w:rFonts w:ascii="Calibri" w:hAnsi="Calibri"/>
            </w:rPr>
            <w:instrText xml:space="preserve"> CITATION PWY162 \l 1033 </w:instrText>
          </w:r>
          <w:r w:rsidR="00AC7317" w:rsidRPr="002815F4">
            <w:rPr>
              <w:rFonts w:ascii="Calibri" w:hAnsi="Calibri"/>
            </w:rPr>
            <w:fldChar w:fldCharType="separate"/>
          </w:r>
          <w:r w:rsidR="003E626E" w:rsidRPr="002815F4">
            <w:rPr>
              <w:rFonts w:ascii="Calibri" w:hAnsi="Calibri"/>
              <w:noProof/>
            </w:rPr>
            <w:t>(PWYP, 2016)</w:t>
          </w:r>
          <w:r w:rsidR="00AC7317" w:rsidRPr="002815F4">
            <w:rPr>
              <w:rFonts w:ascii="Calibri" w:hAnsi="Calibri"/>
            </w:rPr>
            <w:fldChar w:fldCharType="end"/>
          </w:r>
        </w:sdtContent>
      </w:sdt>
      <w:r w:rsidR="00AC7317" w:rsidRPr="002815F4">
        <w:rPr>
          <w:rFonts w:ascii="Calibri" w:hAnsi="Calibri"/>
        </w:rPr>
        <w:t xml:space="preserve">. </w:t>
      </w:r>
    </w:p>
    <w:p w14:paraId="574E4BFE" w14:textId="212AC9B2" w:rsidR="00F07BF2" w:rsidRPr="002815F4" w:rsidRDefault="00AC7317" w:rsidP="00E956E1">
      <w:pPr>
        <w:spacing w:before="120"/>
        <w:rPr>
          <w:rFonts w:cs="Arial"/>
          <w:color w:val="000000" w:themeColor="text1"/>
        </w:rPr>
      </w:pPr>
      <w:r w:rsidRPr="002815F4">
        <w:rPr>
          <w:rFonts w:cs="Arial"/>
          <w:color w:val="000000" w:themeColor="text1"/>
        </w:rPr>
        <w:t xml:space="preserve">Civil society has agreed a clear agenda and mandate on issues including </w:t>
      </w:r>
      <w:r w:rsidR="00FC02AB" w:rsidRPr="002815F4">
        <w:rPr>
          <w:rFonts w:cs="Arial"/>
          <w:color w:val="000000" w:themeColor="text1"/>
        </w:rPr>
        <w:t xml:space="preserve">contract transparency, the protection of the environment and revenue transfers to local communities. </w:t>
      </w:r>
      <w:r w:rsidRPr="002815F4">
        <w:rPr>
          <w:rFonts w:cs="Arial"/>
          <w:color w:val="000000" w:themeColor="text1"/>
        </w:rPr>
        <w:t>The minutes from MSG meetings point to active</w:t>
      </w:r>
      <w:r w:rsidR="000A0513">
        <w:rPr>
          <w:rFonts w:cs="Arial"/>
          <w:color w:val="000000" w:themeColor="text1"/>
        </w:rPr>
        <w:t xml:space="preserve"> CSO</w:t>
      </w:r>
      <w:r w:rsidRPr="002815F4">
        <w:rPr>
          <w:rFonts w:cs="Arial"/>
          <w:color w:val="000000" w:themeColor="text1"/>
        </w:rPr>
        <w:t xml:space="preserve"> engagement over the years and it is clear that there is capacity amongst wider civil society to engage in questions related to the extractive sector. Analysis of MSG meeting attendance reflects the strong and consistent engagement of civil society, with most members or their alternates participating at all meetings of the MSG and technical working groups.</w:t>
      </w:r>
    </w:p>
    <w:p w14:paraId="0382A997" w14:textId="38159B97" w:rsidR="005116A0" w:rsidRPr="002815F4" w:rsidRDefault="002929E0" w:rsidP="00E956E1">
      <w:pPr>
        <w:spacing w:before="120"/>
        <w:rPr>
          <w:rFonts w:ascii="Calibri" w:hAnsi="Calibri"/>
        </w:rPr>
      </w:pPr>
      <w:r w:rsidRPr="002815F4">
        <w:rPr>
          <w:rFonts w:ascii="Calibri" w:hAnsi="Calibri"/>
          <w:i/>
          <w:u w:val="single"/>
        </w:rPr>
        <w:t>Access to public decision-making</w:t>
      </w:r>
      <w:r w:rsidRPr="002815F4">
        <w:rPr>
          <w:rFonts w:ascii="Calibri" w:hAnsi="Calibri"/>
          <w:i/>
        </w:rPr>
        <w:t>:</w:t>
      </w:r>
      <w:r w:rsidRPr="002815F4">
        <w:rPr>
          <w:rFonts w:ascii="Calibri" w:hAnsi="Calibri"/>
        </w:rPr>
        <w:t xml:space="preserve"> </w:t>
      </w:r>
      <w:r w:rsidR="00C0022C" w:rsidRPr="002815F4">
        <w:rPr>
          <w:rFonts w:ascii="Calibri" w:hAnsi="Calibri"/>
        </w:rPr>
        <w:t xml:space="preserve">Civil society has the ability to ensure that the EITI process contributes to public debate and to influence public decision making. </w:t>
      </w:r>
      <w:r w:rsidR="00184E09" w:rsidRPr="002815F4">
        <w:rPr>
          <w:rFonts w:ascii="Calibri" w:hAnsi="Calibri"/>
        </w:rPr>
        <w:t xml:space="preserve">Senegalese NGOs have recognised civil society’s ability to influence the drafting of public development policies </w:t>
      </w:r>
      <w:sdt>
        <w:sdtPr>
          <w:rPr>
            <w:rFonts w:ascii="Calibri" w:hAnsi="Calibri"/>
            <w:bCs/>
          </w:rPr>
          <w:id w:val="-1843765120"/>
          <w:citation/>
        </w:sdtPr>
        <w:sdtEndPr/>
        <w:sdtContent>
          <w:r w:rsidR="00184E09" w:rsidRPr="002815F4">
            <w:rPr>
              <w:rFonts w:ascii="Calibri" w:hAnsi="Calibri"/>
              <w:bCs/>
            </w:rPr>
            <w:fldChar w:fldCharType="begin"/>
          </w:r>
          <w:r w:rsidR="00184E09" w:rsidRPr="002815F4">
            <w:rPr>
              <w:rFonts w:ascii="Calibri" w:hAnsi="Calibri"/>
              <w:bCs/>
            </w:rPr>
            <w:instrText xml:space="preserve"> CITATION CON10 \l 1033 </w:instrText>
          </w:r>
          <w:r w:rsidR="00184E09" w:rsidRPr="002815F4">
            <w:rPr>
              <w:rFonts w:ascii="Calibri" w:hAnsi="Calibri"/>
              <w:bCs/>
            </w:rPr>
            <w:fldChar w:fldCharType="separate"/>
          </w:r>
          <w:r w:rsidR="003E626E" w:rsidRPr="002815F4">
            <w:rPr>
              <w:rFonts w:ascii="Calibri" w:hAnsi="Calibri"/>
              <w:noProof/>
            </w:rPr>
            <w:t>(CONGAD, 2010)</w:t>
          </w:r>
          <w:r w:rsidR="00184E09" w:rsidRPr="002815F4">
            <w:rPr>
              <w:rFonts w:ascii="Calibri" w:hAnsi="Calibri"/>
              <w:bCs/>
            </w:rPr>
            <w:fldChar w:fldCharType="end"/>
          </w:r>
        </w:sdtContent>
      </w:sdt>
      <w:r w:rsidR="005116A0" w:rsidRPr="002815F4">
        <w:rPr>
          <w:rFonts w:ascii="Calibri" w:hAnsi="Calibri" w:cs="Arial"/>
          <w:iCs/>
        </w:rPr>
        <w:t xml:space="preserve"> </w:t>
      </w:r>
      <w:sdt>
        <w:sdtPr>
          <w:rPr>
            <w:rFonts w:ascii="Calibri" w:hAnsi="Calibri" w:cs="Arial"/>
            <w:iCs/>
          </w:rPr>
          <w:id w:val="1994976354"/>
          <w:citation/>
        </w:sdtPr>
        <w:sdtEndPr/>
        <w:sdtContent>
          <w:r w:rsidR="005116A0" w:rsidRPr="002815F4">
            <w:rPr>
              <w:rFonts w:ascii="Calibri" w:hAnsi="Calibri" w:cs="Arial"/>
              <w:iCs/>
            </w:rPr>
            <w:fldChar w:fldCharType="begin"/>
          </w:r>
          <w:r w:rsidR="005116A0" w:rsidRPr="002815F4">
            <w:rPr>
              <w:rFonts w:ascii="Calibri" w:hAnsi="Calibri" w:cs="Arial"/>
              <w:iCs/>
            </w:rPr>
            <w:instrText xml:space="preserve"> CITATION Ope17 \l 1033 </w:instrText>
          </w:r>
          <w:r w:rsidR="005116A0" w:rsidRPr="002815F4">
            <w:rPr>
              <w:rFonts w:ascii="Calibri" w:hAnsi="Calibri" w:cs="Arial"/>
              <w:iCs/>
            </w:rPr>
            <w:fldChar w:fldCharType="separate"/>
          </w:r>
          <w:r w:rsidR="003E626E" w:rsidRPr="002815F4">
            <w:rPr>
              <w:rFonts w:ascii="Calibri" w:hAnsi="Calibri" w:cs="Arial"/>
              <w:noProof/>
            </w:rPr>
            <w:t>(Open Contracting Partnership, 2017)</w:t>
          </w:r>
          <w:r w:rsidR="005116A0" w:rsidRPr="002815F4">
            <w:rPr>
              <w:rFonts w:ascii="Calibri" w:hAnsi="Calibri" w:cs="Arial"/>
              <w:iCs/>
            </w:rPr>
            <w:fldChar w:fldCharType="end"/>
          </w:r>
        </w:sdtContent>
      </w:sdt>
      <w:r w:rsidR="005116A0" w:rsidRPr="002815F4">
        <w:rPr>
          <w:rFonts w:ascii="Calibri" w:hAnsi="Calibri"/>
        </w:rPr>
        <w:t xml:space="preserve"> </w:t>
      </w:r>
      <w:sdt>
        <w:sdtPr>
          <w:rPr>
            <w:rFonts w:ascii="Calibri" w:hAnsi="Calibri"/>
          </w:rPr>
          <w:id w:val="631521679"/>
          <w:citation/>
        </w:sdtPr>
        <w:sdtEndPr/>
        <w:sdtContent>
          <w:r w:rsidR="005116A0" w:rsidRPr="002815F4">
            <w:rPr>
              <w:rFonts w:ascii="Calibri" w:hAnsi="Calibri"/>
            </w:rPr>
            <w:fldChar w:fldCharType="begin"/>
          </w:r>
          <w:r w:rsidR="005116A0" w:rsidRPr="002815F4">
            <w:rPr>
              <w:rFonts w:ascii="Calibri" w:hAnsi="Calibri"/>
            </w:rPr>
            <w:instrText xml:space="preserve"> CITATION ITI1640 \l 1033 </w:instrText>
          </w:r>
          <w:r w:rsidR="005116A0" w:rsidRPr="002815F4">
            <w:rPr>
              <w:rFonts w:ascii="Calibri" w:hAnsi="Calibri"/>
            </w:rPr>
            <w:fldChar w:fldCharType="separate"/>
          </w:r>
          <w:r w:rsidR="003E626E" w:rsidRPr="002815F4">
            <w:rPr>
              <w:rFonts w:ascii="Calibri" w:hAnsi="Calibri"/>
              <w:noProof/>
            </w:rPr>
            <w:t>(ITIE Senegal, 2016)</w:t>
          </w:r>
          <w:r w:rsidR="005116A0" w:rsidRPr="002815F4">
            <w:rPr>
              <w:rFonts w:ascii="Calibri" w:hAnsi="Calibri"/>
            </w:rPr>
            <w:fldChar w:fldCharType="end"/>
          </w:r>
        </w:sdtContent>
      </w:sdt>
      <w:r w:rsidR="005116A0" w:rsidRPr="002815F4">
        <w:rPr>
          <w:rFonts w:ascii="Calibri" w:hAnsi="Calibri"/>
        </w:rPr>
        <w:t xml:space="preserve">. </w:t>
      </w:r>
      <w:r w:rsidR="00080769" w:rsidRPr="002815F4">
        <w:rPr>
          <w:rFonts w:ascii="Calibri" w:hAnsi="Calibri"/>
        </w:rPr>
        <w:t>While civil society (primarily Article 19 and Forum Civil) has lobbied for the adoption of freedom of information legislation since 2010,</w:t>
      </w:r>
      <w:r w:rsidR="00E05634" w:rsidRPr="002815F4">
        <w:rPr>
          <w:rFonts w:ascii="Calibri" w:hAnsi="Calibri"/>
        </w:rPr>
        <w:t xml:space="preserve"> there is no specific law covering freedom of information beyond the Constitution’s general provisions on freedom of expression and information </w:t>
      </w:r>
      <w:sdt>
        <w:sdtPr>
          <w:rPr>
            <w:rFonts w:ascii="Calibri" w:hAnsi="Calibri" w:cs="Arial"/>
            <w:iCs/>
          </w:rPr>
          <w:id w:val="344986306"/>
          <w:citation/>
        </w:sdtPr>
        <w:sdtEndPr/>
        <w:sdtContent>
          <w:r w:rsidR="00E05634" w:rsidRPr="002815F4">
            <w:rPr>
              <w:rFonts w:ascii="Calibri" w:hAnsi="Calibri" w:cs="Arial"/>
              <w:iCs/>
            </w:rPr>
            <w:fldChar w:fldCharType="begin"/>
          </w:r>
          <w:r w:rsidR="00E05634" w:rsidRPr="002815F4">
            <w:rPr>
              <w:rFonts w:ascii="Calibri" w:hAnsi="Calibri" w:cs="Arial"/>
              <w:iCs/>
            </w:rPr>
            <w:instrText xml:space="preserve"> CITATION Art14 \l 1033 </w:instrText>
          </w:r>
          <w:r w:rsidR="00E05634" w:rsidRPr="002815F4">
            <w:rPr>
              <w:rFonts w:ascii="Calibri" w:hAnsi="Calibri" w:cs="Arial"/>
              <w:iCs/>
            </w:rPr>
            <w:fldChar w:fldCharType="separate"/>
          </w:r>
          <w:r w:rsidR="003E626E" w:rsidRPr="002815F4">
            <w:rPr>
              <w:rFonts w:ascii="Calibri" w:hAnsi="Calibri" w:cs="Arial"/>
              <w:noProof/>
            </w:rPr>
            <w:t>(Article 19, 2014)</w:t>
          </w:r>
          <w:r w:rsidR="00E05634" w:rsidRPr="002815F4">
            <w:rPr>
              <w:rFonts w:ascii="Calibri" w:hAnsi="Calibri" w:cs="Arial"/>
              <w:iCs/>
            </w:rPr>
            <w:fldChar w:fldCharType="end"/>
          </w:r>
        </w:sdtContent>
      </w:sdt>
      <w:r w:rsidR="00080769" w:rsidRPr="002815F4">
        <w:rPr>
          <w:rFonts w:ascii="Calibri" w:hAnsi="Calibri"/>
        </w:rPr>
        <w:t xml:space="preserve"> </w:t>
      </w:r>
      <w:sdt>
        <w:sdtPr>
          <w:rPr>
            <w:rFonts w:ascii="Calibri" w:hAnsi="Calibri" w:cs="Arial"/>
            <w:iCs/>
          </w:rPr>
          <w:id w:val="354629178"/>
          <w:citation/>
        </w:sdtPr>
        <w:sdtEndPr/>
        <w:sdtContent>
          <w:r w:rsidR="00080769" w:rsidRPr="002815F4">
            <w:rPr>
              <w:rFonts w:ascii="Calibri" w:hAnsi="Calibri" w:cs="Arial"/>
              <w:iCs/>
            </w:rPr>
            <w:fldChar w:fldCharType="begin"/>
          </w:r>
          <w:r w:rsidR="00080769" w:rsidRPr="002815F4">
            <w:rPr>
              <w:rFonts w:ascii="Calibri" w:hAnsi="Calibri" w:cs="Arial"/>
              <w:iCs/>
            </w:rPr>
            <w:instrText xml:space="preserve"> CITATION Ope17 \l 1033 </w:instrText>
          </w:r>
          <w:r w:rsidR="00080769" w:rsidRPr="002815F4">
            <w:rPr>
              <w:rFonts w:ascii="Calibri" w:hAnsi="Calibri" w:cs="Arial"/>
              <w:iCs/>
            </w:rPr>
            <w:fldChar w:fldCharType="separate"/>
          </w:r>
          <w:r w:rsidR="003E626E" w:rsidRPr="002815F4">
            <w:rPr>
              <w:rFonts w:ascii="Calibri" w:hAnsi="Calibri" w:cs="Arial"/>
              <w:noProof/>
            </w:rPr>
            <w:t>(Open Contracting Partnership, 2017)</w:t>
          </w:r>
          <w:r w:rsidR="00080769" w:rsidRPr="002815F4">
            <w:rPr>
              <w:rFonts w:ascii="Calibri" w:hAnsi="Calibri" w:cs="Arial"/>
              <w:iCs/>
            </w:rPr>
            <w:fldChar w:fldCharType="end"/>
          </w:r>
        </w:sdtContent>
      </w:sdt>
      <w:r w:rsidR="00E05634" w:rsidRPr="002815F4">
        <w:rPr>
          <w:rFonts w:ascii="Calibri" w:hAnsi="Calibri" w:cs="Arial"/>
          <w:iCs/>
        </w:rPr>
        <w:t xml:space="preserve">. </w:t>
      </w:r>
    </w:p>
    <w:p w14:paraId="2104F792" w14:textId="751AB659" w:rsidR="008C26AE" w:rsidRPr="002815F4" w:rsidRDefault="005116A0" w:rsidP="004C3665">
      <w:pPr>
        <w:spacing w:before="120"/>
        <w:rPr>
          <w:rFonts w:ascii="Calibri" w:hAnsi="Calibri" w:cs="Arial"/>
          <w:iCs/>
        </w:rPr>
      </w:pPr>
      <w:r w:rsidRPr="002815F4">
        <w:rPr>
          <w:rFonts w:ascii="Calibri" w:hAnsi="Calibri" w:cs="Arial"/>
          <w:iCs/>
        </w:rPr>
        <w:t xml:space="preserve">There is ample evidence of civil society using the EITI process to promote public debate, including through its active participation in regional roadshows </w:t>
      </w:r>
      <w:r w:rsidR="00E05634" w:rsidRPr="002815F4">
        <w:rPr>
          <w:rFonts w:ascii="Calibri" w:hAnsi="Calibri" w:cs="Arial"/>
          <w:iCs/>
        </w:rPr>
        <w:t xml:space="preserve">in Kedougou, Thiès and Rufisque </w:t>
      </w:r>
      <w:sdt>
        <w:sdtPr>
          <w:rPr>
            <w:rFonts w:ascii="Calibri" w:hAnsi="Calibri" w:cs="Arial"/>
            <w:iCs/>
          </w:rPr>
          <w:id w:val="532546381"/>
          <w:citation/>
        </w:sdtPr>
        <w:sdtEndPr/>
        <w:sdtContent>
          <w:r w:rsidR="00E05634" w:rsidRPr="002815F4">
            <w:rPr>
              <w:rFonts w:ascii="Calibri" w:hAnsi="Calibri" w:cs="Arial"/>
              <w:iCs/>
            </w:rPr>
            <w:fldChar w:fldCharType="begin"/>
          </w:r>
          <w:r w:rsidR="00E05634" w:rsidRPr="002815F4">
            <w:rPr>
              <w:rFonts w:ascii="Calibri" w:hAnsi="Calibri" w:cs="Arial"/>
              <w:iCs/>
            </w:rPr>
            <w:instrText xml:space="preserve"> CITATION PWY151 \l 1033 </w:instrText>
          </w:r>
          <w:r w:rsidR="00E05634" w:rsidRPr="002815F4">
            <w:rPr>
              <w:rFonts w:ascii="Calibri" w:hAnsi="Calibri" w:cs="Arial"/>
              <w:iCs/>
            </w:rPr>
            <w:fldChar w:fldCharType="separate"/>
          </w:r>
          <w:r w:rsidR="003E626E" w:rsidRPr="002815F4">
            <w:rPr>
              <w:rFonts w:ascii="Calibri" w:hAnsi="Calibri" w:cs="Arial"/>
              <w:noProof/>
            </w:rPr>
            <w:t>(PWYP Senegal, 2015)</w:t>
          </w:r>
          <w:r w:rsidR="00E05634" w:rsidRPr="002815F4">
            <w:rPr>
              <w:rFonts w:ascii="Calibri" w:hAnsi="Calibri" w:cs="Arial"/>
              <w:iCs/>
            </w:rPr>
            <w:fldChar w:fldCharType="end"/>
          </w:r>
        </w:sdtContent>
      </w:sdt>
      <w:sdt>
        <w:sdtPr>
          <w:rPr>
            <w:rFonts w:ascii="Calibri" w:hAnsi="Calibri" w:cs="Arial"/>
            <w:iCs/>
          </w:rPr>
          <w:id w:val="-2005186738"/>
          <w:citation/>
        </w:sdtPr>
        <w:sdtEndPr/>
        <w:sdtContent>
          <w:r w:rsidR="00E05634" w:rsidRPr="002815F4">
            <w:rPr>
              <w:rFonts w:ascii="Calibri" w:hAnsi="Calibri" w:cs="Arial"/>
              <w:iCs/>
            </w:rPr>
            <w:fldChar w:fldCharType="begin"/>
          </w:r>
          <w:r w:rsidR="00E05634" w:rsidRPr="002815F4">
            <w:rPr>
              <w:rFonts w:ascii="Calibri" w:hAnsi="Calibri" w:cs="Arial"/>
              <w:iCs/>
            </w:rPr>
            <w:instrText xml:space="preserve"> CITATION PWY16 \l 1033 </w:instrText>
          </w:r>
          <w:r w:rsidR="00E05634" w:rsidRPr="002815F4">
            <w:rPr>
              <w:rFonts w:ascii="Calibri" w:hAnsi="Calibri" w:cs="Arial"/>
              <w:iCs/>
            </w:rPr>
            <w:fldChar w:fldCharType="separate"/>
          </w:r>
          <w:r w:rsidR="003E626E" w:rsidRPr="002815F4">
            <w:rPr>
              <w:rFonts w:ascii="Calibri" w:hAnsi="Calibri" w:cs="Arial"/>
              <w:iCs/>
              <w:noProof/>
            </w:rPr>
            <w:t xml:space="preserve"> </w:t>
          </w:r>
          <w:r w:rsidR="003E626E" w:rsidRPr="002815F4">
            <w:rPr>
              <w:rFonts w:ascii="Calibri" w:hAnsi="Calibri" w:cs="Arial"/>
              <w:noProof/>
            </w:rPr>
            <w:t>(PWYP Senegal, 2016)</w:t>
          </w:r>
          <w:r w:rsidR="00E05634" w:rsidRPr="002815F4">
            <w:rPr>
              <w:rFonts w:ascii="Calibri" w:hAnsi="Calibri" w:cs="Arial"/>
              <w:iCs/>
            </w:rPr>
            <w:fldChar w:fldCharType="end"/>
          </w:r>
        </w:sdtContent>
      </w:sdt>
      <w:sdt>
        <w:sdtPr>
          <w:rPr>
            <w:rFonts w:ascii="Calibri" w:hAnsi="Calibri" w:cs="Arial"/>
            <w:iCs/>
          </w:rPr>
          <w:id w:val="-2113507823"/>
          <w:citation/>
        </w:sdtPr>
        <w:sdtEndPr/>
        <w:sdtContent>
          <w:r w:rsidR="00E05634" w:rsidRPr="002815F4">
            <w:rPr>
              <w:rFonts w:ascii="Calibri" w:hAnsi="Calibri" w:cs="Arial"/>
              <w:iCs/>
            </w:rPr>
            <w:fldChar w:fldCharType="begin"/>
          </w:r>
          <w:r w:rsidR="00E05634" w:rsidRPr="002815F4">
            <w:rPr>
              <w:rFonts w:ascii="Calibri" w:hAnsi="Calibri" w:cs="Arial"/>
              <w:iCs/>
            </w:rPr>
            <w:instrText xml:space="preserve"> CITATION ITI1542 \l 1033 </w:instrText>
          </w:r>
          <w:r w:rsidR="00E05634" w:rsidRPr="002815F4">
            <w:rPr>
              <w:rFonts w:ascii="Calibri" w:hAnsi="Calibri" w:cs="Arial"/>
              <w:iCs/>
            </w:rPr>
            <w:fldChar w:fldCharType="separate"/>
          </w:r>
          <w:r w:rsidR="003E626E" w:rsidRPr="002815F4">
            <w:rPr>
              <w:rFonts w:ascii="Calibri" w:hAnsi="Calibri" w:cs="Arial"/>
              <w:iCs/>
              <w:noProof/>
            </w:rPr>
            <w:t xml:space="preserve"> </w:t>
          </w:r>
          <w:r w:rsidR="003E626E" w:rsidRPr="002815F4">
            <w:rPr>
              <w:rFonts w:ascii="Calibri" w:hAnsi="Calibri" w:cs="Arial"/>
              <w:noProof/>
            </w:rPr>
            <w:t>(ITIE Senegal, 2015)</w:t>
          </w:r>
          <w:r w:rsidR="00E05634" w:rsidRPr="002815F4">
            <w:rPr>
              <w:rFonts w:ascii="Calibri" w:hAnsi="Calibri" w:cs="Arial"/>
              <w:iCs/>
            </w:rPr>
            <w:fldChar w:fldCharType="end"/>
          </w:r>
        </w:sdtContent>
      </w:sdt>
      <w:sdt>
        <w:sdtPr>
          <w:rPr>
            <w:rFonts w:ascii="Calibri" w:hAnsi="Calibri" w:cs="Arial"/>
            <w:iCs/>
          </w:rPr>
          <w:id w:val="-1417480674"/>
          <w:citation/>
        </w:sdtPr>
        <w:sdtEndPr/>
        <w:sdtContent>
          <w:r w:rsidR="00E05634" w:rsidRPr="002815F4">
            <w:rPr>
              <w:rFonts w:ascii="Calibri" w:hAnsi="Calibri" w:cs="Arial"/>
              <w:iCs/>
            </w:rPr>
            <w:fldChar w:fldCharType="begin"/>
          </w:r>
          <w:r w:rsidR="00E05634" w:rsidRPr="002815F4">
            <w:rPr>
              <w:rFonts w:ascii="Calibri" w:hAnsi="Calibri" w:cs="Arial"/>
              <w:iCs/>
            </w:rPr>
            <w:instrText xml:space="preserve"> CITATION ITI1531 \l 1033 </w:instrText>
          </w:r>
          <w:r w:rsidR="00E05634" w:rsidRPr="002815F4">
            <w:rPr>
              <w:rFonts w:ascii="Calibri" w:hAnsi="Calibri" w:cs="Arial"/>
              <w:iCs/>
            </w:rPr>
            <w:fldChar w:fldCharType="separate"/>
          </w:r>
          <w:r w:rsidR="003E626E" w:rsidRPr="002815F4">
            <w:rPr>
              <w:rFonts w:ascii="Calibri" w:hAnsi="Calibri" w:cs="Arial"/>
              <w:iCs/>
              <w:noProof/>
            </w:rPr>
            <w:t xml:space="preserve"> </w:t>
          </w:r>
          <w:r w:rsidR="003E626E" w:rsidRPr="002815F4">
            <w:rPr>
              <w:rFonts w:ascii="Calibri" w:hAnsi="Calibri" w:cs="Arial"/>
              <w:noProof/>
            </w:rPr>
            <w:t>(ITIE Senegal, 2015)</w:t>
          </w:r>
          <w:r w:rsidR="00E05634" w:rsidRPr="002815F4">
            <w:rPr>
              <w:rFonts w:ascii="Calibri" w:hAnsi="Calibri" w:cs="Arial"/>
              <w:iCs/>
            </w:rPr>
            <w:fldChar w:fldCharType="end"/>
          </w:r>
        </w:sdtContent>
      </w:sdt>
      <w:sdt>
        <w:sdtPr>
          <w:rPr>
            <w:rFonts w:ascii="Calibri" w:hAnsi="Calibri" w:cs="Arial"/>
            <w:iCs/>
          </w:rPr>
          <w:id w:val="1686011875"/>
          <w:citation/>
        </w:sdtPr>
        <w:sdtEndPr/>
        <w:sdtContent>
          <w:r w:rsidR="00E05634" w:rsidRPr="002815F4">
            <w:rPr>
              <w:rFonts w:ascii="Calibri" w:hAnsi="Calibri" w:cs="Arial"/>
              <w:iCs/>
            </w:rPr>
            <w:fldChar w:fldCharType="begin"/>
          </w:r>
          <w:r w:rsidR="00E05634" w:rsidRPr="002815F4">
            <w:rPr>
              <w:rFonts w:ascii="Calibri" w:hAnsi="Calibri" w:cs="Arial"/>
              <w:iCs/>
            </w:rPr>
            <w:instrText xml:space="preserve"> CITATION ITI1532 \l 1033 </w:instrText>
          </w:r>
          <w:r w:rsidR="00E05634" w:rsidRPr="002815F4">
            <w:rPr>
              <w:rFonts w:ascii="Calibri" w:hAnsi="Calibri" w:cs="Arial"/>
              <w:iCs/>
            </w:rPr>
            <w:fldChar w:fldCharType="separate"/>
          </w:r>
          <w:r w:rsidR="003E626E" w:rsidRPr="002815F4">
            <w:rPr>
              <w:rFonts w:ascii="Calibri" w:hAnsi="Calibri" w:cs="Arial"/>
              <w:iCs/>
              <w:noProof/>
            </w:rPr>
            <w:t xml:space="preserve"> </w:t>
          </w:r>
          <w:r w:rsidR="003E626E" w:rsidRPr="002815F4">
            <w:rPr>
              <w:rFonts w:ascii="Calibri" w:hAnsi="Calibri" w:cs="Arial"/>
              <w:noProof/>
            </w:rPr>
            <w:t>(ITIE Senegal, 2015)</w:t>
          </w:r>
          <w:r w:rsidR="00E05634" w:rsidRPr="002815F4">
            <w:rPr>
              <w:rFonts w:ascii="Calibri" w:hAnsi="Calibri" w:cs="Arial"/>
              <w:iCs/>
            </w:rPr>
            <w:fldChar w:fldCharType="end"/>
          </w:r>
        </w:sdtContent>
      </w:sdt>
      <w:sdt>
        <w:sdtPr>
          <w:rPr>
            <w:rFonts w:ascii="Calibri" w:hAnsi="Calibri" w:cs="Arial"/>
            <w:iCs/>
          </w:rPr>
          <w:id w:val="-159778857"/>
          <w:citation/>
        </w:sdtPr>
        <w:sdtEndPr/>
        <w:sdtContent>
          <w:r w:rsidR="00E05634" w:rsidRPr="002815F4">
            <w:rPr>
              <w:rFonts w:ascii="Calibri" w:hAnsi="Calibri" w:cs="Arial"/>
              <w:iCs/>
            </w:rPr>
            <w:fldChar w:fldCharType="begin"/>
          </w:r>
          <w:r w:rsidR="00E05634" w:rsidRPr="002815F4">
            <w:rPr>
              <w:rFonts w:ascii="Calibri" w:hAnsi="Calibri" w:cs="Arial"/>
              <w:iCs/>
            </w:rPr>
            <w:instrText xml:space="preserve"> CITATION ITI1629 \l 1033 </w:instrText>
          </w:r>
          <w:r w:rsidR="00E05634" w:rsidRPr="002815F4">
            <w:rPr>
              <w:rFonts w:ascii="Calibri" w:hAnsi="Calibri" w:cs="Arial"/>
              <w:iCs/>
            </w:rPr>
            <w:fldChar w:fldCharType="separate"/>
          </w:r>
          <w:r w:rsidR="003E626E" w:rsidRPr="002815F4">
            <w:rPr>
              <w:rFonts w:ascii="Calibri" w:hAnsi="Calibri" w:cs="Arial"/>
              <w:iCs/>
              <w:noProof/>
            </w:rPr>
            <w:t xml:space="preserve"> </w:t>
          </w:r>
          <w:r w:rsidR="003E626E" w:rsidRPr="002815F4">
            <w:rPr>
              <w:rFonts w:ascii="Calibri" w:hAnsi="Calibri" w:cs="Arial"/>
              <w:noProof/>
            </w:rPr>
            <w:t>(ITIE Senegal, 2016)</w:t>
          </w:r>
          <w:r w:rsidR="00E05634" w:rsidRPr="002815F4">
            <w:rPr>
              <w:rFonts w:ascii="Calibri" w:hAnsi="Calibri" w:cs="Arial"/>
              <w:iCs/>
            </w:rPr>
            <w:fldChar w:fldCharType="end"/>
          </w:r>
        </w:sdtContent>
      </w:sdt>
      <w:r w:rsidR="00E05634" w:rsidRPr="002815F4">
        <w:rPr>
          <w:rFonts w:ascii="Calibri" w:hAnsi="Calibri" w:cs="Arial"/>
          <w:iCs/>
        </w:rPr>
        <w:t xml:space="preserve">. It also been a key stakeholder in all key MSG decisions. </w:t>
      </w:r>
      <w:r w:rsidR="00E05634" w:rsidRPr="002815F4">
        <w:rPr>
          <w:rFonts w:ascii="Calibri" w:hAnsi="Calibri"/>
        </w:rPr>
        <w:t xml:space="preserve">In addition to regular consultations with the full MSG, the IA has consistently held bilateral consultations with civil society on materiality and quality assurance procedures for EITI reporting, for instance in May 2016 for the 2014 EITI Report </w:t>
      </w:r>
      <w:sdt>
        <w:sdtPr>
          <w:rPr>
            <w:rFonts w:ascii="Calibri" w:hAnsi="Calibri"/>
          </w:rPr>
          <w:id w:val="-676663691"/>
          <w:citation/>
        </w:sdtPr>
        <w:sdtEndPr/>
        <w:sdtContent>
          <w:r w:rsidR="00E05634" w:rsidRPr="002815F4">
            <w:rPr>
              <w:rFonts w:ascii="Calibri" w:hAnsi="Calibri"/>
            </w:rPr>
            <w:fldChar w:fldCharType="begin"/>
          </w:r>
          <w:r w:rsidR="00E05634" w:rsidRPr="002815F4">
            <w:rPr>
              <w:rFonts w:ascii="Calibri" w:hAnsi="Calibri"/>
            </w:rPr>
            <w:instrText xml:space="preserve"> CITATION ITI1640 \l 1033 </w:instrText>
          </w:r>
          <w:r w:rsidR="00E05634" w:rsidRPr="002815F4">
            <w:rPr>
              <w:rFonts w:ascii="Calibri" w:hAnsi="Calibri"/>
            </w:rPr>
            <w:fldChar w:fldCharType="separate"/>
          </w:r>
          <w:r w:rsidR="003E626E" w:rsidRPr="002815F4">
            <w:rPr>
              <w:rFonts w:ascii="Calibri" w:hAnsi="Calibri"/>
              <w:noProof/>
            </w:rPr>
            <w:t>(ITIE Senegal, 2016)</w:t>
          </w:r>
          <w:r w:rsidR="00E05634" w:rsidRPr="002815F4">
            <w:rPr>
              <w:rFonts w:ascii="Calibri" w:hAnsi="Calibri"/>
            </w:rPr>
            <w:fldChar w:fldCharType="end"/>
          </w:r>
        </w:sdtContent>
      </w:sdt>
      <w:r w:rsidR="00E05634" w:rsidRPr="002815F4">
        <w:rPr>
          <w:rFonts w:ascii="Calibri" w:hAnsi="Calibri"/>
        </w:rPr>
        <w:t xml:space="preserve">. </w:t>
      </w:r>
      <w:r w:rsidRPr="002815F4">
        <w:rPr>
          <w:rFonts w:ascii="Calibri" w:hAnsi="Calibri" w:cs="Arial"/>
          <w:iCs/>
        </w:rPr>
        <w:t xml:space="preserve">The CSO Coalition has also lobbied National Assembly members on EITI-related issues, such as the transparency provisions of the November 2016 Mining Code </w:t>
      </w:r>
      <w:r w:rsidR="00E05634" w:rsidRPr="002815F4">
        <w:rPr>
          <w:rFonts w:ascii="Calibri" w:hAnsi="Calibri" w:cs="Arial"/>
          <w:iCs/>
        </w:rPr>
        <w:t xml:space="preserve">and implementing regulations </w:t>
      </w:r>
      <w:sdt>
        <w:sdtPr>
          <w:rPr>
            <w:rFonts w:ascii="Calibri" w:hAnsi="Calibri"/>
          </w:rPr>
          <w:id w:val="-1019002281"/>
          <w:citation/>
        </w:sdtPr>
        <w:sdtEndPr/>
        <w:sdtContent>
          <w:r w:rsidR="00E05634" w:rsidRPr="002815F4">
            <w:rPr>
              <w:rFonts w:ascii="Calibri" w:hAnsi="Calibri"/>
            </w:rPr>
            <w:fldChar w:fldCharType="begin"/>
          </w:r>
          <w:r w:rsidR="00E05634" w:rsidRPr="002815F4">
            <w:rPr>
              <w:rFonts w:ascii="Calibri" w:hAnsi="Calibri"/>
            </w:rPr>
            <w:instrText xml:space="preserve"> CITATION ITI176 \l 1033 </w:instrText>
          </w:r>
          <w:r w:rsidR="00E05634" w:rsidRPr="002815F4">
            <w:rPr>
              <w:rFonts w:ascii="Calibri" w:hAnsi="Calibri"/>
            </w:rPr>
            <w:fldChar w:fldCharType="separate"/>
          </w:r>
          <w:r w:rsidR="003E626E" w:rsidRPr="002815F4">
            <w:rPr>
              <w:rFonts w:ascii="Calibri" w:hAnsi="Calibri"/>
              <w:noProof/>
            </w:rPr>
            <w:t>(ITIE Senegal, 2017)</w:t>
          </w:r>
          <w:r w:rsidR="00E05634" w:rsidRPr="002815F4">
            <w:rPr>
              <w:rFonts w:ascii="Calibri" w:hAnsi="Calibri"/>
            </w:rPr>
            <w:fldChar w:fldCharType="end"/>
          </w:r>
        </w:sdtContent>
      </w:sdt>
      <w:r w:rsidR="00E05634" w:rsidRPr="002815F4">
        <w:rPr>
          <w:rFonts w:ascii="Calibri" w:hAnsi="Calibri"/>
        </w:rPr>
        <w:t xml:space="preserve"> </w:t>
      </w:r>
      <w:sdt>
        <w:sdtPr>
          <w:rPr>
            <w:rFonts w:ascii="Calibri" w:hAnsi="Calibri"/>
          </w:rPr>
          <w:id w:val="160051229"/>
          <w:citation/>
        </w:sdtPr>
        <w:sdtEndPr/>
        <w:sdtContent>
          <w:r w:rsidR="00E05634" w:rsidRPr="002815F4">
            <w:rPr>
              <w:rFonts w:ascii="Calibri" w:hAnsi="Calibri"/>
            </w:rPr>
            <w:fldChar w:fldCharType="begin"/>
          </w:r>
          <w:r w:rsidR="00E05634" w:rsidRPr="002815F4">
            <w:rPr>
              <w:rFonts w:ascii="Calibri" w:hAnsi="Calibri"/>
            </w:rPr>
            <w:instrText xml:space="preserve"> CITATION Min17 \l 1033 </w:instrText>
          </w:r>
          <w:r w:rsidR="00E05634" w:rsidRPr="002815F4">
            <w:rPr>
              <w:rFonts w:ascii="Calibri" w:hAnsi="Calibri"/>
            </w:rPr>
            <w:fldChar w:fldCharType="separate"/>
          </w:r>
          <w:r w:rsidR="003E626E" w:rsidRPr="002815F4">
            <w:rPr>
              <w:rFonts w:ascii="Calibri" w:hAnsi="Calibri"/>
              <w:noProof/>
            </w:rPr>
            <w:t>(Ministère de l'Industrie et des Mines, 2017)</w:t>
          </w:r>
          <w:r w:rsidR="00E05634" w:rsidRPr="002815F4">
            <w:rPr>
              <w:rFonts w:ascii="Calibri" w:hAnsi="Calibri"/>
            </w:rPr>
            <w:fldChar w:fldCharType="end"/>
          </w:r>
        </w:sdtContent>
      </w:sdt>
      <w:r w:rsidR="00E05634" w:rsidRPr="002815F4">
        <w:rPr>
          <w:rFonts w:ascii="Calibri" w:hAnsi="Calibri"/>
        </w:rPr>
        <w:t xml:space="preserve">. </w:t>
      </w:r>
      <w:r w:rsidR="00AF1B00" w:rsidRPr="002815F4">
        <w:rPr>
          <w:rFonts w:ascii="Calibri" w:hAnsi="Calibri"/>
        </w:rPr>
        <w:t xml:space="preserve">There is also evidence of the government responding to popular pressure and civil society advocacy, for instance in its publishing of mining, oil and gas contracts in October 2016 to calm heated public debate on the terms of an agreement between Timis Corp. and Petrosen </w:t>
      </w:r>
      <w:sdt>
        <w:sdtPr>
          <w:rPr>
            <w:rFonts w:ascii="Calibri" w:hAnsi="Calibri"/>
          </w:rPr>
          <w:id w:val="1278218608"/>
          <w:citation/>
        </w:sdtPr>
        <w:sdtEndPr/>
        <w:sdtContent>
          <w:r w:rsidR="00AF1B00" w:rsidRPr="002815F4">
            <w:rPr>
              <w:rFonts w:ascii="Calibri" w:hAnsi="Calibri"/>
            </w:rPr>
            <w:fldChar w:fldCharType="begin"/>
          </w:r>
          <w:r w:rsidR="00AF1B00" w:rsidRPr="002815F4">
            <w:rPr>
              <w:rFonts w:ascii="Calibri" w:hAnsi="Calibri"/>
            </w:rPr>
            <w:instrText xml:space="preserve"> CITATION Le316 \l 1033 </w:instrText>
          </w:r>
          <w:r w:rsidR="00AF1B00" w:rsidRPr="002815F4">
            <w:rPr>
              <w:rFonts w:ascii="Calibri" w:hAnsi="Calibri"/>
            </w:rPr>
            <w:fldChar w:fldCharType="separate"/>
          </w:r>
          <w:r w:rsidR="003E626E" w:rsidRPr="002815F4">
            <w:rPr>
              <w:rFonts w:ascii="Calibri" w:hAnsi="Calibri"/>
              <w:noProof/>
            </w:rPr>
            <w:t>(Le 360 Afrique, 2016)</w:t>
          </w:r>
          <w:r w:rsidR="00AF1B00" w:rsidRPr="002815F4">
            <w:rPr>
              <w:rFonts w:ascii="Calibri" w:hAnsi="Calibri"/>
            </w:rPr>
            <w:fldChar w:fldCharType="end"/>
          </w:r>
        </w:sdtContent>
      </w:sdt>
      <w:r w:rsidR="00AF1B00" w:rsidRPr="002815F4">
        <w:rPr>
          <w:rFonts w:ascii="Calibri" w:hAnsi="Calibri"/>
        </w:rPr>
        <w:t xml:space="preserve">. </w:t>
      </w:r>
      <w:r w:rsidR="008C26AE" w:rsidRPr="002815F4">
        <w:rPr>
          <w:rFonts w:ascii="Calibri" w:hAnsi="Calibri" w:cs="Arial"/>
          <w:iCs/>
        </w:rPr>
        <w:t xml:space="preserve">At the level of EITI, extensive consultations with civil society appear the norm, including meetings by secretariat staff and MSG members with CSOs not members of the MSG, most recently on 29 June 2017 </w:t>
      </w:r>
      <w:sdt>
        <w:sdtPr>
          <w:rPr>
            <w:rFonts w:ascii="Calibri" w:hAnsi="Calibri" w:cs="Arial"/>
            <w:iCs/>
          </w:rPr>
          <w:id w:val="-854188319"/>
          <w:citation/>
        </w:sdtPr>
        <w:sdtEndPr/>
        <w:sdtContent>
          <w:r w:rsidR="008C26AE" w:rsidRPr="002815F4">
            <w:rPr>
              <w:rFonts w:ascii="Calibri" w:hAnsi="Calibri" w:cs="Arial"/>
              <w:iCs/>
            </w:rPr>
            <w:fldChar w:fldCharType="begin"/>
          </w:r>
          <w:r w:rsidR="008C26AE" w:rsidRPr="002815F4">
            <w:rPr>
              <w:rFonts w:ascii="Calibri" w:hAnsi="Calibri" w:cs="Arial"/>
              <w:iCs/>
            </w:rPr>
            <w:instrText xml:space="preserve"> CITATION ITI1729 \l 1033 </w:instrText>
          </w:r>
          <w:r w:rsidR="008C26AE" w:rsidRPr="002815F4">
            <w:rPr>
              <w:rFonts w:ascii="Calibri" w:hAnsi="Calibri" w:cs="Arial"/>
              <w:iCs/>
            </w:rPr>
            <w:fldChar w:fldCharType="separate"/>
          </w:r>
          <w:r w:rsidR="008C26AE" w:rsidRPr="002815F4">
            <w:rPr>
              <w:rFonts w:ascii="Calibri" w:hAnsi="Calibri" w:cs="Arial"/>
              <w:noProof/>
            </w:rPr>
            <w:t>(ITIE Senegal, 2017)</w:t>
          </w:r>
          <w:r w:rsidR="008C26AE" w:rsidRPr="002815F4">
            <w:rPr>
              <w:rFonts w:ascii="Calibri" w:hAnsi="Calibri" w:cs="Arial"/>
              <w:iCs/>
            </w:rPr>
            <w:fldChar w:fldCharType="end"/>
          </w:r>
        </w:sdtContent>
      </w:sdt>
      <w:r w:rsidR="008C26AE" w:rsidRPr="002815F4">
        <w:rPr>
          <w:rFonts w:ascii="Calibri" w:hAnsi="Calibri" w:cs="Arial"/>
          <w:iCs/>
        </w:rPr>
        <w:t xml:space="preserve">. </w:t>
      </w:r>
    </w:p>
    <w:p w14:paraId="51F65AF4" w14:textId="57C27368" w:rsidR="003969A9" w:rsidRPr="002815F4" w:rsidRDefault="002929E0" w:rsidP="009B3E66">
      <w:pPr>
        <w:pStyle w:val="Heading3"/>
      </w:pPr>
      <w:r w:rsidRPr="002815F4">
        <w:t>Stakeholder views</w:t>
      </w:r>
    </w:p>
    <w:p w14:paraId="1FEBE0DF" w14:textId="1F354C0B" w:rsidR="00AB3893" w:rsidRPr="002815F4" w:rsidRDefault="00586AEB" w:rsidP="00AB3893">
      <w:r w:rsidRPr="002815F4">
        <w:rPr>
          <w:i/>
          <w:u w:val="single"/>
        </w:rPr>
        <w:t>Expression:</w:t>
      </w:r>
      <w:r w:rsidRPr="002815F4">
        <w:t xml:space="preserve"> </w:t>
      </w:r>
      <w:r w:rsidR="00AB3893" w:rsidRPr="002815F4">
        <w:t>All stakeholders highlighted that freedom of expression and freedom of assembly were guaranteed by Senegal’s constitution</w:t>
      </w:r>
      <w:r w:rsidR="00C93DC5" w:rsidRPr="002815F4">
        <w:t xml:space="preserve"> and that these were respected in practice</w:t>
      </w:r>
      <w:r w:rsidR="00AB3893" w:rsidRPr="002815F4">
        <w:t xml:space="preserve">. There </w:t>
      </w:r>
      <w:r w:rsidR="00C93DC5" w:rsidRPr="002815F4">
        <w:t>wa</w:t>
      </w:r>
      <w:r w:rsidR="00AB3893" w:rsidRPr="002815F4">
        <w:t xml:space="preserve">s consensus that civil society </w:t>
      </w:r>
      <w:r w:rsidR="00C93DC5" w:rsidRPr="002815F4">
        <w:t>wa</w:t>
      </w:r>
      <w:r w:rsidR="00AB3893" w:rsidRPr="002815F4">
        <w:t xml:space="preserve">s able to engage </w:t>
      </w:r>
      <w:r w:rsidR="00C93DC5" w:rsidRPr="002815F4">
        <w:t xml:space="preserve">freely </w:t>
      </w:r>
      <w:r w:rsidR="00AB3893" w:rsidRPr="002815F4">
        <w:t xml:space="preserve">in public debate related to the EITI and express opinions </w:t>
      </w:r>
      <w:r w:rsidR="002815F4" w:rsidRPr="002815F4">
        <w:t>without</w:t>
      </w:r>
      <w:r w:rsidR="00AB3893" w:rsidRPr="002815F4">
        <w:t xml:space="preserve"> restraint, coercion or reprisal. </w:t>
      </w:r>
      <w:r w:rsidR="001524D9" w:rsidRPr="002815F4">
        <w:t xml:space="preserve">Several CSO representatives highlighted public statements they had made in national press and radio that had been </w:t>
      </w:r>
      <w:r w:rsidR="002815F4" w:rsidRPr="002815F4">
        <w:t>critical</w:t>
      </w:r>
      <w:r w:rsidR="001524D9" w:rsidRPr="002815F4">
        <w:t xml:space="preserve"> of the government on its handling of natural resource governance, including on the transfers of oil and gas licenses involving Timis Corp. and the lack of disbursements of statutory subnational transfers. </w:t>
      </w:r>
    </w:p>
    <w:p w14:paraId="25E7020C" w14:textId="70008E87" w:rsidR="00586AEB" w:rsidRPr="002815F4" w:rsidRDefault="00586AEB" w:rsidP="00586AEB">
      <w:r w:rsidRPr="002815F4">
        <w:rPr>
          <w:i/>
          <w:u w:val="single"/>
        </w:rPr>
        <w:t>Operation</w:t>
      </w:r>
      <w:r w:rsidRPr="002815F4">
        <w:t>:</w:t>
      </w:r>
      <w:r w:rsidR="0067255B" w:rsidRPr="002815F4">
        <w:t xml:space="preserve"> None of the CSOs consulted were aware of any legal, regulatory or administrative constraints in establishing a NGO or other type of non-profit. Stakeholders explained that the regime for creating NGOs was declarative, meaning that a NGO could start operating from the time it first notified the </w:t>
      </w:r>
      <w:r w:rsidR="0067255B" w:rsidRPr="002815F4">
        <w:lastRenderedPageBreak/>
        <w:t xml:space="preserve">government of its creation. </w:t>
      </w:r>
      <w:r w:rsidR="00DE2F9C">
        <w:t>CSOs consulted</w:t>
      </w:r>
      <w:r w:rsidR="0067255B" w:rsidRPr="002815F4">
        <w:t xml:space="preserve"> gave several examples of projects funded by donors including the Ford Foundation, OSIWA, Oxfam, the British Embassy and the World Bank. </w:t>
      </w:r>
    </w:p>
    <w:p w14:paraId="4081D479" w14:textId="30E2679E" w:rsidR="00586AEB" w:rsidRPr="002815F4" w:rsidRDefault="00586AEB" w:rsidP="00586AEB">
      <w:r w:rsidRPr="002815F4">
        <w:rPr>
          <w:i/>
          <w:u w:val="single"/>
        </w:rPr>
        <w:t>Association</w:t>
      </w:r>
      <w:r w:rsidRPr="002815F4">
        <w:t xml:space="preserve">: </w:t>
      </w:r>
      <w:r w:rsidR="00AB3893" w:rsidRPr="002815F4">
        <w:t xml:space="preserve">Civil society members indicated that they carefully select at the MSG in order to have a balance in terms of expertise and regional origin. The civil society nomination process is coordinated by PWYP. </w:t>
      </w:r>
      <w:r w:rsidR="001840CC" w:rsidRPr="002815F4">
        <w:t>Civil society</w:t>
      </w:r>
      <w:r w:rsidR="00AB3893" w:rsidRPr="002815F4">
        <w:t xml:space="preserve"> representatives </w:t>
      </w:r>
      <w:r w:rsidR="001840CC" w:rsidRPr="002815F4">
        <w:t xml:space="preserve">noted that PWYP is in the process of approving a code of </w:t>
      </w:r>
      <w:r w:rsidR="00EC5494" w:rsidRPr="002815F4">
        <w:t>conduct, which would also clarify the nominations process</w:t>
      </w:r>
      <w:r w:rsidR="001840CC" w:rsidRPr="002815F4">
        <w:t xml:space="preserve">. Non-PWYP members </w:t>
      </w:r>
      <w:r w:rsidR="00B05B3E" w:rsidRPr="002815F4">
        <w:t>can</w:t>
      </w:r>
      <w:r w:rsidR="001840CC" w:rsidRPr="002815F4">
        <w:t xml:space="preserve"> participate in the nominations process and seat on the MSG.</w:t>
      </w:r>
      <w:r w:rsidR="00EC5494" w:rsidRPr="002815F4">
        <w:t xml:space="preserve"> </w:t>
      </w:r>
      <w:r w:rsidRPr="002815F4">
        <w:t>Civil society representatives noted that they had a range of skills within the group and that they benefitted from training</w:t>
      </w:r>
      <w:r w:rsidR="003E1B2D">
        <w:t xml:space="preserve"> activities</w:t>
      </w:r>
      <w:r w:rsidRPr="002815F4">
        <w:t>. Civil society stakeholders were keen to highlight that they sought to perform their duties as MSG member responsibly and to be constructive. They felt confidant and secure in performing their role in the MSG. They did not feel any outside pressure and did not face any constraints in accessing outside funding.</w:t>
      </w:r>
    </w:p>
    <w:p w14:paraId="4EF80020" w14:textId="61D1FD37" w:rsidR="00586AEB" w:rsidRPr="002815F4" w:rsidRDefault="00586AEB" w:rsidP="00AB3893">
      <w:r w:rsidRPr="002815F4">
        <w:rPr>
          <w:i/>
          <w:u w:val="single"/>
        </w:rPr>
        <w:t>Engagement</w:t>
      </w:r>
      <w:r w:rsidRPr="002815F4">
        <w:t xml:space="preserve">: Stakeholders from all constituencies highlighted civil society’s important contribution in disseminating EITI Reports at the subnational level. They stressed that it was necessary to build the capacity of the press and CSOs to be able to make use of EITI data, analyse contracts and investigate information to support their advocacy work. All stakeholders agreed that relations with civil society had considerably improved since the start of EITI implementation, including at the subnational level. </w:t>
      </w:r>
    </w:p>
    <w:p w14:paraId="00340C1C" w14:textId="21D2CE5A" w:rsidR="001840CC" w:rsidRPr="002815F4" w:rsidRDefault="00586AEB" w:rsidP="00AB3893">
      <w:r w:rsidRPr="002815F4">
        <w:rPr>
          <w:i/>
          <w:u w:val="single"/>
        </w:rPr>
        <w:t>Access to decision-making</w:t>
      </w:r>
      <w:r w:rsidRPr="002815F4">
        <w:t>:</w:t>
      </w:r>
      <w:r w:rsidR="0067255B" w:rsidRPr="002815F4">
        <w:t xml:space="preserve"> Civil society representatives consulted </w:t>
      </w:r>
      <w:r w:rsidR="0099569A" w:rsidRPr="002815F4">
        <w:t xml:space="preserve">considered that they had access to use EITI data to influence public decision-making, with several highlighting CSOs’ input to the 2016 Mining Code as a </w:t>
      </w:r>
      <w:r w:rsidR="002815F4" w:rsidRPr="002815F4">
        <w:t>concrete</w:t>
      </w:r>
      <w:r w:rsidR="0099569A" w:rsidRPr="002815F4">
        <w:t xml:space="preserve"> example. </w:t>
      </w:r>
    </w:p>
    <w:p w14:paraId="6FF4E37A" w14:textId="7142DE1F" w:rsidR="007B124A" w:rsidRPr="002815F4" w:rsidRDefault="00FF74E9" w:rsidP="009B3E66">
      <w:pPr>
        <w:pStyle w:val="Heading3"/>
      </w:pPr>
      <w:r w:rsidRPr="002815F4">
        <w:t>Initial a</w:t>
      </w:r>
      <w:r w:rsidR="002929E0" w:rsidRPr="002815F4">
        <w:t>ssessmen</w:t>
      </w:r>
      <w:r w:rsidR="00CD42D1" w:rsidRPr="002815F4">
        <w:t xml:space="preserve">t </w:t>
      </w:r>
    </w:p>
    <w:p w14:paraId="2FD46621" w14:textId="4161604B" w:rsidR="00781029" w:rsidRPr="002815F4" w:rsidRDefault="00781029" w:rsidP="00BE011F">
      <w:pPr>
        <w:spacing w:before="120"/>
        <w:rPr>
          <w:rFonts w:ascii="Calibri" w:hAnsi="Calibri"/>
        </w:rPr>
      </w:pPr>
      <w:r w:rsidRPr="002815F4">
        <w:rPr>
          <w:rFonts w:ascii="Calibri" w:hAnsi="Calibri"/>
        </w:rPr>
        <w:t xml:space="preserve">The International Secretariat’s initial assessment is that </w:t>
      </w:r>
      <w:r w:rsidR="00303698" w:rsidRPr="002815F4">
        <w:rPr>
          <w:rFonts w:ascii="Calibri" w:hAnsi="Calibri"/>
          <w:bCs/>
        </w:rPr>
        <w:t>Senegal</w:t>
      </w:r>
      <w:r w:rsidR="00303698" w:rsidRPr="002815F4">
        <w:rPr>
          <w:rFonts w:ascii="Calibri" w:hAnsi="Calibri"/>
        </w:rPr>
        <w:t xml:space="preserve"> </w:t>
      </w:r>
      <w:r w:rsidRPr="002815F4">
        <w:rPr>
          <w:rFonts w:ascii="Calibri" w:hAnsi="Calibri"/>
        </w:rPr>
        <w:t xml:space="preserve">has made </w:t>
      </w:r>
      <w:r w:rsidR="00303698" w:rsidRPr="002815F4">
        <w:rPr>
          <w:rFonts w:ascii="Calibri" w:hAnsi="Calibri"/>
          <w:bCs/>
        </w:rPr>
        <w:t>satisfactory</w:t>
      </w:r>
      <w:r w:rsidR="00303698" w:rsidRPr="002815F4">
        <w:rPr>
          <w:rFonts w:ascii="Calibri" w:hAnsi="Calibri"/>
        </w:rPr>
        <w:t xml:space="preserve"> </w:t>
      </w:r>
      <w:r w:rsidRPr="002815F4">
        <w:rPr>
          <w:rFonts w:ascii="Calibri" w:hAnsi="Calibri"/>
        </w:rPr>
        <w:t xml:space="preserve">progress in meeting this </w:t>
      </w:r>
      <w:commentRangeStart w:id="102"/>
      <w:r w:rsidRPr="002815F4">
        <w:rPr>
          <w:rFonts w:ascii="Calibri" w:hAnsi="Calibri"/>
        </w:rPr>
        <w:t>requirement</w:t>
      </w:r>
      <w:commentRangeEnd w:id="102"/>
      <w:r w:rsidR="003C01E6">
        <w:rPr>
          <w:rStyle w:val="CommentReference"/>
          <w:szCs w:val="20"/>
        </w:rPr>
        <w:commentReference w:id="102"/>
      </w:r>
      <w:r w:rsidRPr="002815F4">
        <w:rPr>
          <w:rFonts w:ascii="Calibri" w:hAnsi="Calibri"/>
        </w:rPr>
        <w:t>.</w:t>
      </w:r>
      <w:r w:rsidR="00303698" w:rsidRPr="002815F4">
        <w:rPr>
          <w:rFonts w:ascii="Calibri" w:hAnsi="Calibri"/>
        </w:rPr>
        <w:t xml:space="preserve"> There are no suggestions of any legal, regulatory or practical barriers to civil society’s ability to engage in EITI-related public debate, to operate freely, to communicate and cooperate with each other, to fully, actively and effectively engage on EITI-related matters or in relation to the EITI process.  CSOs </w:t>
      </w:r>
      <w:r w:rsidR="00DE2F9C" w:rsidRPr="002815F4">
        <w:rPr>
          <w:rFonts w:ascii="Calibri" w:hAnsi="Calibri"/>
        </w:rPr>
        <w:t>can</w:t>
      </w:r>
      <w:r w:rsidR="00303698" w:rsidRPr="002815F4">
        <w:rPr>
          <w:rFonts w:ascii="Calibri" w:hAnsi="Calibri"/>
        </w:rPr>
        <w:t xml:space="preserve"> speak freely on transparency and natural resource governance issues</w:t>
      </w:r>
      <w:r w:rsidR="00DE2F9C">
        <w:rPr>
          <w:rFonts w:ascii="Calibri" w:hAnsi="Calibri"/>
        </w:rPr>
        <w:t>,</w:t>
      </w:r>
      <w:r w:rsidR="00303698" w:rsidRPr="002815F4">
        <w:rPr>
          <w:rFonts w:ascii="Calibri" w:hAnsi="Calibri"/>
        </w:rPr>
        <w:t xml:space="preserve"> as well as to ensure that the EITI contributes to public debate. In addition, civil society is fully, actively and effectively engaged in the design, implementation, monitoring and evaluation of the EITI process. Stakeholders are taking part in outreach and efforts to promote public debate, especially on regional level.</w:t>
      </w:r>
    </w:p>
    <w:p w14:paraId="0E3E6FF8" w14:textId="7C827A1C" w:rsidR="003969A9" w:rsidRPr="002815F4" w:rsidRDefault="00303698" w:rsidP="003969A9">
      <w:pPr>
        <w:spacing w:before="120"/>
        <w:rPr>
          <w:rFonts w:ascii="Calibri" w:hAnsi="Calibri"/>
          <w:bCs/>
        </w:rPr>
      </w:pPr>
      <w:r w:rsidRPr="002815F4">
        <w:rPr>
          <w:rFonts w:ascii="Calibri" w:hAnsi="Calibri"/>
          <w:bCs/>
        </w:rPr>
        <w:t xml:space="preserve">To strengthen implementation, the MSG may wish to </w:t>
      </w:r>
      <w:r w:rsidR="00407640" w:rsidRPr="002815F4">
        <w:rPr>
          <w:rFonts w:ascii="Calibri" w:hAnsi="Calibri"/>
          <w:bCs/>
        </w:rPr>
        <w:t>pursue its capacity building efforts targeting civil society and the press on the use of EITI data and other aspects such as contract analysis.</w:t>
      </w:r>
    </w:p>
    <w:p w14:paraId="406B5B26" w14:textId="627CA417" w:rsidR="002929E0" w:rsidRPr="002815F4" w:rsidRDefault="002929E0" w:rsidP="009B3E66">
      <w:pPr>
        <w:pStyle w:val="Heading2"/>
      </w:pPr>
      <w:bookmarkStart w:id="103" w:name="_Toc459133089"/>
      <w:bookmarkStart w:id="104" w:name="_Toc461803038"/>
      <w:bookmarkStart w:id="105" w:name="_Toc461787319"/>
      <w:bookmarkStart w:id="106" w:name="_Toc461795831"/>
      <w:bookmarkStart w:id="107" w:name="_Toc462149178"/>
      <w:r w:rsidRPr="002815F4">
        <w:t>MSG governance and functioning (#1.4)</w:t>
      </w:r>
      <w:bookmarkEnd w:id="103"/>
      <w:bookmarkEnd w:id="104"/>
      <w:bookmarkEnd w:id="105"/>
      <w:bookmarkEnd w:id="106"/>
      <w:bookmarkEnd w:id="107"/>
    </w:p>
    <w:p w14:paraId="7194849D" w14:textId="77777777" w:rsidR="00F90D13" w:rsidRPr="002815F4" w:rsidRDefault="002929E0" w:rsidP="009B3E66">
      <w:pPr>
        <w:pStyle w:val="Heading3"/>
      </w:pPr>
      <w:r w:rsidRPr="002815F4">
        <w:t>Documentation of progress</w:t>
      </w:r>
    </w:p>
    <w:p w14:paraId="10AE4AAF" w14:textId="224173AA" w:rsidR="00034884" w:rsidRPr="002815F4" w:rsidRDefault="004950FF" w:rsidP="00E956E1">
      <w:pPr>
        <w:rPr>
          <w:rFonts w:ascii="Calibri" w:hAnsi="Calibri"/>
          <w:bCs/>
        </w:rPr>
      </w:pPr>
      <w:r w:rsidRPr="002815F4">
        <w:rPr>
          <w:rFonts w:ascii="Calibri" w:hAnsi="Calibri"/>
          <w:i/>
          <w:u w:val="single"/>
        </w:rPr>
        <w:t xml:space="preserve">MSG </w:t>
      </w:r>
      <w:r w:rsidR="002929E0" w:rsidRPr="002815F4">
        <w:rPr>
          <w:rFonts w:ascii="Calibri" w:hAnsi="Calibri"/>
          <w:i/>
          <w:u w:val="single"/>
        </w:rPr>
        <w:t>composition and membership</w:t>
      </w:r>
      <w:r w:rsidR="002929E0" w:rsidRPr="002815F4">
        <w:rPr>
          <w:rFonts w:ascii="Calibri" w:hAnsi="Calibri"/>
          <w:i/>
        </w:rPr>
        <w:t xml:space="preserve">: </w:t>
      </w:r>
      <w:r w:rsidR="00753DAA" w:rsidRPr="002815F4">
        <w:rPr>
          <w:rFonts w:ascii="Calibri" w:hAnsi="Calibri"/>
        </w:rPr>
        <w:t xml:space="preserve">The EITI Senegal MSG was created by Prime Ministerial Decree 2013-881 of 20 June 2013 establishing the EITI </w:t>
      </w:r>
      <w:sdt>
        <w:sdtPr>
          <w:rPr>
            <w:rFonts w:ascii="Calibri" w:hAnsi="Calibri"/>
          </w:rPr>
          <w:id w:val="-734937528"/>
          <w:citation/>
        </w:sdtPr>
        <w:sdtEndPr/>
        <w:sdtContent>
          <w:r w:rsidR="00753DAA" w:rsidRPr="002815F4">
            <w:rPr>
              <w:rFonts w:ascii="Calibri" w:hAnsi="Calibri"/>
            </w:rPr>
            <w:fldChar w:fldCharType="begin"/>
          </w:r>
          <w:r w:rsidR="00753DAA" w:rsidRPr="002815F4">
            <w:rPr>
              <w:rFonts w:ascii="Calibri" w:hAnsi="Calibri"/>
            </w:rPr>
            <w:instrText xml:space="preserve"> CITATION Min13 \l 1033 </w:instrText>
          </w:r>
          <w:r w:rsidR="00753DAA" w:rsidRPr="002815F4">
            <w:rPr>
              <w:rFonts w:ascii="Calibri" w:hAnsi="Calibri"/>
            </w:rPr>
            <w:fldChar w:fldCharType="separate"/>
          </w:r>
          <w:r w:rsidR="003E626E" w:rsidRPr="002815F4">
            <w:rPr>
              <w:rFonts w:ascii="Calibri" w:hAnsi="Calibri"/>
              <w:noProof/>
            </w:rPr>
            <w:t>(Premier Ministre, 2013)</w:t>
          </w:r>
          <w:r w:rsidR="00753DAA" w:rsidRPr="002815F4">
            <w:rPr>
              <w:rFonts w:ascii="Calibri" w:hAnsi="Calibri"/>
            </w:rPr>
            <w:fldChar w:fldCharType="end"/>
          </w:r>
        </w:sdtContent>
      </w:sdt>
      <w:r w:rsidR="00F30731" w:rsidRPr="002815F4">
        <w:rPr>
          <w:rFonts w:ascii="Calibri" w:hAnsi="Calibri"/>
        </w:rPr>
        <w:t xml:space="preserve"> and held its first meeting on 3 July 2013 </w:t>
      </w:r>
      <w:sdt>
        <w:sdtPr>
          <w:rPr>
            <w:rFonts w:ascii="Calibri" w:hAnsi="Calibri"/>
          </w:rPr>
          <w:id w:val="-1774932017"/>
          <w:citation/>
        </w:sdtPr>
        <w:sdtEndPr/>
        <w:sdtContent>
          <w:r w:rsidR="00F30731" w:rsidRPr="002815F4">
            <w:rPr>
              <w:rFonts w:ascii="Calibri" w:hAnsi="Calibri"/>
            </w:rPr>
            <w:fldChar w:fldCharType="begin"/>
          </w:r>
          <w:r w:rsidR="00F30731" w:rsidRPr="002815F4">
            <w:rPr>
              <w:rFonts w:ascii="Calibri" w:hAnsi="Calibri"/>
            </w:rPr>
            <w:instrText xml:space="preserve"> CITATION ITI1319 \l 1033 </w:instrText>
          </w:r>
          <w:r w:rsidR="00F30731" w:rsidRPr="002815F4">
            <w:rPr>
              <w:rFonts w:ascii="Calibri" w:hAnsi="Calibri"/>
            </w:rPr>
            <w:fldChar w:fldCharType="separate"/>
          </w:r>
          <w:r w:rsidR="003E626E" w:rsidRPr="002815F4">
            <w:rPr>
              <w:rFonts w:ascii="Calibri" w:hAnsi="Calibri"/>
              <w:noProof/>
            </w:rPr>
            <w:t>(ITIE Senegal, 2013)</w:t>
          </w:r>
          <w:r w:rsidR="00F30731" w:rsidRPr="002815F4">
            <w:rPr>
              <w:rFonts w:ascii="Calibri" w:hAnsi="Calibri"/>
            </w:rPr>
            <w:fldChar w:fldCharType="end"/>
          </w:r>
        </w:sdtContent>
      </w:sdt>
      <w:r w:rsidR="00753DAA" w:rsidRPr="002815F4">
        <w:rPr>
          <w:rFonts w:ascii="Calibri" w:hAnsi="Calibri"/>
        </w:rPr>
        <w:t>. The Decree’s Article 3 – and Articles 6 and 7 of the MSG’s Internal Rules</w:t>
      </w:r>
      <w:r w:rsidR="00F30731" w:rsidRPr="002815F4">
        <w:rPr>
          <w:rFonts w:ascii="Calibri" w:hAnsi="Calibri"/>
        </w:rPr>
        <w:t>, agreed in 2014</w:t>
      </w:r>
      <w:r w:rsidR="00753DAA" w:rsidRPr="002815F4">
        <w:rPr>
          <w:rFonts w:ascii="Calibri" w:hAnsi="Calibri"/>
        </w:rPr>
        <w:t xml:space="preserve"> – confirm that representatives are designated by their respective constituency, aside from positions named in government entities and specialised non-state orders </w:t>
      </w:r>
      <w:sdt>
        <w:sdtPr>
          <w:rPr>
            <w:rFonts w:ascii="Calibri" w:hAnsi="Calibri"/>
          </w:rPr>
          <w:id w:val="1470470470"/>
          <w:citation/>
        </w:sdtPr>
        <w:sdtEndPr/>
        <w:sdtContent>
          <w:r w:rsidR="00753DAA" w:rsidRPr="002815F4">
            <w:rPr>
              <w:rFonts w:ascii="Calibri" w:hAnsi="Calibri"/>
            </w:rPr>
            <w:fldChar w:fldCharType="begin"/>
          </w:r>
          <w:r w:rsidR="00753DAA" w:rsidRPr="002815F4">
            <w:rPr>
              <w:rFonts w:ascii="Calibri" w:hAnsi="Calibri"/>
            </w:rPr>
            <w:instrText xml:space="preserve"> CITATION Min13 \l 1033 </w:instrText>
          </w:r>
          <w:r w:rsidR="00753DAA" w:rsidRPr="002815F4">
            <w:rPr>
              <w:rFonts w:ascii="Calibri" w:hAnsi="Calibri"/>
            </w:rPr>
            <w:fldChar w:fldCharType="separate"/>
          </w:r>
          <w:r w:rsidR="003E626E" w:rsidRPr="002815F4">
            <w:rPr>
              <w:rFonts w:ascii="Calibri" w:hAnsi="Calibri"/>
              <w:noProof/>
            </w:rPr>
            <w:t>(Premier Ministre, 2013)</w:t>
          </w:r>
          <w:r w:rsidR="00753DAA" w:rsidRPr="002815F4">
            <w:rPr>
              <w:rFonts w:ascii="Calibri" w:hAnsi="Calibri"/>
            </w:rPr>
            <w:fldChar w:fldCharType="end"/>
          </w:r>
        </w:sdtContent>
      </w:sdt>
      <w:sdt>
        <w:sdtPr>
          <w:rPr>
            <w:rFonts w:ascii="Calibri" w:hAnsi="Calibri"/>
          </w:rPr>
          <w:id w:val="-2067558327"/>
          <w:citation/>
        </w:sdtPr>
        <w:sdtEndPr/>
        <w:sdtContent>
          <w:r w:rsidR="00753DAA" w:rsidRPr="002815F4">
            <w:rPr>
              <w:rFonts w:ascii="Calibri" w:hAnsi="Calibri"/>
            </w:rPr>
            <w:fldChar w:fldCharType="begin"/>
          </w:r>
          <w:r w:rsidR="00753DAA" w:rsidRPr="002815F4">
            <w:rPr>
              <w:rFonts w:ascii="Calibri" w:hAnsi="Calibri"/>
            </w:rPr>
            <w:instrText xml:space="preserve"> CITATION ITI1417 \l 1033 </w:instrText>
          </w:r>
          <w:r w:rsidR="00753DAA" w:rsidRPr="002815F4">
            <w:rPr>
              <w:rFonts w:ascii="Calibri" w:hAnsi="Calibri"/>
            </w:rPr>
            <w:fldChar w:fldCharType="separate"/>
          </w:r>
          <w:r w:rsidR="003E626E" w:rsidRPr="002815F4">
            <w:rPr>
              <w:rFonts w:ascii="Calibri" w:hAnsi="Calibri"/>
              <w:noProof/>
            </w:rPr>
            <w:t xml:space="preserve"> (ITIE Senegal, </w:t>
          </w:r>
          <w:r w:rsidR="003E626E" w:rsidRPr="002815F4">
            <w:rPr>
              <w:rFonts w:ascii="Calibri" w:hAnsi="Calibri"/>
              <w:noProof/>
            </w:rPr>
            <w:lastRenderedPageBreak/>
            <w:t>2014)</w:t>
          </w:r>
          <w:r w:rsidR="00753DAA" w:rsidRPr="002815F4">
            <w:rPr>
              <w:rFonts w:ascii="Calibri" w:hAnsi="Calibri"/>
            </w:rPr>
            <w:fldChar w:fldCharType="end"/>
          </w:r>
        </w:sdtContent>
      </w:sdt>
      <w:r w:rsidR="00753DAA" w:rsidRPr="002815F4">
        <w:rPr>
          <w:rFonts w:ascii="Calibri" w:hAnsi="Calibri"/>
        </w:rPr>
        <w:t xml:space="preserve">. Following </w:t>
      </w:r>
      <w:r w:rsidR="00F30731" w:rsidRPr="002815F4">
        <w:rPr>
          <w:rFonts w:ascii="Calibri" w:hAnsi="Calibri"/>
        </w:rPr>
        <w:t xml:space="preserve">consultations with each constituency in 2012 supported by Oxfam and OSIWA, nomination of MSG members took place in June 2015, ahead of Senegal’s application for EITI Candidature in July 2013 </w:t>
      </w:r>
      <w:sdt>
        <w:sdtPr>
          <w:rPr>
            <w:rFonts w:ascii="Calibri" w:hAnsi="Calibri"/>
          </w:rPr>
          <w:id w:val="-686596076"/>
          <w:citation/>
        </w:sdtPr>
        <w:sdtEndPr/>
        <w:sdtContent>
          <w:r w:rsidR="00F30731" w:rsidRPr="002815F4">
            <w:rPr>
              <w:rFonts w:ascii="Calibri" w:hAnsi="Calibri"/>
            </w:rPr>
            <w:fldChar w:fldCharType="begin"/>
          </w:r>
          <w:r w:rsidR="00F30731" w:rsidRPr="002815F4">
            <w:rPr>
              <w:rFonts w:ascii="Calibri" w:hAnsi="Calibri"/>
            </w:rPr>
            <w:instrText xml:space="preserve"> CITATION ITI1319 \l 1033 </w:instrText>
          </w:r>
          <w:r w:rsidR="00F30731" w:rsidRPr="002815F4">
            <w:rPr>
              <w:rFonts w:ascii="Calibri" w:hAnsi="Calibri"/>
            </w:rPr>
            <w:fldChar w:fldCharType="separate"/>
          </w:r>
          <w:r w:rsidR="003E626E" w:rsidRPr="002815F4">
            <w:rPr>
              <w:rFonts w:ascii="Calibri" w:hAnsi="Calibri"/>
              <w:noProof/>
            </w:rPr>
            <w:t>(ITIE Senegal, 2013)</w:t>
          </w:r>
          <w:r w:rsidR="00F30731" w:rsidRPr="002815F4">
            <w:rPr>
              <w:rFonts w:ascii="Calibri" w:hAnsi="Calibri"/>
            </w:rPr>
            <w:fldChar w:fldCharType="end"/>
          </w:r>
        </w:sdtContent>
      </w:sdt>
      <w:r w:rsidR="00F30731" w:rsidRPr="002815F4">
        <w:rPr>
          <w:rFonts w:ascii="Calibri" w:hAnsi="Calibri"/>
        </w:rPr>
        <w:t xml:space="preserve">. </w:t>
      </w:r>
      <w:r w:rsidR="00F30731" w:rsidRPr="002815F4">
        <w:rPr>
          <w:rFonts w:ascii="Calibri" w:hAnsi="Calibri"/>
          <w:bCs/>
        </w:rPr>
        <w:t>Information on MSG membership is available on the EITI Senegal website</w:t>
      </w:r>
      <w:r w:rsidR="00F30731" w:rsidRPr="002815F4">
        <w:rPr>
          <w:rStyle w:val="FootnoteReference"/>
          <w:rFonts w:ascii="Calibri" w:hAnsi="Calibri"/>
          <w:bCs/>
        </w:rPr>
        <w:footnoteReference w:id="27"/>
      </w:r>
      <w:r w:rsidR="00F30731" w:rsidRPr="002815F4">
        <w:rPr>
          <w:rFonts w:ascii="Calibri" w:hAnsi="Calibri"/>
          <w:bCs/>
        </w:rPr>
        <w:t xml:space="preserve"> along with contact details for each member.</w:t>
      </w:r>
    </w:p>
    <w:p w14:paraId="65E28CC2" w14:textId="412B6F40" w:rsidR="00874B96" w:rsidRPr="002815F4" w:rsidRDefault="00F30731" w:rsidP="00E956E1">
      <w:pPr>
        <w:rPr>
          <w:rFonts w:ascii="Calibri" w:hAnsi="Calibri"/>
          <w:bCs/>
        </w:rPr>
      </w:pPr>
      <w:r w:rsidRPr="002815F4">
        <w:rPr>
          <w:rFonts w:ascii="Calibri" w:hAnsi="Calibri"/>
        </w:rPr>
        <w:t xml:space="preserve">Articles 6 and 7 of the Internal Rules describe the MSG nomination process, with representatives nominated by their constituencies, approved by the MSG Chair upon review of supporting meeting minutes. Article 7 clarifies that MSG members are appointed for two years, with rotation of members structured to preserve the constituency’s institutional memory. Article 15 of the rules describe the procedures for replacing a MSG member, by decision of the constituency, resignation or death </w:t>
      </w:r>
      <w:sdt>
        <w:sdtPr>
          <w:rPr>
            <w:rFonts w:ascii="Calibri" w:hAnsi="Calibri"/>
          </w:rPr>
          <w:id w:val="-220829983"/>
          <w:citation/>
        </w:sdtPr>
        <w:sdtEndPr/>
        <w:sdtContent>
          <w:r w:rsidRPr="002815F4">
            <w:rPr>
              <w:rFonts w:ascii="Calibri" w:hAnsi="Calibri"/>
            </w:rPr>
            <w:fldChar w:fldCharType="begin"/>
          </w:r>
          <w:r w:rsidRPr="002815F4">
            <w:rPr>
              <w:rFonts w:ascii="Calibri" w:hAnsi="Calibri"/>
            </w:rPr>
            <w:instrText xml:space="preserve"> CITATION ITI1417 \l 1033 </w:instrText>
          </w:r>
          <w:r w:rsidRPr="002815F4">
            <w:rPr>
              <w:rFonts w:ascii="Calibri" w:hAnsi="Calibri"/>
            </w:rPr>
            <w:fldChar w:fldCharType="separate"/>
          </w:r>
          <w:r w:rsidR="003E626E" w:rsidRPr="002815F4">
            <w:rPr>
              <w:rFonts w:ascii="Calibri" w:hAnsi="Calibri"/>
              <w:noProof/>
            </w:rPr>
            <w:t>(ITIE Senegal, 2014)</w:t>
          </w:r>
          <w:r w:rsidRPr="002815F4">
            <w:rPr>
              <w:rFonts w:ascii="Calibri" w:hAnsi="Calibri"/>
            </w:rPr>
            <w:fldChar w:fldCharType="end"/>
          </w:r>
        </w:sdtContent>
      </w:sdt>
      <w:r w:rsidRPr="002815F4">
        <w:rPr>
          <w:rFonts w:ascii="Calibri" w:hAnsi="Calibri"/>
        </w:rPr>
        <w:t>. Following the phased renewal of MSG members every six months</w:t>
      </w:r>
      <w:r w:rsidR="00E17E44" w:rsidRPr="002815F4">
        <w:rPr>
          <w:rFonts w:ascii="Calibri" w:hAnsi="Calibri"/>
        </w:rPr>
        <w:t xml:space="preserve"> from July 2015 (starting with CSOs)</w:t>
      </w:r>
      <w:r w:rsidRPr="002815F4">
        <w:rPr>
          <w:rFonts w:ascii="Calibri" w:hAnsi="Calibri"/>
        </w:rPr>
        <w:t xml:space="preserve">, </w:t>
      </w:r>
      <w:r w:rsidRPr="002815F4">
        <w:rPr>
          <w:rFonts w:ascii="Calibri" w:hAnsi="Calibri"/>
          <w:bCs/>
        </w:rPr>
        <w:t xml:space="preserve">the </w:t>
      </w:r>
      <w:r w:rsidR="00E17E44" w:rsidRPr="002815F4">
        <w:rPr>
          <w:rFonts w:ascii="Calibri" w:hAnsi="Calibri"/>
          <w:bCs/>
        </w:rPr>
        <w:t xml:space="preserve">MSG membership </w:t>
      </w:r>
      <w:r w:rsidRPr="002815F4">
        <w:rPr>
          <w:rFonts w:ascii="Calibri" w:hAnsi="Calibri"/>
          <w:bCs/>
        </w:rPr>
        <w:t xml:space="preserve">renewal </w:t>
      </w:r>
      <w:r w:rsidRPr="002815F4">
        <w:rPr>
          <w:rFonts w:ascii="Calibri" w:hAnsi="Calibri"/>
        </w:rPr>
        <w:t xml:space="preserve">was confirmed by Presidential Order 11672 of 9 August 2016 </w:t>
      </w:r>
      <w:sdt>
        <w:sdtPr>
          <w:rPr>
            <w:rFonts w:ascii="Calibri" w:hAnsi="Calibri"/>
          </w:rPr>
          <w:id w:val="-1281867815"/>
          <w:citation/>
        </w:sdtPr>
        <w:sdtEndPr/>
        <w:sdtContent>
          <w:r w:rsidRPr="002815F4">
            <w:rPr>
              <w:rFonts w:ascii="Calibri" w:hAnsi="Calibri"/>
            </w:rPr>
            <w:fldChar w:fldCharType="begin"/>
          </w:r>
          <w:r w:rsidRPr="002815F4">
            <w:rPr>
              <w:rFonts w:ascii="Calibri" w:hAnsi="Calibri"/>
            </w:rPr>
            <w:instrText xml:space="preserve"> CITATION Pre161 \l 1033 </w:instrText>
          </w:r>
          <w:r w:rsidRPr="002815F4">
            <w:rPr>
              <w:rFonts w:ascii="Calibri" w:hAnsi="Calibri"/>
            </w:rPr>
            <w:fldChar w:fldCharType="separate"/>
          </w:r>
          <w:r w:rsidR="003E626E" w:rsidRPr="002815F4">
            <w:rPr>
              <w:rFonts w:ascii="Calibri" w:hAnsi="Calibri"/>
              <w:noProof/>
            </w:rPr>
            <w:t>(President de la Republique, 2016)</w:t>
          </w:r>
          <w:r w:rsidRPr="002815F4">
            <w:rPr>
              <w:rFonts w:ascii="Calibri" w:hAnsi="Calibri"/>
            </w:rPr>
            <w:fldChar w:fldCharType="end"/>
          </w:r>
        </w:sdtContent>
      </w:sdt>
      <w:r w:rsidRPr="002815F4">
        <w:rPr>
          <w:rFonts w:ascii="Calibri" w:hAnsi="Calibri"/>
        </w:rPr>
        <w:t>.</w:t>
      </w:r>
      <w:r w:rsidR="00A33F5E" w:rsidRPr="002815F4">
        <w:rPr>
          <w:rFonts w:ascii="Calibri" w:hAnsi="Calibri"/>
        </w:rPr>
        <w:t xml:space="preserve"> The MSG also published its own </w:t>
      </w:r>
      <w:r w:rsidR="0088491F" w:rsidRPr="002815F4">
        <w:rPr>
          <w:rFonts w:ascii="Calibri" w:hAnsi="Calibri"/>
        </w:rPr>
        <w:t xml:space="preserve">general </w:t>
      </w:r>
      <w:r w:rsidR="00A33F5E" w:rsidRPr="002815F4">
        <w:rPr>
          <w:rFonts w:ascii="Calibri" w:hAnsi="Calibri"/>
        </w:rPr>
        <w:t xml:space="preserve">codification of nominations procedures in August 2016, </w:t>
      </w:r>
      <w:r w:rsidR="0088491F" w:rsidRPr="002815F4">
        <w:rPr>
          <w:rFonts w:ascii="Calibri" w:hAnsi="Calibri"/>
        </w:rPr>
        <w:t xml:space="preserve">referring to the 2016 decree’s </w:t>
      </w:r>
      <w:r w:rsidR="002815F4" w:rsidRPr="002815F4">
        <w:rPr>
          <w:rFonts w:ascii="Calibri" w:hAnsi="Calibri"/>
        </w:rPr>
        <w:t>codification</w:t>
      </w:r>
      <w:r w:rsidR="0088491F" w:rsidRPr="002815F4">
        <w:rPr>
          <w:rFonts w:ascii="Calibri" w:hAnsi="Calibri"/>
        </w:rPr>
        <w:t xml:space="preserve"> of 26 seats including 12 for the government, six for industry and eight for civil society</w:t>
      </w:r>
      <w:sdt>
        <w:sdtPr>
          <w:rPr>
            <w:rFonts w:ascii="Calibri" w:hAnsi="Calibri"/>
          </w:rPr>
          <w:id w:val="-1482146832"/>
          <w:citation/>
        </w:sdtPr>
        <w:sdtEndPr/>
        <w:sdtContent>
          <w:r w:rsidR="0088491F" w:rsidRPr="002815F4">
            <w:rPr>
              <w:rFonts w:ascii="Calibri" w:hAnsi="Calibri"/>
            </w:rPr>
            <w:fldChar w:fldCharType="begin"/>
          </w:r>
          <w:r w:rsidR="0088491F" w:rsidRPr="002815F4">
            <w:rPr>
              <w:rFonts w:ascii="Calibri" w:hAnsi="Calibri"/>
            </w:rPr>
            <w:instrText xml:space="preserve"> CITATION ITI1653 \l 1033 </w:instrText>
          </w:r>
          <w:r w:rsidR="0088491F" w:rsidRPr="002815F4">
            <w:rPr>
              <w:rFonts w:ascii="Calibri" w:hAnsi="Calibri"/>
            </w:rPr>
            <w:fldChar w:fldCharType="separate"/>
          </w:r>
          <w:r w:rsidR="0088491F" w:rsidRPr="002815F4">
            <w:rPr>
              <w:rFonts w:ascii="Calibri" w:hAnsi="Calibri"/>
              <w:noProof/>
            </w:rPr>
            <w:t xml:space="preserve"> (ITIE Senegal, 2016)</w:t>
          </w:r>
          <w:r w:rsidR="0088491F" w:rsidRPr="002815F4">
            <w:rPr>
              <w:rFonts w:ascii="Calibri" w:hAnsi="Calibri"/>
            </w:rPr>
            <w:fldChar w:fldCharType="end"/>
          </w:r>
        </w:sdtContent>
      </w:sdt>
      <w:r w:rsidR="0088491F" w:rsidRPr="002815F4">
        <w:rPr>
          <w:rFonts w:ascii="Calibri" w:hAnsi="Calibri"/>
        </w:rPr>
        <w:t xml:space="preserve">. </w:t>
      </w:r>
      <w:r w:rsidR="00874B96" w:rsidRPr="002815F4">
        <w:rPr>
          <w:rFonts w:ascii="Calibri" w:hAnsi="Calibri"/>
          <w:bCs/>
        </w:rPr>
        <w:t>While the EITI Senegal’s governance documents do not include provisions requiring MSG members to undertake outreach activities to the broader constituencies of companies and civil society, beyond Article 2 of the Decree’s requirement for MSG members to disseminate EITI information, there is evidence of MSG members from both constituencies having regularly canvassed their constituents and reported back following MSG decisions. There are no provisions in Senegal’s EITI governance documents requiring that MSG representation be representative of geographical or gender diversity or the structure of the extractive industries.</w:t>
      </w:r>
    </w:p>
    <w:p w14:paraId="6ADD6279" w14:textId="5FC32F40" w:rsidR="004C3665" w:rsidRPr="002815F4" w:rsidRDefault="002929E0" w:rsidP="004C3665">
      <w:pPr>
        <w:rPr>
          <w:rFonts w:ascii="Calibri" w:hAnsi="Calibri" w:cs="Arial"/>
        </w:rPr>
      </w:pPr>
      <w:r w:rsidRPr="002815F4">
        <w:rPr>
          <w:rFonts w:ascii="Calibri" w:hAnsi="Calibri"/>
          <w:i/>
        </w:rPr>
        <w:t>Civil society representation</w:t>
      </w:r>
      <w:r w:rsidRPr="002815F4">
        <w:rPr>
          <w:rFonts w:ascii="Calibri" w:hAnsi="Calibri"/>
        </w:rPr>
        <w:t xml:space="preserve">: </w:t>
      </w:r>
      <w:r w:rsidR="00AD6339" w:rsidRPr="002815F4">
        <w:rPr>
          <w:rFonts w:ascii="Calibri" w:hAnsi="Calibri"/>
          <w:bCs/>
        </w:rPr>
        <w:t xml:space="preserve">Article 3 of Decree 2013-881 lists five representatives from civil society, </w:t>
      </w:r>
      <w:r w:rsidR="0096192C" w:rsidRPr="002815F4">
        <w:rPr>
          <w:rFonts w:ascii="Calibri" w:hAnsi="Calibri"/>
          <w:bCs/>
        </w:rPr>
        <w:t xml:space="preserve">one from the </w:t>
      </w:r>
      <w:r w:rsidR="00CA59D7" w:rsidRPr="002815F4">
        <w:rPr>
          <w:rFonts w:ascii="Calibri" w:hAnsi="Calibri"/>
          <w:bCs/>
        </w:rPr>
        <w:t xml:space="preserve">press and </w:t>
      </w:r>
      <w:r w:rsidR="0096192C" w:rsidRPr="002815F4">
        <w:rPr>
          <w:rFonts w:ascii="Calibri" w:hAnsi="Calibri"/>
          <w:bCs/>
        </w:rPr>
        <w:t>media,</w:t>
      </w:r>
      <w:r w:rsidR="00CA59D7" w:rsidRPr="002815F4">
        <w:rPr>
          <w:rFonts w:ascii="Calibri" w:hAnsi="Calibri"/>
          <w:bCs/>
        </w:rPr>
        <w:t xml:space="preserve"> one from the town councillor association, one from the national order of accountants and one from trade unions</w:t>
      </w:r>
      <w:sdt>
        <w:sdtPr>
          <w:rPr>
            <w:rFonts w:ascii="Calibri" w:hAnsi="Calibri"/>
            <w:bCs/>
          </w:rPr>
          <w:id w:val="-1501877989"/>
          <w:citation/>
        </w:sdtPr>
        <w:sdtEndPr/>
        <w:sdtContent>
          <w:r w:rsidR="00CA59D7" w:rsidRPr="002815F4">
            <w:rPr>
              <w:rFonts w:ascii="Calibri" w:hAnsi="Calibri"/>
              <w:bCs/>
            </w:rPr>
            <w:fldChar w:fldCharType="begin"/>
          </w:r>
          <w:r w:rsidR="0014140A" w:rsidRPr="002815F4">
            <w:rPr>
              <w:rFonts w:ascii="Calibri" w:hAnsi="Calibri"/>
              <w:bCs/>
            </w:rPr>
            <w:instrText xml:space="preserve">CITATION Min13 \l 1033 </w:instrText>
          </w:r>
          <w:r w:rsidR="00CA59D7" w:rsidRPr="002815F4">
            <w:rPr>
              <w:rFonts w:ascii="Calibri" w:hAnsi="Calibri"/>
              <w:bCs/>
            </w:rPr>
            <w:fldChar w:fldCharType="separate"/>
          </w:r>
          <w:r w:rsidR="003E626E" w:rsidRPr="002815F4">
            <w:rPr>
              <w:rFonts w:ascii="Calibri" w:hAnsi="Calibri"/>
              <w:bCs/>
              <w:noProof/>
            </w:rPr>
            <w:t xml:space="preserve"> </w:t>
          </w:r>
          <w:r w:rsidR="003E626E" w:rsidRPr="002815F4">
            <w:rPr>
              <w:rFonts w:ascii="Calibri" w:hAnsi="Calibri"/>
              <w:noProof/>
            </w:rPr>
            <w:t>(Premier Ministre, 2013)</w:t>
          </w:r>
          <w:r w:rsidR="00CA59D7" w:rsidRPr="002815F4">
            <w:rPr>
              <w:rFonts w:ascii="Calibri" w:hAnsi="Calibri"/>
              <w:bCs/>
            </w:rPr>
            <w:fldChar w:fldCharType="end"/>
          </w:r>
        </w:sdtContent>
      </w:sdt>
      <w:r w:rsidR="00CA59D7" w:rsidRPr="002815F4">
        <w:rPr>
          <w:rFonts w:ascii="Calibri" w:hAnsi="Calibri"/>
          <w:bCs/>
        </w:rPr>
        <w:t xml:space="preserve">. </w:t>
      </w:r>
      <w:r w:rsidR="00057204" w:rsidRPr="002815F4">
        <w:rPr>
          <w:rFonts w:ascii="Calibri" w:hAnsi="Calibri"/>
          <w:bCs/>
        </w:rPr>
        <w:t xml:space="preserve">Article 6 of the Internal Rules confirms that civil society MSG members are nominated by their peers and consultative bodies </w:t>
      </w:r>
      <w:sdt>
        <w:sdtPr>
          <w:rPr>
            <w:rFonts w:ascii="Calibri" w:hAnsi="Calibri"/>
            <w:bCs/>
          </w:rPr>
          <w:id w:val="-1245650097"/>
          <w:citation/>
        </w:sdtPr>
        <w:sdtEndPr/>
        <w:sdtContent>
          <w:r w:rsidR="00057204" w:rsidRPr="002815F4">
            <w:rPr>
              <w:rFonts w:ascii="Calibri" w:hAnsi="Calibri"/>
              <w:bCs/>
            </w:rPr>
            <w:fldChar w:fldCharType="begin"/>
          </w:r>
          <w:r w:rsidR="00057204" w:rsidRPr="002815F4">
            <w:rPr>
              <w:rFonts w:ascii="Calibri" w:hAnsi="Calibri"/>
              <w:bCs/>
            </w:rPr>
            <w:instrText xml:space="preserve"> CITATION ITI1417 \l 1033 </w:instrText>
          </w:r>
          <w:r w:rsidR="00057204" w:rsidRPr="002815F4">
            <w:rPr>
              <w:rFonts w:ascii="Calibri" w:hAnsi="Calibri"/>
              <w:bCs/>
            </w:rPr>
            <w:fldChar w:fldCharType="separate"/>
          </w:r>
          <w:r w:rsidR="003E626E" w:rsidRPr="002815F4">
            <w:rPr>
              <w:rFonts w:ascii="Calibri" w:hAnsi="Calibri"/>
              <w:noProof/>
            </w:rPr>
            <w:t>(ITIE Senegal, 2014)</w:t>
          </w:r>
          <w:r w:rsidR="00057204" w:rsidRPr="002815F4">
            <w:rPr>
              <w:rFonts w:ascii="Calibri" w:hAnsi="Calibri"/>
              <w:bCs/>
            </w:rPr>
            <w:fldChar w:fldCharType="end"/>
          </w:r>
        </w:sdtContent>
      </w:sdt>
      <w:r w:rsidR="00057204" w:rsidRPr="002815F4">
        <w:rPr>
          <w:rFonts w:ascii="Calibri" w:hAnsi="Calibri"/>
          <w:bCs/>
        </w:rPr>
        <w:t xml:space="preserve">. </w:t>
      </w:r>
      <w:r w:rsidR="004C3665" w:rsidRPr="002815F4">
        <w:rPr>
          <w:rFonts w:ascii="Calibri" w:hAnsi="Calibri"/>
        </w:rPr>
        <w:t>The five MSG members from CSOs appear operationally independent from government and companies. However</w:t>
      </w:r>
      <w:r w:rsidR="00F30731" w:rsidRPr="002815F4">
        <w:rPr>
          <w:rFonts w:ascii="Calibri" w:hAnsi="Calibri"/>
        </w:rPr>
        <w:t>,</w:t>
      </w:r>
      <w:r w:rsidR="004C3665" w:rsidRPr="002815F4">
        <w:rPr>
          <w:rFonts w:ascii="Calibri" w:hAnsi="Calibri"/>
        </w:rPr>
        <w:t xml:space="preserve"> they have questioned the independence and capacity of other assigned representatives of civil society</w:t>
      </w:r>
      <w:r w:rsidR="00F30731" w:rsidRPr="002815F4">
        <w:rPr>
          <w:rFonts w:ascii="Calibri" w:hAnsi="Calibri"/>
        </w:rPr>
        <w:t xml:space="preserve"> appointed from non-state institutions</w:t>
      </w:r>
      <w:r w:rsidR="004C3665" w:rsidRPr="002815F4">
        <w:rPr>
          <w:rFonts w:ascii="Calibri" w:hAnsi="Calibri"/>
        </w:rPr>
        <w:t xml:space="preserve"> </w:t>
      </w:r>
      <w:r w:rsidR="00F30731" w:rsidRPr="002815F4">
        <w:rPr>
          <w:rFonts w:ascii="Calibri" w:hAnsi="Calibri"/>
        </w:rPr>
        <w:t xml:space="preserve">like the Association of Town Councillors </w:t>
      </w:r>
      <w:sdt>
        <w:sdtPr>
          <w:rPr>
            <w:rFonts w:ascii="Calibri" w:hAnsi="Calibri" w:cs="Arial"/>
          </w:rPr>
          <w:id w:val="-146286860"/>
          <w:citation/>
        </w:sdtPr>
        <w:sdtEndPr/>
        <w:sdtContent>
          <w:r w:rsidR="00F30731" w:rsidRPr="002815F4">
            <w:rPr>
              <w:rFonts w:ascii="Calibri" w:hAnsi="Calibri" w:cs="Arial"/>
            </w:rPr>
            <w:fldChar w:fldCharType="begin"/>
          </w:r>
          <w:r w:rsidR="00F30731" w:rsidRPr="002815F4">
            <w:rPr>
              <w:rFonts w:ascii="Calibri" w:hAnsi="Calibri" w:cs="Arial"/>
            </w:rPr>
            <w:instrText xml:space="preserve"> CITATION MSI152 \l 1033 </w:instrText>
          </w:r>
          <w:r w:rsidR="00F30731" w:rsidRPr="002815F4">
            <w:rPr>
              <w:rFonts w:ascii="Calibri" w:hAnsi="Calibri" w:cs="Arial"/>
            </w:rPr>
            <w:fldChar w:fldCharType="separate"/>
          </w:r>
          <w:r w:rsidR="003E626E" w:rsidRPr="002815F4">
            <w:rPr>
              <w:rFonts w:ascii="Calibri" w:hAnsi="Calibri" w:cs="Arial"/>
              <w:noProof/>
            </w:rPr>
            <w:t>(MSI Integrity, 2015)</w:t>
          </w:r>
          <w:r w:rsidR="00F30731" w:rsidRPr="002815F4">
            <w:rPr>
              <w:rFonts w:ascii="Calibri" w:hAnsi="Calibri" w:cs="Arial"/>
            </w:rPr>
            <w:fldChar w:fldCharType="end"/>
          </w:r>
        </w:sdtContent>
      </w:sdt>
      <w:r w:rsidR="00F30731" w:rsidRPr="002815F4">
        <w:rPr>
          <w:rFonts w:ascii="Calibri" w:hAnsi="Calibri" w:cs="Arial"/>
        </w:rPr>
        <w:t>.</w:t>
      </w:r>
      <w:r w:rsidR="00F664AF" w:rsidRPr="002815F4">
        <w:rPr>
          <w:rFonts w:ascii="Calibri" w:hAnsi="Calibri" w:cs="Arial"/>
        </w:rPr>
        <w:t xml:space="preserve"> The </w:t>
      </w:r>
      <w:r w:rsidR="00BF1187" w:rsidRPr="002815F4">
        <w:rPr>
          <w:rFonts w:ascii="Calibri" w:hAnsi="Calibri" w:cs="Arial"/>
        </w:rPr>
        <w:t>four</w:t>
      </w:r>
      <w:r w:rsidR="00F664AF" w:rsidRPr="002815F4">
        <w:rPr>
          <w:rFonts w:ascii="Calibri" w:hAnsi="Calibri" w:cs="Arial"/>
        </w:rPr>
        <w:t xml:space="preserve"> self-appointed CSO MSG members were originally nominated on 13 July 2013, according to the annexes to Senegal’s EITI Candidature application, and renewed in July 2015. While the process was relatively informal on both occasions, there is evidence that the nominations process was structured, transparent and open to all despite being coordinated by one organisation, PWYP Senegal. </w:t>
      </w:r>
      <w:r w:rsidR="00BF1187" w:rsidRPr="002815F4">
        <w:rPr>
          <w:rFonts w:ascii="Calibri" w:hAnsi="Calibri" w:cs="Arial"/>
        </w:rPr>
        <w:t>The EITI Senegal August 2016 circular on MSG nominations confirms PWYP’s organisation of the selection of four MSG members, including one each from the three main mining regions</w:t>
      </w:r>
      <w:r w:rsidR="000E2413">
        <w:rPr>
          <w:rStyle w:val="FootnoteReference"/>
          <w:rFonts w:ascii="Calibri" w:hAnsi="Calibri"/>
        </w:rPr>
        <w:footnoteReference w:id="28"/>
      </w:r>
      <w:r w:rsidR="00BF1187" w:rsidRPr="002815F4">
        <w:rPr>
          <w:rFonts w:ascii="Calibri" w:hAnsi="Calibri" w:cs="Arial"/>
        </w:rPr>
        <w:t xml:space="preserve"> and one from a human rights organisation. It also confirms that four </w:t>
      </w:r>
      <w:r w:rsidR="000E2413">
        <w:rPr>
          <w:rFonts w:ascii="Calibri" w:hAnsi="Calibri" w:cs="Arial"/>
        </w:rPr>
        <w:t xml:space="preserve">named </w:t>
      </w:r>
      <w:r w:rsidR="00BF1187" w:rsidRPr="002815F4">
        <w:rPr>
          <w:rFonts w:ascii="Calibri" w:hAnsi="Calibri" w:cs="Arial"/>
        </w:rPr>
        <w:t>organisations</w:t>
      </w:r>
      <w:r w:rsidR="000E2413">
        <w:rPr>
          <w:rStyle w:val="FootnoteReference"/>
          <w:rFonts w:ascii="Calibri" w:hAnsi="Calibri"/>
        </w:rPr>
        <w:footnoteReference w:id="29"/>
      </w:r>
      <w:r w:rsidR="00BF1187" w:rsidRPr="002815F4">
        <w:rPr>
          <w:rFonts w:ascii="Calibri" w:hAnsi="Calibri" w:cs="Arial"/>
        </w:rPr>
        <w:t xml:space="preserve"> appoint their own (one) representative to the MSG </w:t>
      </w:r>
      <w:sdt>
        <w:sdtPr>
          <w:rPr>
            <w:rFonts w:ascii="Calibri" w:hAnsi="Calibri" w:cs="Arial"/>
          </w:rPr>
          <w:id w:val="-1214661824"/>
          <w:citation/>
        </w:sdtPr>
        <w:sdtEndPr/>
        <w:sdtContent>
          <w:r w:rsidR="00BF1187" w:rsidRPr="002815F4">
            <w:rPr>
              <w:rFonts w:ascii="Calibri" w:hAnsi="Calibri" w:cs="Arial"/>
            </w:rPr>
            <w:fldChar w:fldCharType="begin"/>
          </w:r>
          <w:r w:rsidR="00BF1187" w:rsidRPr="002815F4">
            <w:rPr>
              <w:rFonts w:ascii="Calibri" w:hAnsi="Calibri" w:cs="Arial"/>
            </w:rPr>
            <w:instrText xml:space="preserve"> CITATION ITI1653 \l 1033 </w:instrText>
          </w:r>
          <w:r w:rsidR="00BF1187" w:rsidRPr="002815F4">
            <w:rPr>
              <w:rFonts w:ascii="Calibri" w:hAnsi="Calibri" w:cs="Arial"/>
            </w:rPr>
            <w:fldChar w:fldCharType="separate"/>
          </w:r>
          <w:r w:rsidR="00BF1187" w:rsidRPr="002815F4">
            <w:rPr>
              <w:rFonts w:ascii="Calibri" w:hAnsi="Calibri" w:cs="Arial"/>
              <w:noProof/>
            </w:rPr>
            <w:t>(ITIE Senegal, 2016)</w:t>
          </w:r>
          <w:r w:rsidR="00BF1187" w:rsidRPr="002815F4">
            <w:rPr>
              <w:rFonts w:ascii="Calibri" w:hAnsi="Calibri" w:cs="Arial"/>
            </w:rPr>
            <w:fldChar w:fldCharType="end"/>
          </w:r>
        </w:sdtContent>
      </w:sdt>
      <w:r w:rsidR="00BF1187" w:rsidRPr="002815F4">
        <w:rPr>
          <w:rFonts w:ascii="Calibri" w:hAnsi="Calibri" w:cs="Arial"/>
        </w:rPr>
        <w:t xml:space="preserve">. </w:t>
      </w:r>
      <w:r w:rsidR="002C7BB2" w:rsidRPr="002815F4">
        <w:rPr>
          <w:rFonts w:ascii="Calibri" w:hAnsi="Calibri" w:cs="Arial"/>
        </w:rPr>
        <w:t xml:space="preserve">There is no evidence that PWYP or any of the four organisations cited have formalised or codified their nominations and replacement procedures. However, </w:t>
      </w:r>
      <w:r w:rsidR="002C7BB2" w:rsidRPr="002815F4">
        <w:rPr>
          <w:rFonts w:ascii="Calibri" w:hAnsi="Calibri" w:cs="Arial"/>
        </w:rPr>
        <w:lastRenderedPageBreak/>
        <w:t>PWYP Senegal has coordinated the drafting of a civil society Code of Conduct approved by coalition members in August 2017</w:t>
      </w:r>
      <w:r w:rsidR="001160A3" w:rsidRPr="002815F4">
        <w:rPr>
          <w:rFonts w:ascii="Calibri" w:hAnsi="Calibri" w:cs="Arial"/>
        </w:rPr>
        <w:t xml:space="preserve"> to structure civil society’s EITI representation. </w:t>
      </w:r>
      <w:r w:rsidR="007D4E93" w:rsidRPr="002815F4">
        <w:rPr>
          <w:rFonts w:ascii="Calibri" w:hAnsi="Calibri" w:cs="Arial"/>
        </w:rPr>
        <w:t xml:space="preserve">Independent commentators like the World Bank have noted that </w:t>
      </w:r>
      <w:r w:rsidR="00DE3B6E" w:rsidRPr="002815F4">
        <w:rPr>
          <w:rFonts w:ascii="Calibri" w:hAnsi="Calibri" w:cs="Arial"/>
        </w:rPr>
        <w:t xml:space="preserve">CSO MSG members are drawn from a nationwide pool of stakeholders broader than the membership of PWYP </w:t>
      </w:r>
      <w:sdt>
        <w:sdtPr>
          <w:rPr>
            <w:rFonts w:ascii="Calibri" w:hAnsi="Calibri"/>
            <w:bCs/>
          </w:rPr>
          <w:id w:val="1175762401"/>
          <w:citation/>
        </w:sdtPr>
        <w:sdtEndPr/>
        <w:sdtContent>
          <w:r w:rsidR="00DE3B6E" w:rsidRPr="002815F4">
            <w:rPr>
              <w:rFonts w:ascii="Calibri" w:hAnsi="Calibri"/>
              <w:bCs/>
            </w:rPr>
            <w:fldChar w:fldCharType="begin"/>
          </w:r>
          <w:r w:rsidR="00DE3B6E" w:rsidRPr="002815F4">
            <w:rPr>
              <w:rFonts w:ascii="Calibri" w:hAnsi="Calibri"/>
              <w:bCs/>
            </w:rPr>
            <w:instrText xml:space="preserve"> CITATION Wor162 \l 1033 </w:instrText>
          </w:r>
          <w:r w:rsidR="00DE3B6E" w:rsidRPr="002815F4">
            <w:rPr>
              <w:rFonts w:ascii="Calibri" w:hAnsi="Calibri"/>
              <w:bCs/>
            </w:rPr>
            <w:fldChar w:fldCharType="separate"/>
          </w:r>
          <w:r w:rsidR="00DE3B6E" w:rsidRPr="002815F4">
            <w:rPr>
              <w:rFonts w:ascii="Calibri" w:hAnsi="Calibri"/>
              <w:noProof/>
            </w:rPr>
            <w:t>(World Bank, 2016)</w:t>
          </w:r>
          <w:r w:rsidR="00DE3B6E" w:rsidRPr="002815F4">
            <w:rPr>
              <w:rFonts w:ascii="Calibri" w:hAnsi="Calibri"/>
              <w:bCs/>
            </w:rPr>
            <w:fldChar w:fldCharType="end"/>
          </w:r>
        </w:sdtContent>
      </w:sdt>
      <w:r w:rsidR="00DE3B6E" w:rsidRPr="002815F4">
        <w:rPr>
          <w:rFonts w:ascii="Calibri" w:hAnsi="Calibri"/>
          <w:bCs/>
        </w:rPr>
        <w:t xml:space="preserve">. </w:t>
      </w:r>
    </w:p>
    <w:p w14:paraId="74FD7A16" w14:textId="351AB338" w:rsidR="00CA59D7" w:rsidRPr="002815F4" w:rsidRDefault="002929E0" w:rsidP="00E956E1">
      <w:pPr>
        <w:rPr>
          <w:rFonts w:ascii="Calibri" w:hAnsi="Calibri"/>
          <w:bCs/>
        </w:rPr>
      </w:pPr>
      <w:r w:rsidRPr="002815F4">
        <w:rPr>
          <w:rFonts w:ascii="Calibri" w:hAnsi="Calibri"/>
          <w:i/>
        </w:rPr>
        <w:t xml:space="preserve">Industry representation: </w:t>
      </w:r>
      <w:r w:rsidR="00CA59D7" w:rsidRPr="002815F4">
        <w:rPr>
          <w:rFonts w:ascii="Calibri" w:hAnsi="Calibri"/>
          <w:bCs/>
        </w:rPr>
        <w:t xml:space="preserve">Article 3 of Decree 2013-881 lists four members from the broader extractive industries and two from the hydrocarbons sector specifically </w:t>
      </w:r>
      <w:sdt>
        <w:sdtPr>
          <w:rPr>
            <w:rFonts w:ascii="Calibri" w:hAnsi="Calibri"/>
            <w:bCs/>
          </w:rPr>
          <w:id w:val="585116663"/>
          <w:citation/>
        </w:sdtPr>
        <w:sdtEndPr/>
        <w:sdtContent>
          <w:r w:rsidR="00CA59D7" w:rsidRPr="002815F4">
            <w:rPr>
              <w:rFonts w:ascii="Calibri" w:hAnsi="Calibri"/>
              <w:bCs/>
            </w:rPr>
            <w:fldChar w:fldCharType="begin"/>
          </w:r>
          <w:r w:rsidR="0014140A" w:rsidRPr="002815F4">
            <w:rPr>
              <w:rFonts w:ascii="Calibri" w:hAnsi="Calibri"/>
              <w:bCs/>
            </w:rPr>
            <w:instrText xml:space="preserve">CITATION Min13 \l 1033 </w:instrText>
          </w:r>
          <w:r w:rsidR="00CA59D7" w:rsidRPr="002815F4">
            <w:rPr>
              <w:rFonts w:ascii="Calibri" w:hAnsi="Calibri"/>
              <w:bCs/>
            </w:rPr>
            <w:fldChar w:fldCharType="separate"/>
          </w:r>
          <w:r w:rsidR="003E626E" w:rsidRPr="002815F4">
            <w:rPr>
              <w:rFonts w:ascii="Calibri" w:hAnsi="Calibri"/>
              <w:noProof/>
            </w:rPr>
            <w:t>(Premier Ministre, 2013)</w:t>
          </w:r>
          <w:r w:rsidR="00CA59D7" w:rsidRPr="002815F4">
            <w:rPr>
              <w:rFonts w:ascii="Calibri" w:hAnsi="Calibri"/>
              <w:bCs/>
            </w:rPr>
            <w:fldChar w:fldCharType="end"/>
          </w:r>
        </w:sdtContent>
      </w:sdt>
      <w:r w:rsidR="00CA59D7" w:rsidRPr="002815F4">
        <w:rPr>
          <w:rFonts w:ascii="Calibri" w:hAnsi="Calibri"/>
          <w:bCs/>
        </w:rPr>
        <w:t>.</w:t>
      </w:r>
      <w:r w:rsidR="00BD37CA" w:rsidRPr="002815F4">
        <w:rPr>
          <w:rFonts w:ascii="Calibri" w:hAnsi="Calibri"/>
          <w:bCs/>
        </w:rPr>
        <w:t xml:space="preserve"> In practice, there were four industry MSG members originally appointed from the mining sector in 2013, joined by two oil and gas company representatives</w:t>
      </w:r>
      <w:r w:rsidR="000E2413">
        <w:rPr>
          <w:rStyle w:val="FootnoteReference"/>
          <w:rFonts w:ascii="Calibri" w:hAnsi="Calibri"/>
          <w:bCs/>
        </w:rPr>
        <w:footnoteReference w:id="30"/>
      </w:r>
      <w:r w:rsidR="00BD37CA" w:rsidRPr="002815F4">
        <w:rPr>
          <w:rFonts w:ascii="Calibri" w:hAnsi="Calibri"/>
          <w:bCs/>
        </w:rPr>
        <w:t xml:space="preserve"> in 2014.</w:t>
      </w:r>
      <w:r w:rsidR="00CA59D7" w:rsidRPr="002815F4">
        <w:rPr>
          <w:rFonts w:ascii="Calibri" w:hAnsi="Calibri"/>
          <w:bCs/>
        </w:rPr>
        <w:t xml:space="preserve"> </w:t>
      </w:r>
      <w:r w:rsidR="00BD37CA" w:rsidRPr="002815F4">
        <w:rPr>
          <w:rFonts w:ascii="Calibri" w:hAnsi="Calibri"/>
          <w:bCs/>
        </w:rPr>
        <w:t xml:space="preserve">While there is evidence of the Chamber of Mines’ board having led a structured decision on MSG representation, the appointment of the oil and gas representatives to the MSG in 2014 appears to have been ad hoc and contextual (as the sole producing company and the company having just discovered oil). The mining industry representatives were renewed at the start of 2016. </w:t>
      </w:r>
      <w:r w:rsidR="0088491F" w:rsidRPr="002815F4">
        <w:rPr>
          <w:rFonts w:ascii="Calibri" w:hAnsi="Calibri"/>
          <w:bCs/>
        </w:rPr>
        <w:t xml:space="preserve">The EITI Senegal August 2016 circular confirms the Chamber’s role in appointing MSG members with cross-section representation of minerals and mining cycle phase (exploration/production) </w:t>
      </w:r>
      <w:sdt>
        <w:sdtPr>
          <w:rPr>
            <w:rFonts w:ascii="Calibri" w:hAnsi="Calibri"/>
            <w:bCs/>
          </w:rPr>
          <w:id w:val="-1748114223"/>
          <w:citation/>
        </w:sdtPr>
        <w:sdtEndPr/>
        <w:sdtContent>
          <w:r w:rsidR="0088491F" w:rsidRPr="002815F4">
            <w:rPr>
              <w:rFonts w:ascii="Calibri" w:hAnsi="Calibri"/>
              <w:bCs/>
            </w:rPr>
            <w:fldChar w:fldCharType="begin"/>
          </w:r>
          <w:r w:rsidR="0088491F" w:rsidRPr="002815F4">
            <w:rPr>
              <w:rFonts w:ascii="Calibri" w:hAnsi="Calibri"/>
              <w:bCs/>
            </w:rPr>
            <w:instrText xml:space="preserve"> CITATION ITI1653 \l 1033 </w:instrText>
          </w:r>
          <w:r w:rsidR="0088491F" w:rsidRPr="002815F4">
            <w:rPr>
              <w:rFonts w:ascii="Calibri" w:hAnsi="Calibri"/>
              <w:bCs/>
            </w:rPr>
            <w:fldChar w:fldCharType="separate"/>
          </w:r>
          <w:r w:rsidR="0088491F" w:rsidRPr="002815F4">
            <w:rPr>
              <w:rFonts w:ascii="Calibri" w:hAnsi="Calibri"/>
              <w:noProof/>
            </w:rPr>
            <w:t>(ITIE Senegal, 2016)</w:t>
          </w:r>
          <w:r w:rsidR="0088491F" w:rsidRPr="002815F4">
            <w:rPr>
              <w:rFonts w:ascii="Calibri" w:hAnsi="Calibri"/>
              <w:bCs/>
            </w:rPr>
            <w:fldChar w:fldCharType="end"/>
          </w:r>
        </w:sdtContent>
      </w:sdt>
      <w:r w:rsidR="0088491F" w:rsidRPr="002815F4">
        <w:rPr>
          <w:rFonts w:ascii="Calibri" w:hAnsi="Calibri"/>
          <w:bCs/>
        </w:rPr>
        <w:t xml:space="preserve">. </w:t>
      </w:r>
      <w:r w:rsidR="005B4A63" w:rsidRPr="002815F4">
        <w:rPr>
          <w:rFonts w:ascii="Calibri" w:hAnsi="Calibri"/>
          <w:bCs/>
        </w:rPr>
        <w:t xml:space="preserve">There is no procedure </w:t>
      </w:r>
      <w:r w:rsidR="00A33F5E" w:rsidRPr="002815F4">
        <w:rPr>
          <w:rFonts w:ascii="Calibri" w:hAnsi="Calibri"/>
          <w:bCs/>
        </w:rPr>
        <w:t xml:space="preserve">codified by the </w:t>
      </w:r>
      <w:r w:rsidR="0088491F" w:rsidRPr="002815F4">
        <w:rPr>
          <w:rFonts w:ascii="Calibri" w:hAnsi="Calibri"/>
          <w:bCs/>
        </w:rPr>
        <w:t xml:space="preserve">Chamber of Mines </w:t>
      </w:r>
      <w:r w:rsidR="00A33F5E" w:rsidRPr="002815F4">
        <w:rPr>
          <w:rFonts w:ascii="Calibri" w:hAnsi="Calibri"/>
          <w:bCs/>
        </w:rPr>
        <w:t xml:space="preserve">for selection of its </w:t>
      </w:r>
      <w:r w:rsidR="005B4A63" w:rsidRPr="002815F4">
        <w:rPr>
          <w:rFonts w:ascii="Calibri" w:hAnsi="Calibri"/>
          <w:bCs/>
        </w:rPr>
        <w:t xml:space="preserve">MSG members, although there is evidence of </w:t>
      </w:r>
      <w:r w:rsidR="0088491F" w:rsidRPr="002815F4">
        <w:rPr>
          <w:rFonts w:ascii="Calibri" w:hAnsi="Calibri"/>
          <w:bCs/>
        </w:rPr>
        <w:t xml:space="preserve">the Chamber’s </w:t>
      </w:r>
      <w:r w:rsidR="005B4A63" w:rsidRPr="002815F4">
        <w:rPr>
          <w:rFonts w:ascii="Calibri" w:hAnsi="Calibri"/>
          <w:bCs/>
        </w:rPr>
        <w:t xml:space="preserve">outreach to companies that were not members, such as certain cement producers. </w:t>
      </w:r>
    </w:p>
    <w:p w14:paraId="2086C572" w14:textId="1E0F866A" w:rsidR="002929E0" w:rsidRPr="002815F4" w:rsidRDefault="002929E0" w:rsidP="00E956E1">
      <w:pPr>
        <w:rPr>
          <w:rFonts w:ascii="Calibri" w:hAnsi="Calibri"/>
        </w:rPr>
      </w:pPr>
      <w:r w:rsidRPr="002815F4">
        <w:rPr>
          <w:rFonts w:ascii="Calibri" w:hAnsi="Calibri"/>
          <w:i/>
        </w:rPr>
        <w:t xml:space="preserve">Government representation: </w:t>
      </w:r>
      <w:r w:rsidR="00AD6339" w:rsidRPr="002815F4">
        <w:rPr>
          <w:rFonts w:ascii="Calibri" w:hAnsi="Calibri"/>
          <w:bCs/>
        </w:rPr>
        <w:t xml:space="preserve">Article 3 of Decree 2013-881 lists members appointed to the MSG, including representatives from the Presidency, Ministries of Economy and Finance, of Infrastructure, of Mines, of Culture, of Agriculture, of Good Governance, of Environment, of Local Communities and of Industry, as well as two members of the National Assembly (parliament) </w:t>
      </w:r>
      <w:sdt>
        <w:sdtPr>
          <w:rPr>
            <w:rFonts w:ascii="Calibri" w:hAnsi="Calibri"/>
            <w:bCs/>
          </w:rPr>
          <w:id w:val="-821878775"/>
          <w:citation/>
        </w:sdtPr>
        <w:sdtEndPr/>
        <w:sdtContent>
          <w:r w:rsidR="00AD6339" w:rsidRPr="002815F4">
            <w:rPr>
              <w:rFonts w:ascii="Calibri" w:hAnsi="Calibri"/>
              <w:bCs/>
            </w:rPr>
            <w:fldChar w:fldCharType="begin"/>
          </w:r>
          <w:r w:rsidR="0014140A" w:rsidRPr="002815F4">
            <w:rPr>
              <w:rFonts w:ascii="Calibri" w:hAnsi="Calibri"/>
              <w:bCs/>
            </w:rPr>
            <w:instrText xml:space="preserve">CITATION Min13 \l 1033 </w:instrText>
          </w:r>
          <w:r w:rsidR="00AD6339" w:rsidRPr="002815F4">
            <w:rPr>
              <w:rFonts w:ascii="Calibri" w:hAnsi="Calibri"/>
              <w:bCs/>
            </w:rPr>
            <w:fldChar w:fldCharType="separate"/>
          </w:r>
          <w:r w:rsidR="003E626E" w:rsidRPr="002815F4">
            <w:rPr>
              <w:rFonts w:ascii="Calibri" w:hAnsi="Calibri"/>
              <w:noProof/>
            </w:rPr>
            <w:t>(Premier Ministre, 2013)</w:t>
          </w:r>
          <w:r w:rsidR="00AD6339" w:rsidRPr="002815F4">
            <w:rPr>
              <w:rFonts w:ascii="Calibri" w:hAnsi="Calibri"/>
              <w:bCs/>
            </w:rPr>
            <w:fldChar w:fldCharType="end"/>
          </w:r>
        </w:sdtContent>
      </w:sdt>
      <w:r w:rsidR="00AD6339" w:rsidRPr="002815F4">
        <w:rPr>
          <w:rFonts w:ascii="Calibri" w:hAnsi="Calibri"/>
          <w:bCs/>
        </w:rPr>
        <w:t>.</w:t>
      </w:r>
      <w:r w:rsidR="00004B06" w:rsidRPr="002815F4">
        <w:rPr>
          <w:rFonts w:ascii="Calibri" w:hAnsi="Calibri"/>
          <w:bCs/>
        </w:rPr>
        <w:t xml:space="preserve"> </w:t>
      </w:r>
    </w:p>
    <w:p w14:paraId="66FC7ED0" w14:textId="00592F73" w:rsidR="004C3665" w:rsidRPr="002815F4" w:rsidRDefault="002929E0" w:rsidP="002D1244">
      <w:pPr>
        <w:spacing w:before="120"/>
        <w:rPr>
          <w:rFonts w:ascii="Calibri" w:hAnsi="Calibri"/>
          <w:bCs/>
        </w:rPr>
      </w:pPr>
      <w:r w:rsidRPr="002815F4">
        <w:rPr>
          <w:rFonts w:ascii="Calibri" w:hAnsi="Calibri"/>
          <w:i/>
          <w:u w:val="single"/>
        </w:rPr>
        <w:t>Terms of reference</w:t>
      </w:r>
      <w:r w:rsidRPr="002815F4">
        <w:rPr>
          <w:rFonts w:ascii="Calibri" w:hAnsi="Calibri"/>
          <w:i/>
        </w:rPr>
        <w:t>:</w:t>
      </w:r>
      <w:r w:rsidR="00CA59D7" w:rsidRPr="002815F4">
        <w:rPr>
          <w:rFonts w:ascii="Calibri" w:hAnsi="Calibri"/>
        </w:rPr>
        <w:t xml:space="preserve"> </w:t>
      </w:r>
      <w:r w:rsidR="00004B06" w:rsidRPr="002815F4">
        <w:rPr>
          <w:rFonts w:ascii="Calibri" w:hAnsi="Calibri"/>
        </w:rPr>
        <w:t>The EITI Senegal MSG</w:t>
      </w:r>
      <w:r w:rsidR="001E2299" w:rsidRPr="002815F4">
        <w:rPr>
          <w:rFonts w:ascii="Calibri" w:hAnsi="Calibri"/>
        </w:rPr>
        <w:t>’s Internal Rules act as its ToR and</w:t>
      </w:r>
      <w:r w:rsidR="00004B06" w:rsidRPr="002815F4">
        <w:rPr>
          <w:rFonts w:ascii="Calibri" w:hAnsi="Calibri"/>
        </w:rPr>
        <w:t xml:space="preserve"> are clear and public, agreed drawing on </w:t>
      </w:r>
      <w:r w:rsidR="001E2299" w:rsidRPr="002815F4">
        <w:rPr>
          <w:rFonts w:ascii="Calibri" w:hAnsi="Calibri"/>
        </w:rPr>
        <w:t>extensive consultations</w:t>
      </w:r>
      <w:r w:rsidR="00874B96" w:rsidRPr="002815F4">
        <w:rPr>
          <w:rFonts w:ascii="Calibri" w:hAnsi="Calibri"/>
        </w:rPr>
        <w:t xml:space="preserve"> both on and off the MSG in 2013-14 </w:t>
      </w:r>
      <w:sdt>
        <w:sdtPr>
          <w:rPr>
            <w:rFonts w:ascii="Calibri" w:hAnsi="Calibri"/>
          </w:rPr>
          <w:id w:val="1993521599"/>
          <w:citation/>
        </w:sdtPr>
        <w:sdtEndPr/>
        <w:sdtContent>
          <w:r w:rsidR="00874B96" w:rsidRPr="002815F4">
            <w:rPr>
              <w:rFonts w:ascii="Calibri" w:hAnsi="Calibri"/>
            </w:rPr>
            <w:fldChar w:fldCharType="begin"/>
          </w:r>
          <w:r w:rsidR="00874B96" w:rsidRPr="002815F4">
            <w:rPr>
              <w:rFonts w:ascii="Calibri" w:hAnsi="Calibri"/>
            </w:rPr>
            <w:instrText xml:space="preserve"> CITATION ITI1417 \l 1033 </w:instrText>
          </w:r>
          <w:r w:rsidR="00874B96" w:rsidRPr="002815F4">
            <w:rPr>
              <w:rFonts w:ascii="Calibri" w:hAnsi="Calibri"/>
            </w:rPr>
            <w:fldChar w:fldCharType="separate"/>
          </w:r>
          <w:r w:rsidR="003E626E" w:rsidRPr="002815F4">
            <w:rPr>
              <w:rFonts w:ascii="Calibri" w:hAnsi="Calibri"/>
              <w:noProof/>
            </w:rPr>
            <w:t>(ITIE Senegal, 2014)</w:t>
          </w:r>
          <w:r w:rsidR="00874B96" w:rsidRPr="002815F4">
            <w:rPr>
              <w:rFonts w:ascii="Calibri" w:hAnsi="Calibri"/>
            </w:rPr>
            <w:fldChar w:fldCharType="end"/>
          </w:r>
        </w:sdtContent>
      </w:sdt>
      <w:r w:rsidR="00874B96" w:rsidRPr="002815F4">
        <w:rPr>
          <w:rFonts w:ascii="Calibri" w:hAnsi="Calibri"/>
        </w:rPr>
        <w:t xml:space="preserve">. While Article 1 of Decree 2013-881 establishes the CN-ITIE within the Office of the President of the Republic, it is not autonomous as a distinct legal entity </w:t>
      </w:r>
      <w:sdt>
        <w:sdtPr>
          <w:rPr>
            <w:rFonts w:ascii="Calibri" w:hAnsi="Calibri"/>
          </w:rPr>
          <w:id w:val="-894123022"/>
          <w:citation/>
        </w:sdtPr>
        <w:sdtEndPr/>
        <w:sdtContent>
          <w:r w:rsidR="00874B96" w:rsidRPr="002815F4">
            <w:rPr>
              <w:rFonts w:ascii="Calibri" w:hAnsi="Calibri"/>
            </w:rPr>
            <w:fldChar w:fldCharType="begin"/>
          </w:r>
          <w:r w:rsidR="00874B96" w:rsidRPr="002815F4">
            <w:rPr>
              <w:rFonts w:ascii="Calibri" w:hAnsi="Calibri"/>
            </w:rPr>
            <w:instrText xml:space="preserve">CITATION Min13 \l 1033 </w:instrText>
          </w:r>
          <w:r w:rsidR="00874B96" w:rsidRPr="002815F4">
            <w:rPr>
              <w:rFonts w:ascii="Calibri" w:hAnsi="Calibri"/>
            </w:rPr>
            <w:fldChar w:fldCharType="separate"/>
          </w:r>
          <w:r w:rsidR="003E626E" w:rsidRPr="002815F4">
            <w:rPr>
              <w:rFonts w:ascii="Calibri" w:hAnsi="Calibri"/>
              <w:noProof/>
            </w:rPr>
            <w:t>(Premier Ministre, 2013)</w:t>
          </w:r>
          <w:r w:rsidR="00874B96" w:rsidRPr="002815F4">
            <w:rPr>
              <w:rFonts w:ascii="Calibri" w:hAnsi="Calibri"/>
            </w:rPr>
            <w:fldChar w:fldCharType="end"/>
          </w:r>
        </w:sdtContent>
      </w:sdt>
      <w:r w:rsidR="00874B96" w:rsidRPr="002815F4">
        <w:rPr>
          <w:rFonts w:ascii="Calibri" w:hAnsi="Calibri"/>
        </w:rPr>
        <w:t xml:space="preserve">. </w:t>
      </w:r>
      <w:r w:rsidR="00874B96" w:rsidRPr="002815F4">
        <w:t>The MSG’s Internal Rules define EITI Senegal’s objectives in line with national priorities and, together with the Decree, delineates the MSG’s responsibilities in line with Requirement 1.4.b.iv.</w:t>
      </w:r>
      <w:r w:rsidR="00874B96" w:rsidRPr="002815F4">
        <w:rPr>
          <w:rFonts w:ascii="Calibri" w:hAnsi="Calibri"/>
        </w:rPr>
        <w:t xml:space="preserve"> </w:t>
      </w:r>
    </w:p>
    <w:p w14:paraId="3216A35A" w14:textId="6FD68834" w:rsidR="00AD422F" w:rsidRPr="002815F4" w:rsidRDefault="002929E0" w:rsidP="00E956E1">
      <w:pPr>
        <w:spacing w:before="120"/>
        <w:rPr>
          <w:rFonts w:ascii="Calibri" w:hAnsi="Calibri"/>
          <w:bCs/>
        </w:rPr>
      </w:pPr>
      <w:r w:rsidRPr="002815F4">
        <w:rPr>
          <w:rFonts w:ascii="Calibri" w:hAnsi="Calibri"/>
          <w:i/>
        </w:rPr>
        <w:t>Internal governance and procedures:</w:t>
      </w:r>
      <w:r w:rsidR="00A36151" w:rsidRPr="002815F4">
        <w:rPr>
          <w:rFonts w:ascii="Calibri" w:hAnsi="Calibri"/>
          <w:bCs/>
        </w:rPr>
        <w:t xml:space="preserve"> </w:t>
      </w:r>
      <w:r w:rsidR="00AD422F" w:rsidRPr="002815F4">
        <w:rPr>
          <w:rFonts w:ascii="Calibri" w:hAnsi="Calibri"/>
          <w:bCs/>
        </w:rPr>
        <w:t>The MSG’s Internal Rules (Article 10) and Decree 2013-881 (Article 5) state that stakeholders are treated as partners and decisions are taken by consensus, with decision by simple majority voting in cases of no consensus</w:t>
      </w:r>
      <w:sdt>
        <w:sdtPr>
          <w:rPr>
            <w:rFonts w:ascii="Calibri" w:hAnsi="Calibri"/>
            <w:bCs/>
          </w:rPr>
          <w:id w:val="-596641690"/>
          <w:citation/>
        </w:sdtPr>
        <w:sdtEndPr/>
        <w:sdtContent>
          <w:r w:rsidR="00AD422F" w:rsidRPr="002815F4">
            <w:rPr>
              <w:rFonts w:ascii="Calibri" w:hAnsi="Calibri"/>
              <w:bCs/>
            </w:rPr>
            <w:fldChar w:fldCharType="begin"/>
          </w:r>
          <w:r w:rsidR="00AD422F" w:rsidRPr="002815F4">
            <w:rPr>
              <w:rFonts w:ascii="Calibri" w:hAnsi="Calibri"/>
              <w:bCs/>
            </w:rPr>
            <w:instrText xml:space="preserve">CITATION Min13 \l 1033 </w:instrText>
          </w:r>
          <w:r w:rsidR="00AD422F" w:rsidRPr="002815F4">
            <w:rPr>
              <w:rFonts w:ascii="Calibri" w:hAnsi="Calibri"/>
              <w:bCs/>
            </w:rPr>
            <w:fldChar w:fldCharType="separate"/>
          </w:r>
          <w:r w:rsidR="003E626E" w:rsidRPr="002815F4">
            <w:rPr>
              <w:rFonts w:ascii="Calibri" w:hAnsi="Calibri"/>
              <w:bCs/>
              <w:noProof/>
            </w:rPr>
            <w:t xml:space="preserve"> </w:t>
          </w:r>
          <w:r w:rsidR="003E626E" w:rsidRPr="002815F4">
            <w:rPr>
              <w:rFonts w:ascii="Calibri" w:hAnsi="Calibri"/>
              <w:noProof/>
            </w:rPr>
            <w:t>(Premier Ministre, 2013)</w:t>
          </w:r>
          <w:r w:rsidR="00AD422F" w:rsidRPr="002815F4">
            <w:rPr>
              <w:rFonts w:ascii="Calibri" w:hAnsi="Calibri"/>
              <w:bCs/>
            </w:rPr>
            <w:fldChar w:fldCharType="end"/>
          </w:r>
        </w:sdtContent>
      </w:sdt>
      <w:r w:rsidR="00AD422F" w:rsidRPr="002815F4">
        <w:rPr>
          <w:rFonts w:ascii="Calibri" w:hAnsi="Calibri"/>
          <w:bCs/>
        </w:rPr>
        <w:t xml:space="preserve"> </w:t>
      </w:r>
      <w:sdt>
        <w:sdtPr>
          <w:rPr>
            <w:rFonts w:ascii="Calibri" w:hAnsi="Calibri"/>
            <w:bCs/>
          </w:rPr>
          <w:id w:val="889611875"/>
          <w:citation/>
        </w:sdtPr>
        <w:sdtEndPr/>
        <w:sdtContent>
          <w:r w:rsidR="00AD422F" w:rsidRPr="002815F4">
            <w:rPr>
              <w:rFonts w:ascii="Calibri" w:hAnsi="Calibri"/>
              <w:bCs/>
            </w:rPr>
            <w:fldChar w:fldCharType="begin"/>
          </w:r>
          <w:r w:rsidR="00AD422F" w:rsidRPr="002815F4">
            <w:rPr>
              <w:rFonts w:ascii="Calibri" w:hAnsi="Calibri"/>
              <w:bCs/>
            </w:rPr>
            <w:instrText xml:space="preserve"> CITATION ITI1417 \l 1033 </w:instrText>
          </w:r>
          <w:r w:rsidR="00AD422F" w:rsidRPr="002815F4">
            <w:rPr>
              <w:rFonts w:ascii="Calibri" w:hAnsi="Calibri"/>
              <w:bCs/>
            </w:rPr>
            <w:fldChar w:fldCharType="separate"/>
          </w:r>
          <w:r w:rsidR="003E626E" w:rsidRPr="002815F4">
            <w:rPr>
              <w:rFonts w:ascii="Calibri" w:hAnsi="Calibri"/>
              <w:noProof/>
            </w:rPr>
            <w:t>(ITIE Senegal, 2014)</w:t>
          </w:r>
          <w:r w:rsidR="00AD422F" w:rsidRPr="002815F4">
            <w:rPr>
              <w:rFonts w:ascii="Calibri" w:hAnsi="Calibri"/>
              <w:bCs/>
            </w:rPr>
            <w:fldChar w:fldCharType="end"/>
          </w:r>
        </w:sdtContent>
      </w:sdt>
      <w:r w:rsidR="00AD422F" w:rsidRPr="002815F4">
        <w:rPr>
          <w:rFonts w:ascii="Calibri" w:hAnsi="Calibri"/>
          <w:bCs/>
        </w:rPr>
        <w:t xml:space="preserve">. </w:t>
      </w:r>
      <w:r w:rsidR="001567EB" w:rsidRPr="002815F4">
        <w:rPr>
          <w:rFonts w:ascii="Calibri" w:hAnsi="Calibri"/>
          <w:bCs/>
        </w:rPr>
        <w:t xml:space="preserve">There are slight discrepancies in the rules for quorum </w:t>
      </w:r>
      <w:r w:rsidR="00AD422F" w:rsidRPr="002815F4">
        <w:rPr>
          <w:rFonts w:ascii="Calibri" w:hAnsi="Calibri"/>
          <w:bCs/>
        </w:rPr>
        <w:t>between Decree 2013-881 and the MSG’s Internal Rules</w:t>
      </w:r>
      <w:r w:rsidR="001567EB" w:rsidRPr="002815F4">
        <w:rPr>
          <w:rFonts w:ascii="Calibri" w:hAnsi="Calibri"/>
          <w:bCs/>
        </w:rPr>
        <w:t xml:space="preserve">. </w:t>
      </w:r>
      <w:r w:rsidR="00057204" w:rsidRPr="002815F4">
        <w:rPr>
          <w:rFonts w:ascii="Calibri" w:hAnsi="Calibri"/>
          <w:bCs/>
        </w:rPr>
        <w:t xml:space="preserve">While </w:t>
      </w:r>
      <w:r w:rsidR="00AD422F" w:rsidRPr="002815F4">
        <w:rPr>
          <w:rFonts w:ascii="Calibri" w:hAnsi="Calibri"/>
          <w:bCs/>
        </w:rPr>
        <w:t xml:space="preserve">the </w:t>
      </w:r>
      <w:r w:rsidR="00A36151" w:rsidRPr="002815F4">
        <w:rPr>
          <w:rFonts w:ascii="Calibri" w:hAnsi="Calibri"/>
          <w:bCs/>
        </w:rPr>
        <w:t xml:space="preserve">Decree </w:t>
      </w:r>
      <w:r w:rsidR="00AD422F" w:rsidRPr="002815F4">
        <w:rPr>
          <w:rFonts w:ascii="Calibri" w:hAnsi="Calibri"/>
          <w:bCs/>
        </w:rPr>
        <w:t xml:space="preserve">(Article 4) </w:t>
      </w:r>
      <w:r w:rsidR="001567EB" w:rsidRPr="002815F4">
        <w:rPr>
          <w:rFonts w:ascii="Calibri" w:hAnsi="Calibri"/>
          <w:bCs/>
        </w:rPr>
        <w:t xml:space="preserve">defines </w:t>
      </w:r>
      <w:r w:rsidR="00A36151" w:rsidRPr="002815F4">
        <w:rPr>
          <w:rFonts w:ascii="Calibri" w:hAnsi="Calibri"/>
          <w:bCs/>
        </w:rPr>
        <w:t>quorum</w:t>
      </w:r>
      <w:r w:rsidR="00057204" w:rsidRPr="002815F4">
        <w:rPr>
          <w:rFonts w:ascii="Calibri" w:hAnsi="Calibri"/>
          <w:bCs/>
        </w:rPr>
        <w:t xml:space="preserve"> as </w:t>
      </w:r>
      <w:r w:rsidR="00AD422F" w:rsidRPr="002815F4">
        <w:rPr>
          <w:rFonts w:ascii="Calibri" w:hAnsi="Calibri"/>
          <w:bCs/>
        </w:rPr>
        <w:t xml:space="preserve">the presence of </w:t>
      </w:r>
      <w:r w:rsidR="00057204" w:rsidRPr="002815F4">
        <w:rPr>
          <w:rFonts w:ascii="Calibri" w:hAnsi="Calibri"/>
          <w:bCs/>
        </w:rPr>
        <w:t xml:space="preserve">a simple majority of MSG members </w:t>
      </w:r>
      <w:sdt>
        <w:sdtPr>
          <w:rPr>
            <w:rFonts w:ascii="Calibri" w:hAnsi="Calibri"/>
            <w:bCs/>
          </w:rPr>
          <w:id w:val="-2035491051"/>
          <w:citation/>
        </w:sdtPr>
        <w:sdtEndPr/>
        <w:sdtContent>
          <w:r w:rsidR="00057204" w:rsidRPr="002815F4">
            <w:rPr>
              <w:rFonts w:ascii="Calibri" w:hAnsi="Calibri"/>
              <w:bCs/>
            </w:rPr>
            <w:fldChar w:fldCharType="begin"/>
          </w:r>
          <w:r w:rsidR="0014140A" w:rsidRPr="002815F4">
            <w:rPr>
              <w:rFonts w:ascii="Calibri" w:hAnsi="Calibri"/>
              <w:bCs/>
            </w:rPr>
            <w:instrText xml:space="preserve">CITATION Min13 \l 1033 </w:instrText>
          </w:r>
          <w:r w:rsidR="00057204" w:rsidRPr="002815F4">
            <w:rPr>
              <w:rFonts w:ascii="Calibri" w:hAnsi="Calibri"/>
              <w:bCs/>
            </w:rPr>
            <w:fldChar w:fldCharType="separate"/>
          </w:r>
          <w:r w:rsidR="003E626E" w:rsidRPr="002815F4">
            <w:rPr>
              <w:rFonts w:ascii="Calibri" w:hAnsi="Calibri"/>
              <w:noProof/>
            </w:rPr>
            <w:t>(Premier Ministre, 2013)</w:t>
          </w:r>
          <w:r w:rsidR="00057204" w:rsidRPr="002815F4">
            <w:rPr>
              <w:rFonts w:ascii="Calibri" w:hAnsi="Calibri"/>
              <w:bCs/>
            </w:rPr>
            <w:fldChar w:fldCharType="end"/>
          </w:r>
        </w:sdtContent>
      </w:sdt>
      <w:r w:rsidR="001567EB" w:rsidRPr="002815F4">
        <w:rPr>
          <w:rFonts w:ascii="Calibri" w:hAnsi="Calibri"/>
          <w:bCs/>
        </w:rPr>
        <w:t xml:space="preserve">, the Internal Rules </w:t>
      </w:r>
      <w:r w:rsidR="00AD422F" w:rsidRPr="002815F4">
        <w:rPr>
          <w:rFonts w:ascii="Calibri" w:hAnsi="Calibri"/>
          <w:bCs/>
        </w:rPr>
        <w:t xml:space="preserve">(Article 11) define </w:t>
      </w:r>
      <w:r w:rsidR="001567EB" w:rsidRPr="002815F4">
        <w:rPr>
          <w:rFonts w:ascii="Calibri" w:hAnsi="Calibri"/>
          <w:bCs/>
        </w:rPr>
        <w:t xml:space="preserve">quorum </w:t>
      </w:r>
      <w:r w:rsidR="00AD422F" w:rsidRPr="002815F4">
        <w:rPr>
          <w:rFonts w:ascii="Calibri" w:hAnsi="Calibri"/>
          <w:bCs/>
        </w:rPr>
        <w:t xml:space="preserve">as the presence of </w:t>
      </w:r>
      <w:r w:rsidR="001567EB" w:rsidRPr="002815F4">
        <w:rPr>
          <w:rFonts w:ascii="Calibri" w:hAnsi="Calibri"/>
          <w:bCs/>
        </w:rPr>
        <w:t xml:space="preserve">half of </w:t>
      </w:r>
      <w:r w:rsidR="00AD422F" w:rsidRPr="002815F4">
        <w:rPr>
          <w:rFonts w:ascii="Calibri" w:hAnsi="Calibri"/>
          <w:bCs/>
        </w:rPr>
        <w:t xml:space="preserve">each constituency’s </w:t>
      </w:r>
      <w:r w:rsidR="001567EB" w:rsidRPr="002815F4">
        <w:rPr>
          <w:rFonts w:ascii="Calibri" w:hAnsi="Calibri"/>
          <w:bCs/>
        </w:rPr>
        <w:t xml:space="preserve">members </w:t>
      </w:r>
      <w:sdt>
        <w:sdtPr>
          <w:rPr>
            <w:rFonts w:ascii="Calibri" w:hAnsi="Calibri"/>
            <w:bCs/>
          </w:rPr>
          <w:id w:val="63761776"/>
          <w:citation/>
        </w:sdtPr>
        <w:sdtEndPr/>
        <w:sdtContent>
          <w:r w:rsidR="001567EB" w:rsidRPr="002815F4">
            <w:rPr>
              <w:rFonts w:ascii="Calibri" w:hAnsi="Calibri"/>
              <w:bCs/>
            </w:rPr>
            <w:fldChar w:fldCharType="begin"/>
          </w:r>
          <w:r w:rsidR="001567EB" w:rsidRPr="002815F4">
            <w:rPr>
              <w:rFonts w:ascii="Calibri" w:hAnsi="Calibri"/>
              <w:bCs/>
            </w:rPr>
            <w:instrText xml:space="preserve"> CITATION ITI1417 \l 1033 </w:instrText>
          </w:r>
          <w:r w:rsidR="001567EB" w:rsidRPr="002815F4">
            <w:rPr>
              <w:rFonts w:ascii="Calibri" w:hAnsi="Calibri"/>
              <w:bCs/>
            </w:rPr>
            <w:fldChar w:fldCharType="separate"/>
          </w:r>
          <w:r w:rsidR="003E626E" w:rsidRPr="002815F4">
            <w:rPr>
              <w:rFonts w:ascii="Calibri" w:hAnsi="Calibri"/>
              <w:noProof/>
            </w:rPr>
            <w:t>(ITIE Senegal, 2014)</w:t>
          </w:r>
          <w:r w:rsidR="001567EB" w:rsidRPr="002815F4">
            <w:rPr>
              <w:rFonts w:ascii="Calibri" w:hAnsi="Calibri"/>
              <w:bCs/>
            </w:rPr>
            <w:fldChar w:fldCharType="end"/>
          </w:r>
        </w:sdtContent>
      </w:sdt>
      <w:r w:rsidR="001567EB" w:rsidRPr="002815F4">
        <w:rPr>
          <w:rFonts w:ascii="Calibri" w:hAnsi="Calibri"/>
          <w:bCs/>
        </w:rPr>
        <w:t xml:space="preserve">. </w:t>
      </w:r>
      <w:r w:rsidR="00AD422F" w:rsidRPr="002815F4">
        <w:rPr>
          <w:rFonts w:ascii="Calibri" w:hAnsi="Calibri"/>
          <w:bCs/>
        </w:rPr>
        <w:t>T</w:t>
      </w:r>
      <w:r w:rsidR="001567EB" w:rsidRPr="002815F4">
        <w:rPr>
          <w:rFonts w:ascii="Calibri" w:hAnsi="Calibri"/>
          <w:bCs/>
        </w:rPr>
        <w:t xml:space="preserve">he Decree’s </w:t>
      </w:r>
      <w:r w:rsidR="00A36151" w:rsidRPr="002815F4">
        <w:rPr>
          <w:rFonts w:ascii="Calibri" w:hAnsi="Calibri"/>
          <w:bCs/>
        </w:rPr>
        <w:t xml:space="preserve">Article 8 </w:t>
      </w:r>
      <w:r w:rsidR="00E27DE2" w:rsidRPr="002815F4">
        <w:rPr>
          <w:rFonts w:ascii="Calibri" w:hAnsi="Calibri"/>
          <w:bCs/>
        </w:rPr>
        <w:t xml:space="preserve">empowers </w:t>
      </w:r>
      <w:r w:rsidR="00A36151" w:rsidRPr="002815F4">
        <w:rPr>
          <w:rFonts w:ascii="Calibri" w:hAnsi="Calibri"/>
          <w:bCs/>
        </w:rPr>
        <w:t xml:space="preserve">the MSG to adopt additional procedural rules </w:t>
      </w:r>
      <w:sdt>
        <w:sdtPr>
          <w:rPr>
            <w:rFonts w:ascii="Calibri" w:hAnsi="Calibri"/>
            <w:bCs/>
          </w:rPr>
          <w:id w:val="-15770053"/>
          <w:citation/>
        </w:sdtPr>
        <w:sdtEndPr/>
        <w:sdtContent>
          <w:r w:rsidR="00A36151" w:rsidRPr="002815F4">
            <w:rPr>
              <w:rFonts w:ascii="Calibri" w:hAnsi="Calibri"/>
              <w:bCs/>
            </w:rPr>
            <w:fldChar w:fldCharType="begin"/>
          </w:r>
          <w:r w:rsidR="0014140A" w:rsidRPr="002815F4">
            <w:rPr>
              <w:rFonts w:ascii="Calibri" w:hAnsi="Calibri"/>
              <w:bCs/>
            </w:rPr>
            <w:instrText xml:space="preserve">CITATION Min13 \l 1033 </w:instrText>
          </w:r>
          <w:r w:rsidR="00A36151" w:rsidRPr="002815F4">
            <w:rPr>
              <w:rFonts w:ascii="Calibri" w:hAnsi="Calibri"/>
              <w:bCs/>
            </w:rPr>
            <w:fldChar w:fldCharType="separate"/>
          </w:r>
          <w:r w:rsidR="003E626E" w:rsidRPr="002815F4">
            <w:rPr>
              <w:rFonts w:ascii="Calibri" w:hAnsi="Calibri"/>
              <w:noProof/>
            </w:rPr>
            <w:t>(Premier Ministre, 2013)</w:t>
          </w:r>
          <w:r w:rsidR="00A36151" w:rsidRPr="002815F4">
            <w:rPr>
              <w:rFonts w:ascii="Calibri" w:hAnsi="Calibri"/>
              <w:bCs/>
            </w:rPr>
            <w:fldChar w:fldCharType="end"/>
          </w:r>
        </w:sdtContent>
      </w:sdt>
      <w:r w:rsidR="00A36151" w:rsidRPr="002815F4">
        <w:rPr>
          <w:rFonts w:ascii="Calibri" w:hAnsi="Calibri"/>
          <w:bCs/>
        </w:rPr>
        <w:t xml:space="preserve">. </w:t>
      </w:r>
      <w:r w:rsidR="00AD422F" w:rsidRPr="002815F4">
        <w:rPr>
          <w:rFonts w:ascii="Calibri" w:hAnsi="Calibri"/>
          <w:bCs/>
        </w:rPr>
        <w:t>However, EITI Senegal’s governance documents do not provide for conflicts of interest or rules for their treatment of confidential information.</w:t>
      </w:r>
    </w:p>
    <w:p w14:paraId="06BB90D9" w14:textId="0E7E38AF" w:rsidR="004C3665" w:rsidRPr="002815F4" w:rsidRDefault="00AD422F" w:rsidP="001D2A50">
      <w:pPr>
        <w:spacing w:before="120"/>
        <w:rPr>
          <w:rFonts w:ascii="Calibri" w:hAnsi="Calibri"/>
        </w:rPr>
      </w:pPr>
      <w:r w:rsidRPr="002815F4">
        <w:rPr>
          <w:rFonts w:ascii="Calibri" w:hAnsi="Calibri"/>
          <w:bCs/>
        </w:rPr>
        <w:t>The rules for meeting logistics are clearly defined. T</w:t>
      </w:r>
      <w:r w:rsidR="001F3C8B" w:rsidRPr="002815F4">
        <w:rPr>
          <w:rFonts w:ascii="Calibri" w:hAnsi="Calibri"/>
          <w:bCs/>
        </w:rPr>
        <w:t xml:space="preserve">he Internal Rules </w:t>
      </w:r>
      <w:r w:rsidRPr="002815F4">
        <w:rPr>
          <w:rFonts w:ascii="Calibri" w:hAnsi="Calibri"/>
          <w:bCs/>
        </w:rPr>
        <w:t xml:space="preserve">(Article 9) allow </w:t>
      </w:r>
      <w:r w:rsidR="001F3C8B" w:rsidRPr="002815F4">
        <w:rPr>
          <w:rFonts w:ascii="Calibri" w:hAnsi="Calibri"/>
          <w:bCs/>
        </w:rPr>
        <w:t xml:space="preserve">for any MSG </w:t>
      </w:r>
      <w:r w:rsidR="001F3C8B" w:rsidRPr="002815F4">
        <w:rPr>
          <w:rFonts w:ascii="Calibri" w:hAnsi="Calibri"/>
          <w:bCs/>
        </w:rPr>
        <w:lastRenderedPageBreak/>
        <w:t xml:space="preserve">member to call a meeting and table issues for discussion </w:t>
      </w:r>
      <w:sdt>
        <w:sdtPr>
          <w:rPr>
            <w:rFonts w:ascii="Calibri" w:hAnsi="Calibri"/>
            <w:bCs/>
          </w:rPr>
          <w:id w:val="1214854540"/>
          <w:citation/>
        </w:sdtPr>
        <w:sdtEndPr/>
        <w:sdtContent>
          <w:r w:rsidR="001F3C8B" w:rsidRPr="002815F4">
            <w:rPr>
              <w:rFonts w:ascii="Calibri" w:hAnsi="Calibri"/>
              <w:bCs/>
            </w:rPr>
            <w:fldChar w:fldCharType="begin"/>
          </w:r>
          <w:r w:rsidR="001F3C8B" w:rsidRPr="002815F4">
            <w:rPr>
              <w:rFonts w:ascii="Calibri" w:hAnsi="Calibri"/>
              <w:bCs/>
            </w:rPr>
            <w:instrText xml:space="preserve"> CITATION ITI1417 \l 1033 </w:instrText>
          </w:r>
          <w:r w:rsidR="001F3C8B" w:rsidRPr="002815F4">
            <w:rPr>
              <w:rFonts w:ascii="Calibri" w:hAnsi="Calibri"/>
              <w:bCs/>
            </w:rPr>
            <w:fldChar w:fldCharType="separate"/>
          </w:r>
          <w:r w:rsidR="003E626E" w:rsidRPr="002815F4">
            <w:rPr>
              <w:rFonts w:ascii="Calibri" w:hAnsi="Calibri"/>
              <w:noProof/>
            </w:rPr>
            <w:t>(ITIE Senegal, 2014)</w:t>
          </w:r>
          <w:r w:rsidR="001F3C8B" w:rsidRPr="002815F4">
            <w:rPr>
              <w:rFonts w:ascii="Calibri" w:hAnsi="Calibri"/>
              <w:bCs/>
            </w:rPr>
            <w:fldChar w:fldCharType="end"/>
          </w:r>
        </w:sdtContent>
      </w:sdt>
      <w:r w:rsidR="001F3C8B" w:rsidRPr="002815F4">
        <w:rPr>
          <w:rFonts w:ascii="Calibri" w:hAnsi="Calibri"/>
          <w:bCs/>
        </w:rPr>
        <w:t xml:space="preserve">. </w:t>
      </w:r>
      <w:r w:rsidRPr="002815F4">
        <w:rPr>
          <w:rFonts w:ascii="Calibri" w:hAnsi="Calibri"/>
          <w:bCs/>
        </w:rPr>
        <w:t xml:space="preserve">The </w:t>
      </w:r>
      <w:r w:rsidR="002A0639" w:rsidRPr="002815F4">
        <w:rPr>
          <w:rFonts w:ascii="Calibri" w:hAnsi="Calibri"/>
          <w:bCs/>
        </w:rPr>
        <w:t xml:space="preserve">Decree </w:t>
      </w:r>
      <w:r w:rsidRPr="002815F4">
        <w:rPr>
          <w:rFonts w:ascii="Calibri" w:hAnsi="Calibri"/>
          <w:bCs/>
        </w:rPr>
        <w:t xml:space="preserve">(Article 4) </w:t>
      </w:r>
      <w:r w:rsidR="002A0639" w:rsidRPr="002815F4">
        <w:rPr>
          <w:rFonts w:ascii="Calibri" w:hAnsi="Calibri"/>
          <w:bCs/>
        </w:rPr>
        <w:t xml:space="preserve">and </w:t>
      </w:r>
      <w:r w:rsidRPr="002815F4">
        <w:rPr>
          <w:rFonts w:ascii="Calibri" w:hAnsi="Calibri"/>
          <w:bCs/>
        </w:rPr>
        <w:t>r</w:t>
      </w:r>
      <w:r w:rsidR="002A0639" w:rsidRPr="002815F4">
        <w:rPr>
          <w:rFonts w:ascii="Calibri" w:hAnsi="Calibri"/>
          <w:bCs/>
        </w:rPr>
        <w:t xml:space="preserve">ules </w:t>
      </w:r>
      <w:r w:rsidRPr="002815F4">
        <w:rPr>
          <w:rFonts w:ascii="Calibri" w:hAnsi="Calibri"/>
          <w:bCs/>
        </w:rPr>
        <w:t xml:space="preserve">(Article 9) </w:t>
      </w:r>
      <w:r w:rsidR="002A0639" w:rsidRPr="002815F4">
        <w:rPr>
          <w:rFonts w:ascii="Calibri" w:hAnsi="Calibri"/>
          <w:bCs/>
        </w:rPr>
        <w:t xml:space="preserve">require the MSG to meet at least quarterly (every three months), or </w:t>
      </w:r>
      <w:r w:rsidR="008E4176" w:rsidRPr="002815F4">
        <w:rPr>
          <w:rFonts w:ascii="Calibri" w:hAnsi="Calibri"/>
          <w:bCs/>
        </w:rPr>
        <w:t>at</w:t>
      </w:r>
      <w:r w:rsidR="002A0639" w:rsidRPr="002815F4">
        <w:rPr>
          <w:rFonts w:ascii="Calibri" w:hAnsi="Calibri"/>
          <w:bCs/>
        </w:rPr>
        <w:t xml:space="preserve"> special meetings upon request. </w:t>
      </w:r>
      <w:r w:rsidR="008E4176" w:rsidRPr="002815F4">
        <w:rPr>
          <w:rFonts w:ascii="Calibri" w:hAnsi="Calibri"/>
          <w:bCs/>
        </w:rPr>
        <w:t>T</w:t>
      </w:r>
      <w:r w:rsidR="002A0639" w:rsidRPr="002815F4">
        <w:rPr>
          <w:rFonts w:ascii="Calibri" w:hAnsi="Calibri"/>
          <w:bCs/>
        </w:rPr>
        <w:t xml:space="preserve">he rules </w:t>
      </w:r>
      <w:r w:rsidR="008E4176" w:rsidRPr="002815F4">
        <w:rPr>
          <w:rFonts w:ascii="Calibri" w:hAnsi="Calibri"/>
          <w:bCs/>
        </w:rPr>
        <w:t xml:space="preserve">(Article 9) </w:t>
      </w:r>
      <w:r w:rsidR="002A0639" w:rsidRPr="002815F4">
        <w:rPr>
          <w:rFonts w:ascii="Calibri" w:hAnsi="Calibri"/>
          <w:bCs/>
        </w:rPr>
        <w:t xml:space="preserve">also require at least five days’ advance notice of MSG meetings and circulation of supporting documents. </w:t>
      </w:r>
      <w:r w:rsidR="008E4176" w:rsidRPr="002815F4">
        <w:rPr>
          <w:rFonts w:ascii="Calibri" w:hAnsi="Calibri"/>
          <w:bCs/>
        </w:rPr>
        <w:t xml:space="preserve">While </w:t>
      </w:r>
      <w:r w:rsidR="00E27DE2" w:rsidRPr="002815F4">
        <w:rPr>
          <w:rFonts w:ascii="Calibri" w:hAnsi="Calibri"/>
          <w:bCs/>
        </w:rPr>
        <w:t xml:space="preserve">observers </w:t>
      </w:r>
      <w:r w:rsidR="008E4176" w:rsidRPr="002815F4">
        <w:rPr>
          <w:rFonts w:ascii="Calibri" w:hAnsi="Calibri"/>
          <w:bCs/>
        </w:rPr>
        <w:t xml:space="preserve">are allowed at </w:t>
      </w:r>
      <w:r w:rsidR="00E27DE2" w:rsidRPr="002815F4">
        <w:rPr>
          <w:rFonts w:ascii="Calibri" w:hAnsi="Calibri"/>
          <w:bCs/>
        </w:rPr>
        <w:t>MSG meetings</w:t>
      </w:r>
      <w:r w:rsidR="008E4176" w:rsidRPr="002815F4">
        <w:rPr>
          <w:rFonts w:ascii="Calibri" w:hAnsi="Calibri"/>
          <w:bCs/>
        </w:rPr>
        <w:t xml:space="preserve"> under the Internal Rules (Article 12), </w:t>
      </w:r>
      <w:r w:rsidR="000974B6" w:rsidRPr="002815F4">
        <w:rPr>
          <w:rFonts w:ascii="Calibri" w:hAnsi="Calibri"/>
          <w:bCs/>
        </w:rPr>
        <w:t xml:space="preserve">their views are not taken into account in voting, </w:t>
      </w:r>
      <w:r w:rsidR="008E4176" w:rsidRPr="002815F4">
        <w:rPr>
          <w:rFonts w:ascii="Calibri" w:hAnsi="Calibri"/>
          <w:bCs/>
        </w:rPr>
        <w:t xml:space="preserve">and </w:t>
      </w:r>
      <w:r w:rsidR="000974B6" w:rsidRPr="002815F4">
        <w:rPr>
          <w:rFonts w:ascii="Calibri" w:hAnsi="Calibri"/>
          <w:bCs/>
        </w:rPr>
        <w:t xml:space="preserve">the MSG </w:t>
      </w:r>
      <w:r w:rsidR="008E4176" w:rsidRPr="002815F4">
        <w:rPr>
          <w:rFonts w:ascii="Calibri" w:hAnsi="Calibri"/>
          <w:bCs/>
        </w:rPr>
        <w:t xml:space="preserve">is allowed </w:t>
      </w:r>
      <w:r w:rsidR="000974B6" w:rsidRPr="002815F4">
        <w:rPr>
          <w:rFonts w:ascii="Calibri" w:hAnsi="Calibri"/>
          <w:bCs/>
        </w:rPr>
        <w:t xml:space="preserve">to hold closed-door, private, sessions </w:t>
      </w:r>
      <w:r w:rsidR="008E4176" w:rsidRPr="002815F4">
        <w:rPr>
          <w:rFonts w:ascii="Calibri" w:hAnsi="Calibri"/>
          <w:bCs/>
        </w:rPr>
        <w:t xml:space="preserve">under the rules (Article 11) </w:t>
      </w:r>
      <w:sdt>
        <w:sdtPr>
          <w:rPr>
            <w:rFonts w:ascii="Calibri" w:hAnsi="Calibri"/>
            <w:bCs/>
          </w:rPr>
          <w:id w:val="-547450125"/>
          <w:citation/>
        </w:sdtPr>
        <w:sdtEndPr/>
        <w:sdtContent>
          <w:r w:rsidR="000974B6" w:rsidRPr="002815F4">
            <w:rPr>
              <w:rFonts w:ascii="Calibri" w:hAnsi="Calibri"/>
              <w:bCs/>
            </w:rPr>
            <w:fldChar w:fldCharType="begin"/>
          </w:r>
          <w:r w:rsidR="000974B6" w:rsidRPr="002815F4">
            <w:rPr>
              <w:rFonts w:ascii="Calibri" w:hAnsi="Calibri"/>
              <w:bCs/>
            </w:rPr>
            <w:instrText xml:space="preserve"> CITATION ITI1417 \l 1033 </w:instrText>
          </w:r>
          <w:r w:rsidR="000974B6" w:rsidRPr="002815F4">
            <w:rPr>
              <w:rFonts w:ascii="Calibri" w:hAnsi="Calibri"/>
              <w:bCs/>
            </w:rPr>
            <w:fldChar w:fldCharType="separate"/>
          </w:r>
          <w:r w:rsidR="003E626E" w:rsidRPr="002815F4">
            <w:rPr>
              <w:rFonts w:ascii="Calibri" w:hAnsi="Calibri"/>
              <w:noProof/>
            </w:rPr>
            <w:t>(ITIE Senegal, 2014)</w:t>
          </w:r>
          <w:r w:rsidR="000974B6" w:rsidRPr="002815F4">
            <w:rPr>
              <w:rFonts w:ascii="Calibri" w:hAnsi="Calibri"/>
              <w:bCs/>
            </w:rPr>
            <w:fldChar w:fldCharType="end"/>
          </w:r>
        </w:sdtContent>
      </w:sdt>
      <w:r w:rsidR="000974B6" w:rsidRPr="002815F4">
        <w:rPr>
          <w:rFonts w:ascii="Calibri" w:hAnsi="Calibri"/>
          <w:bCs/>
        </w:rPr>
        <w:t xml:space="preserve">. </w:t>
      </w:r>
    </w:p>
    <w:p w14:paraId="10E5CEC9" w14:textId="08C96E56" w:rsidR="002A0639" w:rsidRPr="002815F4" w:rsidRDefault="002929E0" w:rsidP="00FD013B">
      <w:pPr>
        <w:rPr>
          <w:rFonts w:ascii="Calibri" w:hAnsi="Calibri"/>
          <w:bCs/>
        </w:rPr>
      </w:pPr>
      <w:r w:rsidRPr="002815F4">
        <w:rPr>
          <w:rFonts w:ascii="Calibri" w:hAnsi="Calibri"/>
          <w:i/>
        </w:rPr>
        <w:t>Record-keeping</w:t>
      </w:r>
      <w:r w:rsidRPr="002815F4">
        <w:rPr>
          <w:rFonts w:ascii="Calibri" w:hAnsi="Calibri"/>
        </w:rPr>
        <w:t xml:space="preserve">: </w:t>
      </w:r>
      <w:r w:rsidR="008E4176" w:rsidRPr="002815F4">
        <w:rPr>
          <w:rFonts w:ascii="Calibri" w:hAnsi="Calibri"/>
          <w:bCs/>
        </w:rPr>
        <w:t xml:space="preserve">The </w:t>
      </w:r>
      <w:r w:rsidR="002A0639" w:rsidRPr="002815F4">
        <w:rPr>
          <w:rFonts w:ascii="Calibri" w:hAnsi="Calibri"/>
          <w:bCs/>
        </w:rPr>
        <w:t xml:space="preserve">Internal Rules </w:t>
      </w:r>
      <w:r w:rsidR="008E4176" w:rsidRPr="002815F4">
        <w:rPr>
          <w:rFonts w:ascii="Calibri" w:hAnsi="Calibri"/>
          <w:bCs/>
        </w:rPr>
        <w:t xml:space="preserve">(Article 13) </w:t>
      </w:r>
      <w:r w:rsidR="002A0639" w:rsidRPr="002815F4">
        <w:rPr>
          <w:rFonts w:ascii="Calibri" w:hAnsi="Calibri"/>
          <w:bCs/>
        </w:rPr>
        <w:t xml:space="preserve">appoint the Permanent Secretary (National Coordinator) as the reporter of MSG meetings and requires </w:t>
      </w:r>
      <w:r w:rsidR="008E4176" w:rsidRPr="002815F4">
        <w:rPr>
          <w:rFonts w:ascii="Calibri" w:hAnsi="Calibri"/>
          <w:bCs/>
        </w:rPr>
        <w:t>the preparation of</w:t>
      </w:r>
      <w:r w:rsidR="002A0639" w:rsidRPr="002815F4">
        <w:rPr>
          <w:rFonts w:ascii="Calibri" w:hAnsi="Calibri"/>
          <w:bCs/>
        </w:rPr>
        <w:t xml:space="preserve"> meeting minutes approved by the MSG </w:t>
      </w:r>
      <w:sdt>
        <w:sdtPr>
          <w:rPr>
            <w:rFonts w:ascii="Calibri" w:hAnsi="Calibri"/>
            <w:bCs/>
          </w:rPr>
          <w:id w:val="-567720825"/>
          <w:citation/>
        </w:sdtPr>
        <w:sdtEndPr/>
        <w:sdtContent>
          <w:r w:rsidR="002A0639" w:rsidRPr="002815F4">
            <w:rPr>
              <w:rFonts w:ascii="Calibri" w:hAnsi="Calibri"/>
              <w:bCs/>
            </w:rPr>
            <w:fldChar w:fldCharType="begin"/>
          </w:r>
          <w:r w:rsidR="002A0639" w:rsidRPr="002815F4">
            <w:rPr>
              <w:rFonts w:ascii="Calibri" w:hAnsi="Calibri"/>
              <w:bCs/>
            </w:rPr>
            <w:instrText xml:space="preserve"> CITATION ITI1417 \l 1033 </w:instrText>
          </w:r>
          <w:r w:rsidR="002A0639" w:rsidRPr="002815F4">
            <w:rPr>
              <w:rFonts w:ascii="Calibri" w:hAnsi="Calibri"/>
              <w:bCs/>
            </w:rPr>
            <w:fldChar w:fldCharType="separate"/>
          </w:r>
          <w:r w:rsidR="003E626E" w:rsidRPr="002815F4">
            <w:rPr>
              <w:rFonts w:ascii="Calibri" w:hAnsi="Calibri"/>
              <w:noProof/>
            </w:rPr>
            <w:t>(ITIE Senegal, 2014)</w:t>
          </w:r>
          <w:r w:rsidR="002A0639" w:rsidRPr="002815F4">
            <w:rPr>
              <w:rFonts w:ascii="Calibri" w:hAnsi="Calibri"/>
              <w:bCs/>
            </w:rPr>
            <w:fldChar w:fldCharType="end"/>
          </w:r>
        </w:sdtContent>
      </w:sdt>
      <w:r w:rsidR="002A0639" w:rsidRPr="002815F4">
        <w:rPr>
          <w:rFonts w:ascii="Calibri" w:hAnsi="Calibri"/>
          <w:bCs/>
        </w:rPr>
        <w:t xml:space="preserve">. </w:t>
      </w:r>
      <w:r w:rsidR="00296708" w:rsidRPr="002815F4">
        <w:rPr>
          <w:rFonts w:ascii="Calibri" w:hAnsi="Calibri"/>
          <w:bCs/>
        </w:rPr>
        <w:t xml:space="preserve">While </w:t>
      </w:r>
      <w:r w:rsidR="008E4176" w:rsidRPr="002815F4">
        <w:rPr>
          <w:rFonts w:ascii="Calibri" w:hAnsi="Calibri"/>
          <w:bCs/>
        </w:rPr>
        <w:t>the MSG’s rules require that</w:t>
      </w:r>
      <w:r w:rsidR="00296708" w:rsidRPr="002815F4">
        <w:rPr>
          <w:rFonts w:ascii="Calibri" w:hAnsi="Calibri"/>
          <w:bCs/>
        </w:rPr>
        <w:t xml:space="preserve"> meeting minutes be signed by the MSG Chair (or relevant Committee </w:t>
      </w:r>
      <w:r w:rsidR="002815F4" w:rsidRPr="002815F4">
        <w:rPr>
          <w:rFonts w:ascii="Calibri" w:hAnsi="Calibri"/>
          <w:bCs/>
        </w:rPr>
        <w:t>Chair</w:t>
      </w:r>
      <w:r w:rsidR="00296708" w:rsidRPr="002815F4">
        <w:rPr>
          <w:rFonts w:ascii="Calibri" w:hAnsi="Calibri"/>
          <w:bCs/>
        </w:rPr>
        <w:t xml:space="preserve">) and Permanent Secretary, </w:t>
      </w:r>
      <w:r w:rsidR="008E4176" w:rsidRPr="002815F4">
        <w:rPr>
          <w:rFonts w:ascii="Calibri" w:hAnsi="Calibri"/>
          <w:bCs/>
        </w:rPr>
        <w:t xml:space="preserve">there is no clearly-defined </w:t>
      </w:r>
      <w:r w:rsidR="00296708" w:rsidRPr="002815F4">
        <w:rPr>
          <w:rFonts w:ascii="Calibri" w:hAnsi="Calibri"/>
          <w:bCs/>
        </w:rPr>
        <w:t xml:space="preserve">process for approval by other MSG members. Despite the lack of </w:t>
      </w:r>
      <w:r w:rsidR="008E4176" w:rsidRPr="002815F4">
        <w:rPr>
          <w:rFonts w:ascii="Calibri" w:hAnsi="Calibri"/>
          <w:bCs/>
        </w:rPr>
        <w:t xml:space="preserve">codified </w:t>
      </w:r>
      <w:r w:rsidR="000974B6" w:rsidRPr="002815F4">
        <w:rPr>
          <w:rFonts w:ascii="Calibri" w:hAnsi="Calibri"/>
          <w:bCs/>
        </w:rPr>
        <w:t>provisions requiring publication of MSG meeting minutes, EITI Senegal has published all meeting minutes approved by the MSG to date on its website.</w:t>
      </w:r>
      <w:r w:rsidR="000974B6" w:rsidRPr="002815F4">
        <w:rPr>
          <w:rStyle w:val="FootnoteReference"/>
          <w:rFonts w:ascii="Calibri" w:hAnsi="Calibri"/>
          <w:bCs/>
        </w:rPr>
        <w:footnoteReference w:id="31"/>
      </w:r>
      <w:r w:rsidR="00973568" w:rsidRPr="002815F4">
        <w:rPr>
          <w:rFonts w:ascii="Calibri" w:hAnsi="Calibri"/>
          <w:bCs/>
        </w:rPr>
        <w:t xml:space="preserve"> Analysis of meeting minutes reveals a high level of detail and the systematic reflection of dissenting views. </w:t>
      </w:r>
      <w:r w:rsidR="00012041" w:rsidRPr="002815F4">
        <w:rPr>
          <w:rFonts w:ascii="Calibri" w:hAnsi="Calibri"/>
          <w:bCs/>
        </w:rPr>
        <w:t>The first set</w:t>
      </w:r>
      <w:r w:rsidR="005349FF" w:rsidRPr="002815F4">
        <w:rPr>
          <w:rFonts w:ascii="Calibri" w:hAnsi="Calibri"/>
          <w:bCs/>
        </w:rPr>
        <w:t>s</w:t>
      </w:r>
      <w:r w:rsidR="00012041" w:rsidRPr="002815F4">
        <w:rPr>
          <w:rFonts w:ascii="Calibri" w:hAnsi="Calibri"/>
          <w:bCs/>
        </w:rPr>
        <w:t xml:space="preserve"> of meeting minutes were published on the EITI Senegal website as press releases </w:t>
      </w:r>
      <w:sdt>
        <w:sdtPr>
          <w:rPr>
            <w:rFonts w:ascii="Calibri" w:hAnsi="Calibri"/>
            <w:bCs/>
          </w:rPr>
          <w:id w:val="-272323341"/>
          <w:citation/>
        </w:sdtPr>
        <w:sdtEndPr/>
        <w:sdtContent>
          <w:r w:rsidR="005349FF" w:rsidRPr="002815F4">
            <w:rPr>
              <w:rFonts w:ascii="Calibri" w:hAnsi="Calibri"/>
              <w:bCs/>
            </w:rPr>
            <w:fldChar w:fldCharType="begin"/>
          </w:r>
          <w:r w:rsidR="005349FF" w:rsidRPr="002815F4">
            <w:rPr>
              <w:rFonts w:ascii="Calibri" w:hAnsi="Calibri"/>
              <w:bCs/>
            </w:rPr>
            <w:instrText xml:space="preserve"> CITATION ITI1321 \l 1033 </w:instrText>
          </w:r>
          <w:r w:rsidR="005349FF" w:rsidRPr="002815F4">
            <w:rPr>
              <w:rFonts w:ascii="Calibri" w:hAnsi="Calibri"/>
              <w:bCs/>
            </w:rPr>
            <w:fldChar w:fldCharType="separate"/>
          </w:r>
          <w:r w:rsidR="003E626E" w:rsidRPr="002815F4">
            <w:rPr>
              <w:rFonts w:ascii="Calibri" w:hAnsi="Calibri"/>
              <w:noProof/>
            </w:rPr>
            <w:t>(ITIE Senegal, 2013)</w:t>
          </w:r>
          <w:r w:rsidR="005349FF" w:rsidRPr="002815F4">
            <w:rPr>
              <w:rFonts w:ascii="Calibri" w:hAnsi="Calibri"/>
              <w:bCs/>
            </w:rPr>
            <w:fldChar w:fldCharType="end"/>
          </w:r>
        </w:sdtContent>
      </w:sdt>
      <w:sdt>
        <w:sdtPr>
          <w:rPr>
            <w:rFonts w:ascii="Calibri" w:hAnsi="Calibri"/>
            <w:bCs/>
          </w:rPr>
          <w:id w:val="-1745403046"/>
          <w:citation/>
        </w:sdtPr>
        <w:sdtEndPr/>
        <w:sdtContent>
          <w:r w:rsidR="00012041" w:rsidRPr="002815F4">
            <w:rPr>
              <w:rFonts w:ascii="Calibri" w:hAnsi="Calibri"/>
              <w:bCs/>
            </w:rPr>
            <w:fldChar w:fldCharType="begin"/>
          </w:r>
          <w:r w:rsidR="00012041" w:rsidRPr="002815F4">
            <w:rPr>
              <w:rFonts w:ascii="Calibri" w:hAnsi="Calibri"/>
              <w:bCs/>
            </w:rPr>
            <w:instrText xml:space="preserve"> CITATION ITI1419 \l 1033 </w:instrText>
          </w:r>
          <w:r w:rsidR="00012041" w:rsidRPr="002815F4">
            <w:rPr>
              <w:rFonts w:ascii="Calibri" w:hAnsi="Calibri"/>
              <w:bCs/>
            </w:rPr>
            <w:fldChar w:fldCharType="separate"/>
          </w:r>
          <w:r w:rsidR="003E626E" w:rsidRPr="002815F4">
            <w:rPr>
              <w:rFonts w:ascii="Calibri" w:hAnsi="Calibri"/>
              <w:bCs/>
              <w:noProof/>
            </w:rPr>
            <w:t xml:space="preserve"> </w:t>
          </w:r>
          <w:r w:rsidR="003E626E" w:rsidRPr="002815F4">
            <w:rPr>
              <w:rFonts w:ascii="Calibri" w:hAnsi="Calibri"/>
              <w:noProof/>
            </w:rPr>
            <w:t>(ITIE Senegal, 2014)</w:t>
          </w:r>
          <w:r w:rsidR="00012041" w:rsidRPr="002815F4">
            <w:rPr>
              <w:rFonts w:ascii="Calibri" w:hAnsi="Calibri"/>
              <w:bCs/>
            </w:rPr>
            <w:fldChar w:fldCharType="end"/>
          </w:r>
        </w:sdtContent>
      </w:sdt>
      <w:r w:rsidR="008E4176" w:rsidRPr="002815F4">
        <w:rPr>
          <w:rFonts w:ascii="Calibri" w:hAnsi="Calibri"/>
          <w:bCs/>
        </w:rPr>
        <w:t xml:space="preserve">. </w:t>
      </w:r>
    </w:p>
    <w:p w14:paraId="63AFAB9A" w14:textId="09EC532B" w:rsidR="008E4176" w:rsidRPr="002815F4" w:rsidRDefault="002929E0" w:rsidP="00CD1619">
      <w:pPr>
        <w:spacing w:before="120"/>
        <w:rPr>
          <w:rFonts w:ascii="Calibri" w:hAnsi="Calibri"/>
          <w:bCs/>
        </w:rPr>
      </w:pPr>
      <w:r w:rsidRPr="002815F4">
        <w:rPr>
          <w:rFonts w:ascii="Calibri" w:hAnsi="Calibri"/>
          <w:i/>
        </w:rPr>
        <w:t>Capacity</w:t>
      </w:r>
      <w:r w:rsidR="00E956E1" w:rsidRPr="002815F4">
        <w:rPr>
          <w:rFonts w:ascii="Calibri" w:hAnsi="Calibri"/>
          <w:i/>
        </w:rPr>
        <w:t xml:space="preserve"> of the MS</w:t>
      </w:r>
      <w:r w:rsidR="00CD1619" w:rsidRPr="002815F4">
        <w:rPr>
          <w:rFonts w:ascii="Calibri" w:hAnsi="Calibri"/>
          <w:i/>
        </w:rPr>
        <w:t>G</w:t>
      </w:r>
      <w:r w:rsidRPr="002815F4">
        <w:rPr>
          <w:rFonts w:ascii="Calibri" w:hAnsi="Calibri"/>
          <w:i/>
        </w:rPr>
        <w:t xml:space="preserve">: </w:t>
      </w:r>
      <w:r w:rsidR="008E4176" w:rsidRPr="002815F4">
        <w:rPr>
          <w:rFonts w:ascii="Calibri" w:hAnsi="Calibri"/>
        </w:rPr>
        <w:t xml:space="preserve">There appears to be good capacity amongst MSG members to carry out their duties, among all three constituencies. </w:t>
      </w:r>
      <w:r w:rsidR="008E4176" w:rsidRPr="002815F4">
        <w:rPr>
          <w:rFonts w:ascii="Calibri" w:hAnsi="Calibri"/>
          <w:bCs/>
        </w:rPr>
        <w:t xml:space="preserve">While neither the foundational decree nor the MSG’s Internal Rules include provisions for MSG members to have sufficient capacity to carry out their duties, </w:t>
      </w:r>
      <w:r w:rsidR="008E4176" w:rsidRPr="002815F4">
        <w:rPr>
          <w:rFonts w:ascii="Calibri" w:hAnsi="Calibri"/>
        </w:rPr>
        <w:t xml:space="preserve">government and industry representatives appear to have the capacity to engage in technical discussions and there are extensive consultation mechanisms in place for civil society MSG members to channel input from their constituency into MSG deliberations. Minutes document that the three constituencies have been engaged in technical discussions related to reporting templates as well as participated in other duties such as dissemination and stakeholder outreach. </w:t>
      </w:r>
      <w:r w:rsidR="001D1E22" w:rsidRPr="002815F4">
        <w:rPr>
          <w:rFonts w:ascii="Calibri" w:hAnsi="Calibri"/>
        </w:rPr>
        <w:t xml:space="preserve">Press coverage reveals proactive and vocal MSG comment on the quality of Senegal’s EITI reporting </w:t>
      </w:r>
      <w:sdt>
        <w:sdtPr>
          <w:rPr>
            <w:rFonts w:ascii="Calibri" w:hAnsi="Calibri"/>
            <w:bCs/>
          </w:rPr>
          <w:id w:val="-388416911"/>
          <w:citation/>
        </w:sdtPr>
        <w:sdtEndPr/>
        <w:sdtContent>
          <w:r w:rsidR="00351491" w:rsidRPr="002815F4">
            <w:rPr>
              <w:rFonts w:ascii="Calibri" w:hAnsi="Calibri"/>
              <w:bCs/>
            </w:rPr>
            <w:fldChar w:fldCharType="begin"/>
          </w:r>
          <w:r w:rsidR="00351491" w:rsidRPr="002815F4">
            <w:rPr>
              <w:rFonts w:ascii="Calibri" w:hAnsi="Calibri"/>
              <w:bCs/>
            </w:rPr>
            <w:instrText xml:space="preserve"> CITATION ITI1420 \l 1033 </w:instrText>
          </w:r>
          <w:r w:rsidR="00351491" w:rsidRPr="002815F4">
            <w:rPr>
              <w:rFonts w:ascii="Calibri" w:hAnsi="Calibri"/>
              <w:bCs/>
            </w:rPr>
            <w:fldChar w:fldCharType="separate"/>
          </w:r>
          <w:r w:rsidR="003E626E" w:rsidRPr="002815F4">
            <w:rPr>
              <w:rFonts w:ascii="Calibri" w:hAnsi="Calibri"/>
              <w:noProof/>
            </w:rPr>
            <w:t>(ITIE Senegal, 2014)</w:t>
          </w:r>
          <w:r w:rsidR="00351491" w:rsidRPr="002815F4">
            <w:rPr>
              <w:rFonts w:ascii="Calibri" w:hAnsi="Calibri"/>
              <w:bCs/>
            </w:rPr>
            <w:fldChar w:fldCharType="end"/>
          </w:r>
        </w:sdtContent>
      </w:sdt>
      <w:sdt>
        <w:sdtPr>
          <w:rPr>
            <w:rFonts w:ascii="Calibri" w:hAnsi="Calibri"/>
            <w:bCs/>
          </w:rPr>
          <w:id w:val="-297842117"/>
          <w:citation/>
        </w:sdtPr>
        <w:sdtEndPr/>
        <w:sdtContent>
          <w:r w:rsidR="00351491" w:rsidRPr="002815F4">
            <w:rPr>
              <w:rFonts w:ascii="Calibri" w:hAnsi="Calibri"/>
              <w:bCs/>
            </w:rPr>
            <w:fldChar w:fldCharType="begin"/>
          </w:r>
          <w:r w:rsidR="00351491" w:rsidRPr="002815F4">
            <w:rPr>
              <w:rFonts w:ascii="Calibri" w:hAnsi="Calibri"/>
              <w:bCs/>
            </w:rPr>
            <w:instrText xml:space="preserve"> CITATION ITI1539 \l 1033 </w:instrText>
          </w:r>
          <w:r w:rsidR="00351491" w:rsidRPr="002815F4">
            <w:rPr>
              <w:rFonts w:ascii="Calibri" w:hAnsi="Calibri"/>
              <w:bCs/>
            </w:rPr>
            <w:fldChar w:fldCharType="separate"/>
          </w:r>
          <w:r w:rsidR="003E626E" w:rsidRPr="002815F4">
            <w:rPr>
              <w:rFonts w:ascii="Calibri" w:hAnsi="Calibri"/>
              <w:bCs/>
              <w:noProof/>
            </w:rPr>
            <w:t xml:space="preserve"> </w:t>
          </w:r>
          <w:r w:rsidR="003E626E" w:rsidRPr="002815F4">
            <w:rPr>
              <w:rFonts w:ascii="Calibri" w:hAnsi="Calibri"/>
              <w:noProof/>
            </w:rPr>
            <w:t>(ITIE Senegal, 2015)</w:t>
          </w:r>
          <w:r w:rsidR="00351491" w:rsidRPr="002815F4">
            <w:rPr>
              <w:rFonts w:ascii="Calibri" w:hAnsi="Calibri"/>
              <w:bCs/>
            </w:rPr>
            <w:fldChar w:fldCharType="end"/>
          </w:r>
        </w:sdtContent>
      </w:sdt>
      <w:r w:rsidR="00351491" w:rsidRPr="002815F4">
        <w:rPr>
          <w:rFonts w:ascii="Calibri" w:hAnsi="Calibri"/>
          <w:bCs/>
        </w:rPr>
        <w:t xml:space="preserve"> </w:t>
      </w:r>
      <w:sdt>
        <w:sdtPr>
          <w:rPr>
            <w:rFonts w:ascii="Calibri" w:hAnsi="Calibri"/>
            <w:bCs/>
          </w:rPr>
          <w:id w:val="578563578"/>
          <w:citation/>
        </w:sdtPr>
        <w:sdtEndPr/>
        <w:sdtContent>
          <w:r w:rsidR="00351491" w:rsidRPr="002815F4">
            <w:rPr>
              <w:rFonts w:ascii="Calibri" w:hAnsi="Calibri"/>
              <w:bCs/>
            </w:rPr>
            <w:fldChar w:fldCharType="begin"/>
          </w:r>
          <w:r w:rsidR="00351491" w:rsidRPr="002815F4">
            <w:rPr>
              <w:rFonts w:ascii="Calibri" w:hAnsi="Calibri"/>
              <w:bCs/>
            </w:rPr>
            <w:instrText xml:space="preserve"> CITATION APS161 \l 1033 </w:instrText>
          </w:r>
          <w:r w:rsidR="00351491" w:rsidRPr="002815F4">
            <w:rPr>
              <w:rFonts w:ascii="Calibri" w:hAnsi="Calibri"/>
              <w:bCs/>
            </w:rPr>
            <w:fldChar w:fldCharType="separate"/>
          </w:r>
          <w:r w:rsidR="003E626E" w:rsidRPr="002815F4">
            <w:rPr>
              <w:rFonts w:ascii="Calibri" w:hAnsi="Calibri"/>
              <w:noProof/>
            </w:rPr>
            <w:t>(APS, 2016)</w:t>
          </w:r>
          <w:r w:rsidR="00351491" w:rsidRPr="002815F4">
            <w:rPr>
              <w:rFonts w:ascii="Calibri" w:hAnsi="Calibri"/>
              <w:bCs/>
            </w:rPr>
            <w:fldChar w:fldCharType="end"/>
          </w:r>
        </w:sdtContent>
      </w:sdt>
      <w:sdt>
        <w:sdtPr>
          <w:rPr>
            <w:rFonts w:ascii="Calibri" w:hAnsi="Calibri"/>
            <w:bCs/>
          </w:rPr>
          <w:id w:val="1372271749"/>
          <w:citation/>
        </w:sdtPr>
        <w:sdtEndPr/>
        <w:sdtContent>
          <w:r w:rsidR="00351491" w:rsidRPr="002815F4">
            <w:rPr>
              <w:rFonts w:ascii="Calibri" w:hAnsi="Calibri"/>
              <w:bCs/>
            </w:rPr>
            <w:fldChar w:fldCharType="begin"/>
          </w:r>
          <w:r w:rsidR="00351491" w:rsidRPr="002815F4">
            <w:rPr>
              <w:rFonts w:ascii="Calibri" w:hAnsi="Calibri"/>
              <w:bCs/>
            </w:rPr>
            <w:instrText xml:space="preserve"> CITATION LeS161 \l 1033 </w:instrText>
          </w:r>
          <w:r w:rsidR="00351491" w:rsidRPr="002815F4">
            <w:rPr>
              <w:rFonts w:ascii="Calibri" w:hAnsi="Calibri"/>
              <w:bCs/>
            </w:rPr>
            <w:fldChar w:fldCharType="separate"/>
          </w:r>
          <w:r w:rsidR="003E626E" w:rsidRPr="002815F4">
            <w:rPr>
              <w:rFonts w:ascii="Calibri" w:hAnsi="Calibri"/>
              <w:bCs/>
              <w:noProof/>
            </w:rPr>
            <w:t xml:space="preserve"> </w:t>
          </w:r>
          <w:r w:rsidR="003E626E" w:rsidRPr="002815F4">
            <w:rPr>
              <w:rFonts w:ascii="Calibri" w:hAnsi="Calibri"/>
              <w:noProof/>
            </w:rPr>
            <w:t>(Le Soleil, 2016)</w:t>
          </w:r>
          <w:r w:rsidR="00351491" w:rsidRPr="002815F4">
            <w:rPr>
              <w:rFonts w:ascii="Calibri" w:hAnsi="Calibri"/>
              <w:bCs/>
            </w:rPr>
            <w:fldChar w:fldCharType="end"/>
          </w:r>
        </w:sdtContent>
      </w:sdt>
      <w:r w:rsidR="00351491" w:rsidRPr="002815F4">
        <w:rPr>
          <w:rFonts w:ascii="Calibri" w:hAnsi="Calibri"/>
          <w:bCs/>
        </w:rPr>
        <w:t xml:space="preserve"> </w:t>
      </w:r>
      <w:sdt>
        <w:sdtPr>
          <w:rPr>
            <w:rFonts w:ascii="Calibri" w:hAnsi="Calibri"/>
            <w:bCs/>
          </w:rPr>
          <w:id w:val="1213921680"/>
          <w:citation/>
        </w:sdtPr>
        <w:sdtEndPr/>
        <w:sdtContent>
          <w:r w:rsidR="00351491" w:rsidRPr="002815F4">
            <w:rPr>
              <w:rFonts w:ascii="Calibri" w:hAnsi="Calibri"/>
              <w:bCs/>
            </w:rPr>
            <w:fldChar w:fldCharType="begin"/>
          </w:r>
          <w:r w:rsidR="00351491" w:rsidRPr="002815F4">
            <w:rPr>
              <w:rFonts w:ascii="Calibri" w:hAnsi="Calibri"/>
              <w:bCs/>
            </w:rPr>
            <w:instrText xml:space="preserve"> CITATION LeS162 \l 1033 </w:instrText>
          </w:r>
          <w:r w:rsidR="00351491" w:rsidRPr="002815F4">
            <w:rPr>
              <w:rFonts w:ascii="Calibri" w:hAnsi="Calibri"/>
              <w:bCs/>
            </w:rPr>
            <w:fldChar w:fldCharType="separate"/>
          </w:r>
          <w:r w:rsidR="003E626E" w:rsidRPr="002815F4">
            <w:rPr>
              <w:rFonts w:ascii="Calibri" w:hAnsi="Calibri"/>
              <w:noProof/>
            </w:rPr>
            <w:t>(Le Sud Quotidien, 2016)</w:t>
          </w:r>
          <w:r w:rsidR="00351491" w:rsidRPr="002815F4">
            <w:rPr>
              <w:rFonts w:ascii="Calibri" w:hAnsi="Calibri"/>
              <w:bCs/>
            </w:rPr>
            <w:fldChar w:fldCharType="end"/>
          </w:r>
        </w:sdtContent>
      </w:sdt>
      <w:r w:rsidR="00351491" w:rsidRPr="002815F4">
        <w:rPr>
          <w:rFonts w:ascii="Calibri" w:hAnsi="Calibri"/>
          <w:bCs/>
        </w:rPr>
        <w:t xml:space="preserve"> </w:t>
      </w:r>
      <w:sdt>
        <w:sdtPr>
          <w:rPr>
            <w:rFonts w:ascii="Calibri" w:hAnsi="Calibri"/>
            <w:bCs/>
          </w:rPr>
          <w:id w:val="531392683"/>
          <w:citation/>
        </w:sdtPr>
        <w:sdtEndPr/>
        <w:sdtContent>
          <w:r w:rsidR="00351491" w:rsidRPr="002815F4">
            <w:rPr>
              <w:rFonts w:ascii="Calibri" w:hAnsi="Calibri"/>
              <w:bCs/>
            </w:rPr>
            <w:fldChar w:fldCharType="begin"/>
          </w:r>
          <w:r w:rsidR="00351491" w:rsidRPr="002815F4">
            <w:rPr>
              <w:rFonts w:ascii="Calibri" w:hAnsi="Calibri"/>
              <w:bCs/>
            </w:rPr>
            <w:instrText xml:space="preserve"> CITATION ITI1632 \l 1033 </w:instrText>
          </w:r>
          <w:r w:rsidR="00351491" w:rsidRPr="002815F4">
            <w:rPr>
              <w:rFonts w:ascii="Calibri" w:hAnsi="Calibri"/>
              <w:bCs/>
            </w:rPr>
            <w:fldChar w:fldCharType="separate"/>
          </w:r>
          <w:r w:rsidR="003E626E" w:rsidRPr="002815F4">
            <w:rPr>
              <w:rFonts w:ascii="Calibri" w:hAnsi="Calibri"/>
              <w:noProof/>
            </w:rPr>
            <w:t>(ITIE Senegal, 2016)</w:t>
          </w:r>
          <w:r w:rsidR="00351491" w:rsidRPr="002815F4">
            <w:rPr>
              <w:rFonts w:ascii="Calibri" w:hAnsi="Calibri"/>
              <w:bCs/>
            </w:rPr>
            <w:fldChar w:fldCharType="end"/>
          </w:r>
        </w:sdtContent>
      </w:sdt>
      <w:sdt>
        <w:sdtPr>
          <w:rPr>
            <w:rFonts w:ascii="Calibri" w:hAnsi="Calibri"/>
            <w:bCs/>
          </w:rPr>
          <w:id w:val="1138142218"/>
          <w:citation/>
        </w:sdtPr>
        <w:sdtEndPr/>
        <w:sdtContent>
          <w:r w:rsidR="00351491" w:rsidRPr="002815F4">
            <w:rPr>
              <w:rFonts w:ascii="Calibri" w:hAnsi="Calibri"/>
              <w:bCs/>
            </w:rPr>
            <w:fldChar w:fldCharType="begin"/>
          </w:r>
          <w:r w:rsidR="00351491" w:rsidRPr="002815F4">
            <w:rPr>
              <w:rFonts w:ascii="Calibri" w:hAnsi="Calibri"/>
              <w:bCs/>
            </w:rPr>
            <w:instrText xml:space="preserve"> CITATION ITI1719 \l 1033 </w:instrText>
          </w:r>
          <w:r w:rsidR="00351491" w:rsidRPr="002815F4">
            <w:rPr>
              <w:rFonts w:ascii="Calibri" w:hAnsi="Calibri"/>
              <w:bCs/>
            </w:rPr>
            <w:fldChar w:fldCharType="separate"/>
          </w:r>
          <w:r w:rsidR="003E626E" w:rsidRPr="002815F4">
            <w:rPr>
              <w:rFonts w:ascii="Calibri" w:hAnsi="Calibri"/>
              <w:bCs/>
              <w:noProof/>
            </w:rPr>
            <w:t xml:space="preserve"> </w:t>
          </w:r>
          <w:r w:rsidR="003E626E" w:rsidRPr="002815F4">
            <w:rPr>
              <w:rFonts w:ascii="Calibri" w:hAnsi="Calibri"/>
              <w:noProof/>
            </w:rPr>
            <w:t>(ITIE Senegal, 2017)</w:t>
          </w:r>
          <w:r w:rsidR="00351491" w:rsidRPr="002815F4">
            <w:rPr>
              <w:rFonts w:ascii="Calibri" w:hAnsi="Calibri"/>
              <w:bCs/>
            </w:rPr>
            <w:fldChar w:fldCharType="end"/>
          </w:r>
        </w:sdtContent>
      </w:sdt>
      <w:r w:rsidR="00351491" w:rsidRPr="002815F4">
        <w:rPr>
          <w:rFonts w:ascii="Calibri" w:hAnsi="Calibri"/>
          <w:bCs/>
        </w:rPr>
        <w:t>.</w:t>
      </w:r>
      <w:r w:rsidR="000F0B57" w:rsidRPr="002815F4">
        <w:rPr>
          <w:rFonts w:ascii="Calibri" w:hAnsi="Calibri"/>
          <w:bCs/>
        </w:rPr>
        <w:t xml:space="preserve"> </w:t>
      </w:r>
      <w:r w:rsidR="008E4176" w:rsidRPr="002815F4">
        <w:rPr>
          <w:rFonts w:ascii="Calibri" w:hAnsi="Calibri"/>
        </w:rPr>
        <w:t xml:space="preserve">The MSG has also adopted a practice of including regular learning sessions as part of MSG meetings to build understanding and capacity, including holding a MSG meeting at a mine site in 2014 </w:t>
      </w:r>
      <w:sdt>
        <w:sdtPr>
          <w:rPr>
            <w:rFonts w:ascii="Calibri" w:hAnsi="Calibri"/>
            <w:bCs/>
          </w:rPr>
          <w:id w:val="1374819315"/>
          <w:citation/>
        </w:sdtPr>
        <w:sdtEndPr/>
        <w:sdtContent>
          <w:r w:rsidR="008E4176" w:rsidRPr="002815F4">
            <w:rPr>
              <w:rFonts w:ascii="Calibri" w:hAnsi="Calibri"/>
              <w:bCs/>
            </w:rPr>
            <w:fldChar w:fldCharType="begin"/>
          </w:r>
          <w:r w:rsidR="008E4176" w:rsidRPr="002815F4">
            <w:rPr>
              <w:rFonts w:ascii="Calibri" w:hAnsi="Calibri"/>
              <w:bCs/>
            </w:rPr>
            <w:instrText xml:space="preserve"> CITATION LeQ14 \l 1033 </w:instrText>
          </w:r>
          <w:r w:rsidR="008E4176" w:rsidRPr="002815F4">
            <w:rPr>
              <w:rFonts w:ascii="Calibri" w:hAnsi="Calibri"/>
              <w:bCs/>
            </w:rPr>
            <w:fldChar w:fldCharType="separate"/>
          </w:r>
          <w:r w:rsidR="003E626E" w:rsidRPr="002815F4">
            <w:rPr>
              <w:rFonts w:ascii="Calibri" w:hAnsi="Calibri"/>
              <w:noProof/>
            </w:rPr>
            <w:t>(Le Quotidien, 2014)</w:t>
          </w:r>
          <w:r w:rsidR="008E4176" w:rsidRPr="002815F4">
            <w:rPr>
              <w:rFonts w:ascii="Calibri" w:hAnsi="Calibri"/>
              <w:bCs/>
            </w:rPr>
            <w:fldChar w:fldCharType="end"/>
          </w:r>
        </w:sdtContent>
      </w:sdt>
      <w:r w:rsidR="008E4176" w:rsidRPr="002815F4">
        <w:rPr>
          <w:rFonts w:ascii="Calibri" w:hAnsi="Calibri"/>
          <w:bCs/>
        </w:rPr>
        <w:t>.</w:t>
      </w:r>
      <w:r w:rsidR="008E4176" w:rsidRPr="002815F4">
        <w:rPr>
          <w:rFonts w:ascii="Calibri" w:hAnsi="Calibri"/>
        </w:rPr>
        <w:t xml:space="preserve"> The MSG held capacity-building workshops for their broader constituencies, even ahead of EITI reporting </w:t>
      </w:r>
      <w:sdt>
        <w:sdtPr>
          <w:rPr>
            <w:rFonts w:ascii="Calibri" w:hAnsi="Calibri"/>
            <w:bCs/>
          </w:rPr>
          <w:id w:val="933325281"/>
          <w:citation/>
        </w:sdtPr>
        <w:sdtEndPr/>
        <w:sdtContent>
          <w:r w:rsidR="008E4176" w:rsidRPr="002815F4">
            <w:rPr>
              <w:rFonts w:ascii="Calibri" w:hAnsi="Calibri"/>
              <w:bCs/>
            </w:rPr>
            <w:fldChar w:fldCharType="begin"/>
          </w:r>
          <w:r w:rsidR="008E4176" w:rsidRPr="002815F4">
            <w:rPr>
              <w:rFonts w:ascii="Calibri" w:hAnsi="Calibri"/>
              <w:bCs/>
            </w:rPr>
            <w:instrText xml:space="preserve"> CITATION ITI1423 \l 1033 </w:instrText>
          </w:r>
          <w:r w:rsidR="008E4176" w:rsidRPr="002815F4">
            <w:rPr>
              <w:rFonts w:ascii="Calibri" w:hAnsi="Calibri"/>
              <w:bCs/>
            </w:rPr>
            <w:fldChar w:fldCharType="separate"/>
          </w:r>
          <w:r w:rsidR="003E626E" w:rsidRPr="002815F4">
            <w:rPr>
              <w:rFonts w:ascii="Calibri" w:hAnsi="Calibri"/>
              <w:noProof/>
            </w:rPr>
            <w:t>(ITIE Senegal, 2014)</w:t>
          </w:r>
          <w:r w:rsidR="008E4176" w:rsidRPr="002815F4">
            <w:rPr>
              <w:rFonts w:ascii="Calibri" w:hAnsi="Calibri"/>
              <w:bCs/>
            </w:rPr>
            <w:fldChar w:fldCharType="end"/>
          </w:r>
        </w:sdtContent>
      </w:sdt>
      <w:r w:rsidR="008E4176" w:rsidRPr="002815F4">
        <w:rPr>
          <w:rFonts w:ascii="Calibri" w:hAnsi="Calibri"/>
          <w:bCs/>
        </w:rPr>
        <w:t xml:space="preserve"> </w:t>
      </w:r>
      <w:sdt>
        <w:sdtPr>
          <w:rPr>
            <w:rFonts w:ascii="Calibri" w:hAnsi="Calibri"/>
            <w:bCs/>
          </w:rPr>
          <w:id w:val="718631670"/>
          <w:citation/>
        </w:sdtPr>
        <w:sdtEndPr/>
        <w:sdtContent>
          <w:r w:rsidR="008E4176" w:rsidRPr="002815F4">
            <w:rPr>
              <w:rFonts w:ascii="Calibri" w:hAnsi="Calibri"/>
              <w:bCs/>
            </w:rPr>
            <w:fldChar w:fldCharType="begin"/>
          </w:r>
          <w:r w:rsidR="008E4176" w:rsidRPr="002815F4">
            <w:rPr>
              <w:rFonts w:ascii="Calibri" w:hAnsi="Calibri"/>
              <w:bCs/>
            </w:rPr>
            <w:instrText xml:space="preserve"> CITATION ITI1418 \l 1033 </w:instrText>
          </w:r>
          <w:r w:rsidR="008E4176" w:rsidRPr="002815F4">
            <w:rPr>
              <w:rFonts w:ascii="Calibri" w:hAnsi="Calibri"/>
              <w:bCs/>
            </w:rPr>
            <w:fldChar w:fldCharType="separate"/>
          </w:r>
          <w:r w:rsidR="003E626E" w:rsidRPr="002815F4">
            <w:rPr>
              <w:rFonts w:ascii="Calibri" w:hAnsi="Calibri"/>
              <w:noProof/>
            </w:rPr>
            <w:t>(ITIE Senegal, 2014)</w:t>
          </w:r>
          <w:r w:rsidR="008E4176" w:rsidRPr="002815F4">
            <w:rPr>
              <w:rFonts w:ascii="Calibri" w:hAnsi="Calibri"/>
              <w:bCs/>
            </w:rPr>
            <w:fldChar w:fldCharType="end"/>
          </w:r>
        </w:sdtContent>
      </w:sdt>
      <w:r w:rsidR="008E4176" w:rsidRPr="002815F4">
        <w:rPr>
          <w:rFonts w:ascii="Calibri" w:hAnsi="Calibri"/>
          <w:bCs/>
        </w:rPr>
        <w:t xml:space="preserve"> </w:t>
      </w:r>
      <w:sdt>
        <w:sdtPr>
          <w:rPr>
            <w:rFonts w:ascii="Calibri" w:hAnsi="Calibri"/>
            <w:bCs/>
          </w:rPr>
          <w:id w:val="1122031136"/>
          <w:citation/>
        </w:sdtPr>
        <w:sdtEndPr/>
        <w:sdtContent>
          <w:r w:rsidR="008E4176" w:rsidRPr="002815F4">
            <w:rPr>
              <w:rFonts w:ascii="Calibri" w:hAnsi="Calibri"/>
              <w:bCs/>
            </w:rPr>
            <w:fldChar w:fldCharType="begin"/>
          </w:r>
          <w:r w:rsidR="008E4176" w:rsidRPr="002815F4">
            <w:rPr>
              <w:rFonts w:ascii="Calibri" w:hAnsi="Calibri"/>
              <w:bCs/>
            </w:rPr>
            <w:instrText xml:space="preserve"> CITATION ITI1535 \l 1033 </w:instrText>
          </w:r>
          <w:r w:rsidR="008E4176" w:rsidRPr="002815F4">
            <w:rPr>
              <w:rFonts w:ascii="Calibri" w:hAnsi="Calibri"/>
              <w:bCs/>
            </w:rPr>
            <w:fldChar w:fldCharType="separate"/>
          </w:r>
          <w:r w:rsidR="003E626E" w:rsidRPr="002815F4">
            <w:rPr>
              <w:rFonts w:ascii="Calibri" w:hAnsi="Calibri"/>
              <w:noProof/>
            </w:rPr>
            <w:t>(ITIE Senegal, 2015)</w:t>
          </w:r>
          <w:r w:rsidR="008E4176" w:rsidRPr="002815F4">
            <w:rPr>
              <w:rFonts w:ascii="Calibri" w:hAnsi="Calibri"/>
              <w:bCs/>
            </w:rPr>
            <w:fldChar w:fldCharType="end"/>
          </w:r>
        </w:sdtContent>
      </w:sdt>
      <w:r w:rsidR="008E4176" w:rsidRPr="002815F4">
        <w:rPr>
          <w:rFonts w:ascii="Calibri" w:hAnsi="Calibri"/>
          <w:bCs/>
        </w:rPr>
        <w:t xml:space="preserve">. The MSG has also contracted third-party consultants for capacity-building of MSG members </w:t>
      </w:r>
      <w:sdt>
        <w:sdtPr>
          <w:rPr>
            <w:rFonts w:ascii="Calibri" w:hAnsi="Calibri"/>
            <w:bCs/>
          </w:rPr>
          <w:id w:val="-715118796"/>
          <w:citation/>
        </w:sdtPr>
        <w:sdtEndPr/>
        <w:sdtContent>
          <w:r w:rsidR="008E4176" w:rsidRPr="002815F4">
            <w:rPr>
              <w:rFonts w:ascii="Calibri" w:hAnsi="Calibri"/>
              <w:bCs/>
            </w:rPr>
            <w:fldChar w:fldCharType="begin"/>
          </w:r>
          <w:r w:rsidR="008E4176" w:rsidRPr="002815F4">
            <w:rPr>
              <w:rFonts w:ascii="Calibri" w:hAnsi="Calibri"/>
              <w:bCs/>
            </w:rPr>
            <w:instrText xml:space="preserve"> CITATION ITI1720 \l 1033 </w:instrText>
          </w:r>
          <w:r w:rsidR="008E4176" w:rsidRPr="002815F4">
            <w:rPr>
              <w:rFonts w:ascii="Calibri" w:hAnsi="Calibri"/>
              <w:bCs/>
            </w:rPr>
            <w:fldChar w:fldCharType="separate"/>
          </w:r>
          <w:r w:rsidR="003E626E" w:rsidRPr="002815F4">
            <w:rPr>
              <w:rFonts w:ascii="Calibri" w:hAnsi="Calibri"/>
              <w:noProof/>
            </w:rPr>
            <w:t>(ITIE Senegal, 2017)</w:t>
          </w:r>
          <w:r w:rsidR="008E4176" w:rsidRPr="002815F4">
            <w:rPr>
              <w:rFonts w:ascii="Calibri" w:hAnsi="Calibri"/>
              <w:bCs/>
            </w:rPr>
            <w:fldChar w:fldCharType="end"/>
          </w:r>
        </w:sdtContent>
      </w:sdt>
      <w:r w:rsidR="008E4176" w:rsidRPr="002815F4">
        <w:rPr>
          <w:rFonts w:ascii="Calibri" w:hAnsi="Calibri"/>
          <w:bCs/>
        </w:rPr>
        <w:t xml:space="preserve">. The Decree (Article 9) </w:t>
      </w:r>
      <w:r w:rsidR="001D1E22" w:rsidRPr="002815F4">
        <w:rPr>
          <w:rFonts w:ascii="Calibri" w:hAnsi="Calibri"/>
          <w:bCs/>
        </w:rPr>
        <w:t xml:space="preserve">and the Internal Rules (Articles 18 and 19) state </w:t>
      </w:r>
      <w:r w:rsidR="008E4176" w:rsidRPr="002815F4">
        <w:rPr>
          <w:rFonts w:ascii="Calibri" w:hAnsi="Calibri"/>
          <w:bCs/>
        </w:rPr>
        <w:t>that the EITI Senegal budget is approved by the Ministry of Finance and funded from the state budget and external sources</w:t>
      </w:r>
      <w:r w:rsidR="001D1E22" w:rsidRPr="002815F4">
        <w:rPr>
          <w:rFonts w:ascii="Calibri" w:hAnsi="Calibri"/>
          <w:bCs/>
        </w:rPr>
        <w:t xml:space="preserve"> and define the financial management of EITI Senegal accounts, in line with government accounting rules </w:t>
      </w:r>
      <w:sdt>
        <w:sdtPr>
          <w:rPr>
            <w:rFonts w:ascii="Calibri" w:hAnsi="Calibri"/>
            <w:bCs/>
          </w:rPr>
          <w:id w:val="-1797599033"/>
          <w:citation/>
        </w:sdtPr>
        <w:sdtEndPr/>
        <w:sdtContent>
          <w:r w:rsidR="001D1E22" w:rsidRPr="002815F4">
            <w:rPr>
              <w:rFonts w:ascii="Calibri" w:hAnsi="Calibri"/>
              <w:bCs/>
            </w:rPr>
            <w:fldChar w:fldCharType="begin"/>
          </w:r>
          <w:r w:rsidR="001D1E22" w:rsidRPr="002815F4">
            <w:rPr>
              <w:rFonts w:ascii="Calibri" w:hAnsi="Calibri"/>
              <w:bCs/>
            </w:rPr>
            <w:instrText xml:space="preserve"> CITATION Min13 \l 1033 </w:instrText>
          </w:r>
          <w:r w:rsidR="001D1E22" w:rsidRPr="002815F4">
            <w:rPr>
              <w:rFonts w:ascii="Calibri" w:hAnsi="Calibri"/>
              <w:bCs/>
            </w:rPr>
            <w:fldChar w:fldCharType="separate"/>
          </w:r>
          <w:r w:rsidR="003E626E" w:rsidRPr="002815F4">
            <w:rPr>
              <w:rFonts w:ascii="Calibri" w:hAnsi="Calibri"/>
              <w:noProof/>
            </w:rPr>
            <w:t>(Premier Ministre, 2013)</w:t>
          </w:r>
          <w:r w:rsidR="001D1E22" w:rsidRPr="002815F4">
            <w:rPr>
              <w:rFonts w:ascii="Calibri" w:hAnsi="Calibri"/>
              <w:bCs/>
            </w:rPr>
            <w:fldChar w:fldCharType="end"/>
          </w:r>
        </w:sdtContent>
      </w:sdt>
      <w:sdt>
        <w:sdtPr>
          <w:rPr>
            <w:rFonts w:ascii="Calibri" w:hAnsi="Calibri"/>
            <w:bCs/>
          </w:rPr>
          <w:id w:val="53051078"/>
          <w:citation/>
        </w:sdtPr>
        <w:sdtEndPr/>
        <w:sdtContent>
          <w:r w:rsidR="001D1E22" w:rsidRPr="002815F4">
            <w:rPr>
              <w:rFonts w:ascii="Calibri" w:hAnsi="Calibri"/>
              <w:bCs/>
            </w:rPr>
            <w:fldChar w:fldCharType="begin"/>
          </w:r>
          <w:r w:rsidR="001D1E22" w:rsidRPr="002815F4">
            <w:rPr>
              <w:rFonts w:ascii="Calibri" w:hAnsi="Calibri"/>
              <w:bCs/>
            </w:rPr>
            <w:instrText xml:space="preserve"> CITATION ITI1417 \l 1033 </w:instrText>
          </w:r>
          <w:r w:rsidR="001D1E22" w:rsidRPr="002815F4">
            <w:rPr>
              <w:rFonts w:ascii="Calibri" w:hAnsi="Calibri"/>
              <w:bCs/>
            </w:rPr>
            <w:fldChar w:fldCharType="separate"/>
          </w:r>
          <w:r w:rsidR="003E626E" w:rsidRPr="002815F4">
            <w:rPr>
              <w:rFonts w:ascii="Calibri" w:hAnsi="Calibri"/>
              <w:bCs/>
              <w:noProof/>
            </w:rPr>
            <w:t xml:space="preserve"> </w:t>
          </w:r>
          <w:r w:rsidR="003E626E" w:rsidRPr="002815F4">
            <w:rPr>
              <w:rFonts w:ascii="Calibri" w:hAnsi="Calibri"/>
              <w:noProof/>
            </w:rPr>
            <w:t>(ITIE Senegal, 2014)</w:t>
          </w:r>
          <w:r w:rsidR="001D1E22" w:rsidRPr="002815F4">
            <w:rPr>
              <w:rFonts w:ascii="Calibri" w:hAnsi="Calibri"/>
              <w:bCs/>
            </w:rPr>
            <w:fldChar w:fldCharType="end"/>
          </w:r>
        </w:sdtContent>
      </w:sdt>
      <w:r w:rsidR="001D1E22" w:rsidRPr="002815F4">
        <w:rPr>
          <w:rFonts w:ascii="Calibri" w:hAnsi="Calibri"/>
          <w:bCs/>
        </w:rPr>
        <w:t xml:space="preserve">. </w:t>
      </w:r>
    </w:p>
    <w:p w14:paraId="3BC560BE" w14:textId="46A0161F" w:rsidR="00874B96" w:rsidRPr="002815F4" w:rsidRDefault="002929E0">
      <w:pPr>
        <w:spacing w:before="120"/>
        <w:rPr>
          <w:rFonts w:ascii="Calibri" w:hAnsi="Calibri"/>
        </w:rPr>
      </w:pPr>
      <w:r w:rsidRPr="002815F4">
        <w:rPr>
          <w:rFonts w:ascii="Calibri" w:hAnsi="Calibri"/>
          <w:i/>
        </w:rPr>
        <w:t>Per diems:</w:t>
      </w:r>
      <w:r w:rsidRPr="002815F4">
        <w:rPr>
          <w:rFonts w:ascii="Calibri" w:hAnsi="Calibri"/>
        </w:rPr>
        <w:t xml:space="preserve"> </w:t>
      </w:r>
      <w:r w:rsidR="00773CDF" w:rsidRPr="002815F4">
        <w:rPr>
          <w:rFonts w:ascii="Calibri" w:hAnsi="Calibri"/>
        </w:rPr>
        <w:t xml:space="preserve">There is no reference to a per diem policy in any of the EITI Senegal’s </w:t>
      </w:r>
      <w:r w:rsidR="00352443" w:rsidRPr="002815F4">
        <w:rPr>
          <w:rFonts w:ascii="Calibri" w:hAnsi="Calibri"/>
        </w:rPr>
        <w:t>foundational decrees</w:t>
      </w:r>
      <w:r w:rsidR="00773CDF" w:rsidRPr="002815F4">
        <w:rPr>
          <w:rFonts w:ascii="Calibri" w:hAnsi="Calibri"/>
        </w:rPr>
        <w:t xml:space="preserve">. </w:t>
      </w:r>
      <w:r w:rsidR="00352443" w:rsidRPr="002815F4">
        <w:rPr>
          <w:rFonts w:ascii="Calibri" w:hAnsi="Calibri"/>
        </w:rPr>
        <w:t>However, since early 2016 the EITI Senegal website has codified a practice of paying MSG members per diems of XOF 150,000 per session, with a maximum of six MSG meetings a year.</w:t>
      </w:r>
      <w:r w:rsidR="00352443" w:rsidRPr="002815F4">
        <w:rPr>
          <w:rStyle w:val="FootnoteReference"/>
          <w:rFonts w:ascii="Calibri" w:hAnsi="Calibri"/>
        </w:rPr>
        <w:footnoteReference w:id="32"/>
      </w:r>
      <w:r w:rsidR="00352443" w:rsidRPr="002815F4">
        <w:rPr>
          <w:rFonts w:ascii="Calibri" w:hAnsi="Calibri"/>
        </w:rPr>
        <w:t xml:space="preserve"> It refers to the band of compensation (of XOF 150-300k) set in Article 4 of Decree 2012-1314 of 16 November 2012, which codifies per diems for regulatory oversight committee board members</w:t>
      </w:r>
      <w:r w:rsidR="00464636" w:rsidRPr="002815F4">
        <w:rPr>
          <w:rFonts w:ascii="Calibri" w:hAnsi="Calibri"/>
        </w:rPr>
        <w:t xml:space="preserve"> </w:t>
      </w:r>
      <w:sdt>
        <w:sdtPr>
          <w:rPr>
            <w:rFonts w:ascii="Calibri" w:hAnsi="Calibri"/>
          </w:rPr>
          <w:id w:val="-805158420"/>
          <w:citation/>
        </w:sdtPr>
        <w:sdtEndPr/>
        <w:sdtContent>
          <w:r w:rsidR="00464636" w:rsidRPr="002815F4">
            <w:rPr>
              <w:rFonts w:ascii="Calibri" w:hAnsi="Calibri"/>
            </w:rPr>
            <w:fldChar w:fldCharType="begin"/>
          </w:r>
          <w:r w:rsidR="00464636" w:rsidRPr="002815F4">
            <w:rPr>
              <w:rFonts w:ascii="Calibri" w:hAnsi="Calibri"/>
            </w:rPr>
            <w:instrText xml:space="preserve"> CITATION Gou12 \l 1033 </w:instrText>
          </w:r>
          <w:r w:rsidR="00464636" w:rsidRPr="002815F4">
            <w:rPr>
              <w:rFonts w:ascii="Calibri" w:hAnsi="Calibri"/>
            </w:rPr>
            <w:fldChar w:fldCharType="separate"/>
          </w:r>
          <w:r w:rsidR="00464636" w:rsidRPr="002815F4">
            <w:rPr>
              <w:rFonts w:ascii="Calibri" w:hAnsi="Calibri"/>
              <w:noProof/>
            </w:rPr>
            <w:t>(Gouvernement du Senegal, 2012)</w:t>
          </w:r>
          <w:r w:rsidR="00464636" w:rsidRPr="002815F4">
            <w:rPr>
              <w:rFonts w:ascii="Calibri" w:hAnsi="Calibri"/>
            </w:rPr>
            <w:fldChar w:fldCharType="end"/>
          </w:r>
        </w:sdtContent>
      </w:sdt>
      <w:r w:rsidR="00352443" w:rsidRPr="002815F4">
        <w:rPr>
          <w:rFonts w:ascii="Calibri" w:hAnsi="Calibri"/>
        </w:rPr>
        <w:t xml:space="preserve">. </w:t>
      </w:r>
      <w:r w:rsidR="00352443" w:rsidRPr="002815F4">
        <w:rPr>
          <w:rFonts w:ascii="Calibri" w:hAnsi="Calibri"/>
        </w:rPr>
        <w:lastRenderedPageBreak/>
        <w:t>Previous to 2016</w:t>
      </w:r>
      <w:r w:rsidR="00773CDF" w:rsidRPr="002815F4">
        <w:rPr>
          <w:rFonts w:ascii="Calibri" w:hAnsi="Calibri"/>
        </w:rPr>
        <w:t xml:space="preserve">, a 2015 MSI Integrity assessment of multi-stakeholder governance in Senegal noted the existence of a per diem practice alongside reimbursement of travel costs. According to MSG members interviewed by the CSO, per diem rates were based on USAID grant rules of USD 40 per day, which the CSO considered </w:t>
      </w:r>
      <w:r w:rsidR="007E587B">
        <w:rPr>
          <w:rFonts w:ascii="Calibri" w:hAnsi="Calibri"/>
        </w:rPr>
        <w:t>acceptable</w:t>
      </w:r>
      <w:r w:rsidR="007E587B" w:rsidRPr="002815F4">
        <w:rPr>
          <w:rFonts w:ascii="Calibri" w:hAnsi="Calibri"/>
        </w:rPr>
        <w:t xml:space="preserve"> </w:t>
      </w:r>
      <w:r w:rsidR="00773CDF" w:rsidRPr="002815F4">
        <w:rPr>
          <w:rFonts w:ascii="Calibri" w:hAnsi="Calibri"/>
        </w:rPr>
        <w:t>given the average of four MSG meetings a year (totalling USD 160 per MSG member). The CSO also noted that additional financial support could be offered to MSG members travelling from outside Dakar for meetings, without further information</w:t>
      </w:r>
      <w:sdt>
        <w:sdtPr>
          <w:rPr>
            <w:rFonts w:ascii="Calibri" w:hAnsi="Calibri"/>
          </w:rPr>
          <w:id w:val="-163016249"/>
          <w:citation/>
        </w:sdtPr>
        <w:sdtEndPr/>
        <w:sdtContent>
          <w:r w:rsidR="00773CDF" w:rsidRPr="002815F4">
            <w:rPr>
              <w:rFonts w:ascii="Calibri" w:hAnsi="Calibri"/>
            </w:rPr>
            <w:fldChar w:fldCharType="begin"/>
          </w:r>
          <w:r w:rsidR="00773CDF" w:rsidRPr="002815F4">
            <w:rPr>
              <w:rFonts w:ascii="Calibri" w:hAnsi="Calibri"/>
            </w:rPr>
            <w:instrText xml:space="preserve"> CITATION MSI152 \l 1033 </w:instrText>
          </w:r>
          <w:r w:rsidR="00773CDF" w:rsidRPr="002815F4">
            <w:rPr>
              <w:rFonts w:ascii="Calibri" w:hAnsi="Calibri"/>
            </w:rPr>
            <w:fldChar w:fldCharType="separate"/>
          </w:r>
          <w:r w:rsidR="003E626E" w:rsidRPr="002815F4">
            <w:rPr>
              <w:rFonts w:ascii="Calibri" w:hAnsi="Calibri"/>
              <w:noProof/>
            </w:rPr>
            <w:t xml:space="preserve"> (MSI Integrity, 2015)</w:t>
          </w:r>
          <w:r w:rsidR="00773CDF" w:rsidRPr="002815F4">
            <w:rPr>
              <w:rFonts w:ascii="Calibri" w:hAnsi="Calibri"/>
            </w:rPr>
            <w:fldChar w:fldCharType="end"/>
          </w:r>
        </w:sdtContent>
      </w:sdt>
      <w:r w:rsidR="00773CDF" w:rsidRPr="002815F4">
        <w:rPr>
          <w:rFonts w:ascii="Calibri" w:hAnsi="Calibri"/>
        </w:rPr>
        <w:t xml:space="preserve">. </w:t>
      </w:r>
    </w:p>
    <w:p w14:paraId="20C75B08" w14:textId="2922D9DE" w:rsidR="00034884" w:rsidRPr="002815F4" w:rsidRDefault="002929E0" w:rsidP="00FE345D">
      <w:pPr>
        <w:spacing w:before="120"/>
        <w:rPr>
          <w:rFonts w:ascii="Calibri" w:hAnsi="Calibri"/>
        </w:rPr>
      </w:pPr>
      <w:r w:rsidRPr="002815F4">
        <w:rPr>
          <w:rFonts w:ascii="Calibri" w:hAnsi="Calibri"/>
          <w:i/>
          <w:u w:val="single"/>
        </w:rPr>
        <w:t>Attendance</w:t>
      </w:r>
      <w:r w:rsidRPr="002815F4">
        <w:rPr>
          <w:rFonts w:ascii="Calibri" w:hAnsi="Calibri"/>
          <w:i/>
        </w:rPr>
        <w:t>:</w:t>
      </w:r>
      <w:r w:rsidR="00973568" w:rsidRPr="002815F4">
        <w:rPr>
          <w:rFonts w:ascii="Calibri" w:hAnsi="Calibri"/>
        </w:rPr>
        <w:t xml:space="preserve"> </w:t>
      </w:r>
      <w:r w:rsidR="002A0639" w:rsidRPr="002815F4">
        <w:rPr>
          <w:rFonts w:ascii="Calibri" w:hAnsi="Calibri"/>
        </w:rPr>
        <w:t xml:space="preserve">Article 8 of the Internal Rules require MSG members to participate in meetings in person and actively, appointing an alternate in the event where they cannot attend </w:t>
      </w:r>
      <w:sdt>
        <w:sdtPr>
          <w:rPr>
            <w:rFonts w:ascii="Calibri" w:hAnsi="Calibri"/>
          </w:rPr>
          <w:id w:val="-1816319530"/>
          <w:citation/>
        </w:sdtPr>
        <w:sdtEndPr/>
        <w:sdtContent>
          <w:r w:rsidR="002A0639" w:rsidRPr="002815F4">
            <w:rPr>
              <w:rFonts w:ascii="Calibri" w:hAnsi="Calibri"/>
            </w:rPr>
            <w:fldChar w:fldCharType="begin"/>
          </w:r>
          <w:r w:rsidR="002A0639" w:rsidRPr="002815F4">
            <w:rPr>
              <w:rFonts w:ascii="Calibri" w:hAnsi="Calibri"/>
            </w:rPr>
            <w:instrText xml:space="preserve"> CITATION ITI1417 \l 1033 </w:instrText>
          </w:r>
          <w:r w:rsidR="002A0639" w:rsidRPr="002815F4">
            <w:rPr>
              <w:rFonts w:ascii="Calibri" w:hAnsi="Calibri"/>
            </w:rPr>
            <w:fldChar w:fldCharType="separate"/>
          </w:r>
          <w:r w:rsidR="003E626E" w:rsidRPr="002815F4">
            <w:rPr>
              <w:rFonts w:ascii="Calibri" w:hAnsi="Calibri"/>
              <w:noProof/>
            </w:rPr>
            <w:t>(ITIE Senegal, 2014)</w:t>
          </w:r>
          <w:r w:rsidR="002A0639" w:rsidRPr="002815F4">
            <w:rPr>
              <w:rFonts w:ascii="Calibri" w:hAnsi="Calibri"/>
            </w:rPr>
            <w:fldChar w:fldCharType="end"/>
          </w:r>
        </w:sdtContent>
      </w:sdt>
      <w:r w:rsidR="002A0639" w:rsidRPr="002815F4">
        <w:rPr>
          <w:rFonts w:ascii="Calibri" w:hAnsi="Calibri"/>
        </w:rPr>
        <w:t xml:space="preserve">. </w:t>
      </w:r>
      <w:r w:rsidR="000F0B57" w:rsidRPr="002815F4">
        <w:rPr>
          <w:rFonts w:ascii="Calibri" w:hAnsi="Calibri"/>
        </w:rPr>
        <w:t xml:space="preserve">Analysis of MSG meeting attendance (in Annex </w:t>
      </w:r>
      <w:r w:rsidR="007C2295" w:rsidRPr="002815F4">
        <w:rPr>
          <w:rFonts w:ascii="Calibri" w:hAnsi="Calibri"/>
        </w:rPr>
        <w:t>B</w:t>
      </w:r>
      <w:r w:rsidR="000F0B57" w:rsidRPr="002815F4">
        <w:rPr>
          <w:rFonts w:ascii="Calibri" w:hAnsi="Calibri"/>
        </w:rPr>
        <w:t xml:space="preserve">) shows that a quorum was reached at all meetings, including “special” ones. There is evidence of strong engagement by all constituencies on the MSG. </w:t>
      </w:r>
    </w:p>
    <w:p w14:paraId="6700FACA" w14:textId="5CE40473" w:rsidR="00874B96" w:rsidRPr="002815F4" w:rsidRDefault="00CD1619" w:rsidP="00E956E1">
      <w:pPr>
        <w:spacing w:before="120"/>
        <w:rPr>
          <w:rFonts w:ascii="Calibri" w:hAnsi="Calibri"/>
        </w:rPr>
      </w:pPr>
      <w:r w:rsidRPr="002815F4">
        <w:rPr>
          <w:rFonts w:ascii="Calibri" w:hAnsi="Calibri"/>
          <w:i/>
          <w:u w:val="single"/>
        </w:rPr>
        <w:t>National secretariat</w:t>
      </w:r>
      <w:r w:rsidRPr="002815F4">
        <w:rPr>
          <w:rFonts w:ascii="Calibri" w:hAnsi="Calibri"/>
        </w:rPr>
        <w:t xml:space="preserve">: </w:t>
      </w:r>
      <w:r w:rsidR="00296708" w:rsidRPr="002815F4">
        <w:rPr>
          <w:rFonts w:ascii="Calibri" w:hAnsi="Calibri"/>
        </w:rPr>
        <w:t xml:space="preserve">Article 7 of Decree 2013-881 and Article 1 of the Internal Rules </w:t>
      </w:r>
      <w:r w:rsidR="002101BD" w:rsidRPr="002815F4">
        <w:rPr>
          <w:rFonts w:ascii="Calibri" w:hAnsi="Calibri"/>
        </w:rPr>
        <w:t xml:space="preserve">defines the roles of </w:t>
      </w:r>
      <w:r w:rsidR="00296708" w:rsidRPr="002815F4">
        <w:rPr>
          <w:rFonts w:ascii="Calibri" w:hAnsi="Calibri"/>
        </w:rPr>
        <w:t>the Technical Secretariat, headed by the Permanent Secretary (National Coordinator). Articles 13 and 16 of the Internal Rules require the Permanent Secretary to attend all meetings and act as meeting reporter</w:t>
      </w:r>
      <w:r w:rsidR="002101BD" w:rsidRPr="002815F4">
        <w:rPr>
          <w:rFonts w:ascii="Calibri" w:hAnsi="Calibri"/>
        </w:rPr>
        <w:t>, prepare minutes and monitor MSG decisions. Article 17 of the rules require the MSG Chair to present an annual activity report to the MSG in presence of the Permanent Secretary, who is charged with coordinating all EITI activities</w:t>
      </w:r>
      <w:r w:rsidR="00EF73FE" w:rsidRPr="002815F4">
        <w:rPr>
          <w:rFonts w:ascii="Calibri" w:hAnsi="Calibri"/>
        </w:rPr>
        <w:t xml:space="preserve"> </w:t>
      </w:r>
      <w:sdt>
        <w:sdtPr>
          <w:rPr>
            <w:rFonts w:ascii="Calibri" w:hAnsi="Calibri"/>
          </w:rPr>
          <w:id w:val="1904251941"/>
          <w:citation/>
        </w:sdtPr>
        <w:sdtEndPr/>
        <w:sdtContent>
          <w:r w:rsidR="00EF73FE" w:rsidRPr="002815F4">
            <w:rPr>
              <w:rFonts w:ascii="Calibri" w:hAnsi="Calibri"/>
            </w:rPr>
            <w:fldChar w:fldCharType="begin"/>
          </w:r>
          <w:r w:rsidR="00EF73FE" w:rsidRPr="002815F4">
            <w:rPr>
              <w:rFonts w:ascii="Calibri" w:hAnsi="Calibri"/>
            </w:rPr>
            <w:instrText xml:space="preserve"> CITATION ITI1417 \l 1033 </w:instrText>
          </w:r>
          <w:r w:rsidR="00EF73FE" w:rsidRPr="002815F4">
            <w:rPr>
              <w:rFonts w:ascii="Calibri" w:hAnsi="Calibri"/>
            </w:rPr>
            <w:fldChar w:fldCharType="separate"/>
          </w:r>
          <w:r w:rsidR="003E626E" w:rsidRPr="002815F4">
            <w:rPr>
              <w:rFonts w:ascii="Calibri" w:hAnsi="Calibri"/>
              <w:noProof/>
            </w:rPr>
            <w:t>(ITIE Senegal, 2014)</w:t>
          </w:r>
          <w:r w:rsidR="00EF73FE" w:rsidRPr="002815F4">
            <w:rPr>
              <w:rFonts w:ascii="Calibri" w:hAnsi="Calibri"/>
            </w:rPr>
            <w:fldChar w:fldCharType="end"/>
          </w:r>
        </w:sdtContent>
      </w:sdt>
      <w:r w:rsidR="002101BD" w:rsidRPr="002815F4">
        <w:rPr>
          <w:rFonts w:ascii="Calibri" w:hAnsi="Calibri"/>
        </w:rPr>
        <w:t xml:space="preserve">. </w:t>
      </w:r>
      <w:r w:rsidR="00EF73FE" w:rsidRPr="002815F4">
        <w:rPr>
          <w:rFonts w:ascii="Calibri" w:hAnsi="Calibri"/>
        </w:rPr>
        <w:t xml:space="preserve">While the rules clarify the relations between the MSG and the secretariat, the 2015 MSI Integrity report raised concerns over the lack of clarity on the secretariat’s specific roles and responsibilities </w:t>
      </w:r>
      <w:sdt>
        <w:sdtPr>
          <w:rPr>
            <w:rFonts w:ascii="Calibri" w:hAnsi="Calibri"/>
          </w:rPr>
          <w:id w:val="-324822736"/>
          <w:citation/>
        </w:sdtPr>
        <w:sdtEndPr/>
        <w:sdtContent>
          <w:r w:rsidR="00EF73FE" w:rsidRPr="002815F4">
            <w:rPr>
              <w:rFonts w:ascii="Calibri" w:hAnsi="Calibri"/>
            </w:rPr>
            <w:fldChar w:fldCharType="begin"/>
          </w:r>
          <w:r w:rsidR="00EF73FE" w:rsidRPr="002815F4">
            <w:rPr>
              <w:rFonts w:ascii="Calibri" w:hAnsi="Calibri"/>
            </w:rPr>
            <w:instrText xml:space="preserve"> CITATION MSI152 \l 1033 </w:instrText>
          </w:r>
          <w:r w:rsidR="00EF73FE" w:rsidRPr="002815F4">
            <w:rPr>
              <w:rFonts w:ascii="Calibri" w:hAnsi="Calibri"/>
            </w:rPr>
            <w:fldChar w:fldCharType="separate"/>
          </w:r>
          <w:r w:rsidR="003E626E" w:rsidRPr="002815F4">
            <w:rPr>
              <w:rFonts w:ascii="Calibri" w:hAnsi="Calibri"/>
              <w:noProof/>
            </w:rPr>
            <w:t>(MSI Integrity, 2015)</w:t>
          </w:r>
          <w:r w:rsidR="00EF73FE" w:rsidRPr="002815F4">
            <w:rPr>
              <w:rFonts w:ascii="Calibri" w:hAnsi="Calibri"/>
            </w:rPr>
            <w:fldChar w:fldCharType="end"/>
          </w:r>
        </w:sdtContent>
      </w:sdt>
      <w:r w:rsidR="00EF73FE" w:rsidRPr="002815F4">
        <w:rPr>
          <w:rFonts w:ascii="Calibri" w:hAnsi="Calibri"/>
        </w:rPr>
        <w:t xml:space="preserve">. The Technical Secretariat appears to fulfil all the responsibilities laid out for the Permanent Secretary in the governance documents. </w:t>
      </w:r>
      <w:r w:rsidR="00253713">
        <w:rPr>
          <w:rFonts w:ascii="Calibri" w:hAnsi="Calibri"/>
        </w:rPr>
        <w:t>T</w:t>
      </w:r>
      <w:r w:rsidR="00694B0E" w:rsidRPr="002815F4">
        <w:rPr>
          <w:rFonts w:ascii="Calibri" w:hAnsi="Calibri"/>
        </w:rPr>
        <w:t>here is evidence of proactive follow up by secretariat staff to ensure comprehensive reporting by material companies and government entities</w:t>
      </w:r>
      <w:r w:rsidR="00253713">
        <w:rPr>
          <w:rFonts w:ascii="Calibri" w:hAnsi="Calibri"/>
        </w:rPr>
        <w:t xml:space="preserve"> </w:t>
      </w:r>
      <w:sdt>
        <w:sdtPr>
          <w:rPr>
            <w:rFonts w:ascii="Calibri" w:hAnsi="Calibri"/>
          </w:rPr>
          <w:id w:val="-1792122255"/>
          <w:citation/>
        </w:sdtPr>
        <w:sdtEndPr/>
        <w:sdtContent>
          <w:r w:rsidR="00694B0E" w:rsidRPr="002815F4">
            <w:rPr>
              <w:rFonts w:ascii="Calibri" w:hAnsi="Calibri"/>
            </w:rPr>
            <w:fldChar w:fldCharType="begin"/>
          </w:r>
          <w:r w:rsidR="00694B0E" w:rsidRPr="002815F4">
            <w:rPr>
              <w:rFonts w:ascii="Calibri" w:hAnsi="Calibri"/>
            </w:rPr>
            <w:instrText xml:space="preserve"> CITATION ITI1537 \l 1033 </w:instrText>
          </w:r>
          <w:r w:rsidR="00694B0E" w:rsidRPr="002815F4">
            <w:rPr>
              <w:rFonts w:ascii="Calibri" w:hAnsi="Calibri"/>
            </w:rPr>
            <w:fldChar w:fldCharType="separate"/>
          </w:r>
          <w:r w:rsidR="003E626E" w:rsidRPr="002815F4">
            <w:rPr>
              <w:rFonts w:ascii="Calibri" w:hAnsi="Calibri"/>
              <w:noProof/>
            </w:rPr>
            <w:t>(ITIE Senegal, 2015)</w:t>
          </w:r>
          <w:r w:rsidR="00694B0E" w:rsidRPr="002815F4">
            <w:rPr>
              <w:rFonts w:ascii="Calibri" w:hAnsi="Calibri"/>
            </w:rPr>
            <w:fldChar w:fldCharType="end"/>
          </w:r>
        </w:sdtContent>
      </w:sdt>
      <w:r w:rsidR="00EF73FE" w:rsidRPr="002815F4">
        <w:rPr>
          <w:rFonts w:ascii="Calibri" w:hAnsi="Calibri"/>
        </w:rPr>
        <w:t xml:space="preserve">. </w:t>
      </w:r>
    </w:p>
    <w:p w14:paraId="6D0AA577" w14:textId="10C918CE" w:rsidR="007B124A" w:rsidRPr="002815F4" w:rsidRDefault="002929E0" w:rsidP="009B3E66">
      <w:pPr>
        <w:pStyle w:val="Heading3"/>
      </w:pPr>
      <w:r w:rsidRPr="002815F4">
        <w:t>St</w:t>
      </w:r>
      <w:bookmarkStart w:id="108" w:name="MSGstakeholderviews"/>
      <w:bookmarkEnd w:id="108"/>
      <w:r w:rsidRPr="002815F4">
        <w:t>akeholder views</w:t>
      </w:r>
      <w:r w:rsidR="00027AC3" w:rsidRPr="002815F4">
        <w:t xml:space="preserve"> </w:t>
      </w:r>
    </w:p>
    <w:p w14:paraId="6A6F85C3" w14:textId="6BFE9891" w:rsidR="00407640" w:rsidRPr="002815F4" w:rsidRDefault="001462D1" w:rsidP="007474FE">
      <w:r w:rsidRPr="002815F4">
        <w:rPr>
          <w:i/>
          <w:u w:val="single"/>
        </w:rPr>
        <w:t>MSG membership</w:t>
      </w:r>
      <w:r w:rsidRPr="002815F4">
        <w:t xml:space="preserve">: </w:t>
      </w:r>
      <w:r w:rsidR="00593135" w:rsidRPr="002815F4">
        <w:t xml:space="preserve">All stakeholders were able to describe their nominations procedures. They acknowledged that the actual representation of different constituencies had evolved </w:t>
      </w:r>
      <w:r w:rsidR="00EE1BF1" w:rsidRPr="002815F4">
        <w:t>and that there was a need to update the 2013 decree on the composition of the MSG</w:t>
      </w:r>
      <w:r w:rsidR="00593135" w:rsidRPr="002815F4">
        <w:t>.</w:t>
      </w:r>
      <w:r w:rsidR="00EE1BF1" w:rsidRPr="002815F4">
        <w:t xml:space="preserve"> </w:t>
      </w:r>
      <w:r w:rsidR="00AF3315" w:rsidRPr="002815F4">
        <w:t>Industry</w:t>
      </w:r>
      <w:r w:rsidR="00407640" w:rsidRPr="002815F4">
        <w:t xml:space="preserve"> and civil society representatives were </w:t>
      </w:r>
      <w:r w:rsidR="002815F4" w:rsidRPr="002815F4">
        <w:t>comfortable</w:t>
      </w:r>
      <w:r w:rsidR="00407640" w:rsidRPr="002815F4">
        <w:t xml:space="preserve"> that their nomination processes were independent and free of outside coercion. They were conscious that the current practice was relatively informal and </w:t>
      </w:r>
      <w:r w:rsidR="00AF3315" w:rsidRPr="002815F4">
        <w:t xml:space="preserve">stated </w:t>
      </w:r>
      <w:r w:rsidR="00407640" w:rsidRPr="002815F4">
        <w:t>that nomination proce</w:t>
      </w:r>
      <w:r w:rsidR="00AF3315" w:rsidRPr="002815F4">
        <w:t>dures</w:t>
      </w:r>
      <w:r w:rsidR="00407640" w:rsidRPr="002815F4">
        <w:t xml:space="preserve"> would be formalized </w:t>
      </w:r>
      <w:r w:rsidR="00EE1BF1" w:rsidRPr="002815F4">
        <w:t>soon</w:t>
      </w:r>
      <w:r w:rsidR="00407640" w:rsidRPr="002815F4">
        <w:t>.</w:t>
      </w:r>
      <w:r w:rsidRPr="002815F4">
        <w:t xml:space="preserve"> The IA noted that the MSG had been particularly engaged in the production of the 2014 EITI Report, including in sourcing information and preparing much of the non-financial data as well as following up with delayed reporting. </w:t>
      </w:r>
      <w:r w:rsidR="00502B39" w:rsidRPr="002815F4">
        <w:t xml:space="preserve">Stakeholders from each constituency, both on and off the MSG, confirmed that there was regular canvassing of opinion and information-sharing in relation to EITI. While the channels for coordination on EITI issues were not formalised in either the civil society or industry constituencies, </w:t>
      </w:r>
      <w:r w:rsidR="00464636" w:rsidRPr="002815F4">
        <w:t xml:space="preserve">stakeholders confirmed that the small number of larger companies and the strong subnational networks of civil society ensured a steady flow of information. Several MSG members also highlighted the importance of having three civil society MSG members based in mining areas. </w:t>
      </w:r>
    </w:p>
    <w:p w14:paraId="4B91D089" w14:textId="4757758E" w:rsidR="00EE1BF1" w:rsidRPr="002815F4" w:rsidRDefault="001462D1" w:rsidP="007474FE">
      <w:r w:rsidRPr="002815F4">
        <w:rPr>
          <w:i/>
          <w:u w:val="single"/>
        </w:rPr>
        <w:t>MSG internal governance</w:t>
      </w:r>
      <w:r w:rsidRPr="002815F4">
        <w:t xml:space="preserve">: </w:t>
      </w:r>
      <w:r w:rsidR="00B01F2D" w:rsidRPr="002815F4">
        <w:t>Civil society noted that there was no official procedure on quorum but there were always representatives from each constituency. Representatives from the National Assembly noted that the National Secretariat gets confirmations on attendance and if attendance is insufficient, the meeting is postponed. Civil society noted that decisions were taken by consensus</w:t>
      </w:r>
      <w:r w:rsidR="00AF3315" w:rsidRPr="002815F4">
        <w:t>.</w:t>
      </w:r>
      <w:r w:rsidR="00B01F2D" w:rsidRPr="002815F4">
        <w:t xml:space="preserve"> </w:t>
      </w:r>
      <w:r w:rsidR="00AF3315" w:rsidRPr="002815F4">
        <w:t>I</w:t>
      </w:r>
      <w:r w:rsidR="00B01F2D" w:rsidRPr="002815F4">
        <w:t xml:space="preserve">f there </w:t>
      </w:r>
      <w:r w:rsidR="00AF3315" w:rsidRPr="002815F4">
        <w:t>wa</w:t>
      </w:r>
      <w:r w:rsidR="00B01F2D" w:rsidRPr="002815F4">
        <w:t xml:space="preserve">s no consensus, the </w:t>
      </w:r>
      <w:r w:rsidR="00AF3315" w:rsidRPr="002815F4">
        <w:t xml:space="preserve">discussions </w:t>
      </w:r>
      <w:r w:rsidR="00B01F2D" w:rsidRPr="002815F4">
        <w:t>continue</w:t>
      </w:r>
      <w:r w:rsidR="00AF3315" w:rsidRPr="002815F4">
        <w:t>d until it could be achieved.</w:t>
      </w:r>
      <w:r w:rsidR="00B01F2D" w:rsidRPr="002815F4">
        <w:t xml:space="preserve"> </w:t>
      </w:r>
      <w:r w:rsidR="00AF3315" w:rsidRPr="002815F4">
        <w:t xml:space="preserve">Stakeholders from all three constituencies provided </w:t>
      </w:r>
      <w:r w:rsidR="00B01F2D" w:rsidRPr="002815F4">
        <w:t>example</w:t>
      </w:r>
      <w:r w:rsidR="00AF3315" w:rsidRPr="002815F4">
        <w:t>s</w:t>
      </w:r>
      <w:r w:rsidR="00B01F2D" w:rsidRPr="002815F4">
        <w:t xml:space="preserve"> of </w:t>
      </w:r>
      <w:r w:rsidR="00AF3315" w:rsidRPr="002815F4">
        <w:t xml:space="preserve">MSG </w:t>
      </w:r>
      <w:r w:rsidR="002815F4" w:rsidRPr="002815F4">
        <w:t>discussions</w:t>
      </w:r>
      <w:r w:rsidR="00AF3315" w:rsidRPr="002815F4">
        <w:t xml:space="preserve"> that continued until consensus could be reached, such as </w:t>
      </w:r>
      <w:r w:rsidR="00B01F2D" w:rsidRPr="002815F4">
        <w:t>the publication of contracts</w:t>
      </w:r>
      <w:r w:rsidR="00AF3315" w:rsidRPr="002815F4">
        <w:t xml:space="preserve">, quality assurances for companies’ EITI reporting and beneficial </w:t>
      </w:r>
      <w:r w:rsidR="00AF3315" w:rsidRPr="002815F4">
        <w:lastRenderedPageBreak/>
        <w:t>ownership</w:t>
      </w:r>
      <w:r w:rsidR="00B01F2D" w:rsidRPr="002815F4">
        <w:t xml:space="preserve">. </w:t>
      </w:r>
      <w:r w:rsidR="00AF3315" w:rsidRPr="002815F4">
        <w:t>Members of the MSG from all constituencies, including c</w:t>
      </w:r>
      <w:r w:rsidR="00B01F2D" w:rsidRPr="002815F4">
        <w:t>ompanies</w:t>
      </w:r>
      <w:r w:rsidR="00AF3315" w:rsidRPr="002815F4">
        <w:t>,</w:t>
      </w:r>
      <w:r w:rsidR="00B01F2D" w:rsidRPr="002815F4">
        <w:t xml:space="preserve"> confirmed that the</w:t>
      </w:r>
      <w:r w:rsidR="00AF3315" w:rsidRPr="002815F4">
        <w:t xml:space="preserve"> MSG</w:t>
      </w:r>
      <w:r w:rsidR="00B01F2D" w:rsidRPr="002815F4">
        <w:t xml:space="preserve"> ha</w:t>
      </w:r>
      <w:r w:rsidR="00AF3315" w:rsidRPr="002815F4">
        <w:t>d</w:t>
      </w:r>
      <w:r w:rsidR="00B01F2D" w:rsidRPr="002815F4">
        <w:t xml:space="preserve"> never voted.</w:t>
      </w:r>
      <w:r w:rsidR="00464636" w:rsidRPr="002815F4">
        <w:t xml:space="preserve"> While certain industry representatives were still concerned about past MSG decisions such as quality assurance for company EITI reporting, none of the stakeholders considered that any one constituency had ever been over-ruled in any decision of the MSG. </w:t>
      </w:r>
    </w:p>
    <w:p w14:paraId="06735225" w14:textId="545F796A" w:rsidR="002444FB" w:rsidRPr="002815F4" w:rsidRDefault="001462D1" w:rsidP="00047048">
      <w:r w:rsidRPr="002815F4">
        <w:rPr>
          <w:i/>
          <w:u w:val="single"/>
        </w:rPr>
        <w:t>Per diems</w:t>
      </w:r>
      <w:r w:rsidRPr="002815F4">
        <w:t xml:space="preserve">: </w:t>
      </w:r>
      <w:r w:rsidR="00B01F2D" w:rsidRPr="002815F4">
        <w:t xml:space="preserve">Stakeholders </w:t>
      </w:r>
      <w:r w:rsidR="00DC25C2" w:rsidRPr="002815F4">
        <w:t>from the MSG and secretariat explained</w:t>
      </w:r>
      <w:r w:rsidR="00B01F2D" w:rsidRPr="002815F4">
        <w:t xml:space="preserve"> that per diem</w:t>
      </w:r>
      <w:r w:rsidR="00DC25C2" w:rsidRPr="002815F4">
        <w:t>s</w:t>
      </w:r>
      <w:r w:rsidR="00B01F2D" w:rsidRPr="002815F4">
        <w:t xml:space="preserve"> </w:t>
      </w:r>
      <w:r w:rsidR="00DC25C2" w:rsidRPr="002815F4">
        <w:t xml:space="preserve">had been formally </w:t>
      </w:r>
      <w:r w:rsidR="00B01F2D" w:rsidRPr="002815F4">
        <w:t>introduced in 2016 to support participation of MSG representatives from outside Dakar</w:t>
      </w:r>
      <w:r w:rsidR="00151F7C" w:rsidRPr="002815F4">
        <w:t xml:space="preserve">, and to formalize the reimbursement of travel expenses </w:t>
      </w:r>
      <w:r w:rsidR="00DC25C2" w:rsidRPr="002815F4">
        <w:t>that</w:t>
      </w:r>
      <w:r w:rsidR="00151F7C" w:rsidRPr="002815F4">
        <w:t xml:space="preserve"> did not </w:t>
      </w:r>
      <w:r w:rsidR="00DC25C2" w:rsidRPr="002815F4">
        <w:t xml:space="preserve">previously </w:t>
      </w:r>
      <w:r w:rsidR="00151F7C" w:rsidRPr="002815F4">
        <w:t>have a legal basis</w:t>
      </w:r>
      <w:r w:rsidR="00B01F2D" w:rsidRPr="002815F4">
        <w:t xml:space="preserve">. </w:t>
      </w:r>
      <w:r w:rsidR="00DC25C2" w:rsidRPr="002815F4">
        <w:t xml:space="preserve">While </w:t>
      </w:r>
      <w:r w:rsidR="009346CA" w:rsidRPr="002815F4">
        <w:t xml:space="preserve">MSG members used to get reimbursed travel expenses of up to XOF 25,000 per session, the MSG realised that this was not in line with formal government practice of per diems codified in </w:t>
      </w:r>
      <w:r w:rsidR="00352443" w:rsidRPr="002815F4">
        <w:t xml:space="preserve">Decree 2012-1314 and decided to adopt the lowest per diem level (of XOF 150k) set in the Decree. Stakeholders explained that each </w:t>
      </w:r>
      <w:r w:rsidR="00B01F2D" w:rsidRPr="002815F4">
        <w:t>MSG member</w:t>
      </w:r>
      <w:r w:rsidR="00151F7C" w:rsidRPr="002815F4">
        <w:t xml:space="preserve"> ha</w:t>
      </w:r>
      <w:r w:rsidR="00352443" w:rsidRPr="002815F4">
        <w:t>d</w:t>
      </w:r>
      <w:r w:rsidR="00151F7C" w:rsidRPr="002815F4">
        <w:t xml:space="preserve"> the </w:t>
      </w:r>
      <w:r w:rsidR="00352443" w:rsidRPr="002815F4">
        <w:t xml:space="preserve">choice </w:t>
      </w:r>
      <w:r w:rsidR="00151F7C" w:rsidRPr="002815F4">
        <w:t>to accept or decline the per diem</w:t>
      </w:r>
      <w:r w:rsidR="00B01F2D" w:rsidRPr="002815F4">
        <w:t>.</w:t>
      </w:r>
      <w:r w:rsidR="00151F7C" w:rsidRPr="002815F4">
        <w:t xml:space="preserve"> </w:t>
      </w:r>
      <w:r w:rsidRPr="002815F4">
        <w:t xml:space="preserve">Industry stakeholders explained that the practice varied per industry representative, according to each company’s code of conduct. </w:t>
      </w:r>
      <w:r w:rsidR="00151F7C" w:rsidRPr="002815F4">
        <w:t>One civil society and one government representative indicated that paradoxically participation at the MSG had decreased slightly since per diem</w:t>
      </w:r>
      <w:r w:rsidR="00352443" w:rsidRPr="002815F4">
        <w:t>s had been formalised</w:t>
      </w:r>
      <w:r w:rsidR="00151F7C" w:rsidRPr="002815F4">
        <w:t xml:space="preserve">. </w:t>
      </w:r>
    </w:p>
    <w:p w14:paraId="35BEB936" w14:textId="3ECB2651" w:rsidR="00047048" w:rsidRPr="002815F4" w:rsidRDefault="001462D1" w:rsidP="00E02D8A">
      <w:r w:rsidRPr="002815F4">
        <w:rPr>
          <w:i/>
          <w:u w:val="single"/>
        </w:rPr>
        <w:t>National secretariat</w:t>
      </w:r>
      <w:r w:rsidRPr="002815F4">
        <w:t xml:space="preserve">: All stakeholders expressed satisfaction at the EITI Senegal Secretariat’s performance, capacity, organisation and impartiality. Several civil society representatives, journalists and parliamentarians praised the secretariat’s proactive approach and considered that dissemination and outreach had been a real partnership between the secretariat and civil society. </w:t>
      </w:r>
    </w:p>
    <w:p w14:paraId="147E7DCA" w14:textId="62ADBE86" w:rsidR="002929E0" w:rsidRPr="002815F4" w:rsidRDefault="00027AC3" w:rsidP="009B3E66">
      <w:pPr>
        <w:pStyle w:val="Heading3"/>
      </w:pPr>
      <w:r w:rsidRPr="002815F4">
        <w:t>Initial a</w:t>
      </w:r>
      <w:r w:rsidR="002929E0" w:rsidRPr="002815F4">
        <w:t>ssessment</w:t>
      </w:r>
    </w:p>
    <w:p w14:paraId="1319B918" w14:textId="4C7E3368" w:rsidR="003E3A2D" w:rsidRPr="002815F4" w:rsidRDefault="000C6E3D" w:rsidP="008D7517">
      <w:pPr>
        <w:rPr>
          <w:rFonts w:ascii="Calibri" w:hAnsi="Calibri"/>
        </w:rPr>
      </w:pPr>
      <w:r w:rsidRPr="002815F4">
        <w:rPr>
          <w:rFonts w:ascii="Calibri" w:hAnsi="Calibri"/>
        </w:rPr>
        <w:t xml:space="preserve">The International Secretariat’s initial assessment is that </w:t>
      </w:r>
      <w:r w:rsidR="003E3A2D" w:rsidRPr="002815F4">
        <w:rPr>
          <w:rFonts w:ascii="Calibri" w:hAnsi="Calibri"/>
          <w:bCs/>
        </w:rPr>
        <w:t>Senegal</w:t>
      </w:r>
      <w:r w:rsidR="003E3A2D" w:rsidRPr="002815F4">
        <w:rPr>
          <w:rFonts w:ascii="Calibri" w:hAnsi="Calibri"/>
        </w:rPr>
        <w:t xml:space="preserve"> </w:t>
      </w:r>
      <w:r w:rsidRPr="002815F4">
        <w:rPr>
          <w:rFonts w:ascii="Calibri" w:hAnsi="Calibri"/>
        </w:rPr>
        <w:t xml:space="preserve">has made </w:t>
      </w:r>
      <w:r w:rsidR="003E3A2D" w:rsidRPr="002815F4">
        <w:rPr>
          <w:rFonts w:ascii="Calibri" w:hAnsi="Calibri"/>
          <w:bCs/>
        </w:rPr>
        <w:t>satisfactory</w:t>
      </w:r>
      <w:r w:rsidR="003E3A2D" w:rsidRPr="002815F4">
        <w:rPr>
          <w:rFonts w:ascii="Calibri" w:hAnsi="Calibri"/>
          <w:b/>
          <w:bCs/>
        </w:rPr>
        <w:t xml:space="preserve"> </w:t>
      </w:r>
      <w:r w:rsidRPr="002815F4">
        <w:rPr>
          <w:rFonts w:ascii="Calibri" w:hAnsi="Calibri"/>
        </w:rPr>
        <w:t xml:space="preserve">progress </w:t>
      </w:r>
      <w:r w:rsidR="003F6245" w:rsidRPr="002815F4">
        <w:rPr>
          <w:rFonts w:ascii="Calibri" w:hAnsi="Calibri"/>
        </w:rPr>
        <w:t xml:space="preserve">towards meeting this </w:t>
      </w:r>
      <w:commentRangeStart w:id="109"/>
      <w:r w:rsidR="003F6245" w:rsidRPr="002815F4">
        <w:rPr>
          <w:rFonts w:ascii="Calibri" w:hAnsi="Calibri"/>
        </w:rPr>
        <w:t>requirement</w:t>
      </w:r>
      <w:commentRangeEnd w:id="109"/>
      <w:r w:rsidR="007322F9">
        <w:rPr>
          <w:rStyle w:val="CommentReference"/>
          <w:szCs w:val="20"/>
        </w:rPr>
        <w:commentReference w:id="109"/>
      </w:r>
      <w:r w:rsidR="003F6245" w:rsidRPr="002815F4">
        <w:rPr>
          <w:rFonts w:ascii="Calibri" w:hAnsi="Calibri"/>
        </w:rPr>
        <w:t xml:space="preserve">. </w:t>
      </w:r>
      <w:r w:rsidR="003E3A2D" w:rsidRPr="002815F4">
        <w:rPr>
          <w:rFonts w:ascii="Calibri" w:hAnsi="Calibri"/>
        </w:rPr>
        <w:t>The MSG has been formed and includes self-appointed representatives from each stakeholder group with no suggestion of interference or coercion</w:t>
      </w:r>
      <w:r w:rsidR="00464636" w:rsidRPr="002815F4">
        <w:rPr>
          <w:rFonts w:ascii="Calibri" w:hAnsi="Calibri"/>
        </w:rPr>
        <w:t>, even if nominations procedures for industry and civil society have yet to be publicly codified</w:t>
      </w:r>
      <w:r w:rsidR="003E3A2D" w:rsidRPr="002815F4">
        <w:rPr>
          <w:rFonts w:ascii="Calibri" w:hAnsi="Calibri"/>
        </w:rPr>
        <w:t xml:space="preserve">. </w:t>
      </w:r>
      <w:r w:rsidR="00464636" w:rsidRPr="002815F4">
        <w:rPr>
          <w:rFonts w:ascii="Calibri" w:hAnsi="Calibri"/>
        </w:rPr>
        <w:t>While not formalised by civil society itself, t</w:t>
      </w:r>
      <w:r w:rsidR="003E3A2D" w:rsidRPr="002815F4">
        <w:rPr>
          <w:rFonts w:ascii="Calibri" w:hAnsi="Calibri"/>
        </w:rPr>
        <w:t>he mechanism for civil society nominations on the MSG was open to the public, both in the initial nominations ahead of the Senegal’s EITI application in 2013 and in 201</w:t>
      </w:r>
      <w:r w:rsidR="00464636" w:rsidRPr="002815F4">
        <w:rPr>
          <w:rFonts w:ascii="Calibri" w:hAnsi="Calibri"/>
        </w:rPr>
        <w:t>5</w:t>
      </w:r>
      <w:r w:rsidR="003E3A2D" w:rsidRPr="002815F4">
        <w:rPr>
          <w:rFonts w:ascii="Calibri" w:hAnsi="Calibri"/>
        </w:rPr>
        <w:t>, and CSO members of the MSG are operationally and in policy terms independent from government and companies. Information on nominations procedures is publicly available. The ToR for the MSG addresses the requirements of the EITI Standard and stakeholders have not highlighted any significant deviations from the ToR in practice. Meetings are convened with sufficient advance warning and MSG members generally appear to have sufficient time to review documents ahead of meetings. Attendance of the large majority of MSG members is consistent.</w:t>
      </w:r>
      <w:r w:rsidR="00A4005E" w:rsidRPr="002815F4">
        <w:rPr>
          <w:rFonts w:ascii="Calibri" w:hAnsi="Calibri"/>
        </w:rPr>
        <w:t xml:space="preserve"> The MSG’s per diem policy is clearly described on the EITI Senegal website and in line with national legislation. </w:t>
      </w:r>
    </w:p>
    <w:p w14:paraId="11F29D3C" w14:textId="3FE9FC41" w:rsidR="0015706B" w:rsidRPr="002815F4" w:rsidRDefault="0015706B" w:rsidP="008D7517">
      <w:pPr>
        <w:rPr>
          <w:rFonts w:ascii="Calibri" w:hAnsi="Calibri"/>
        </w:rPr>
      </w:pPr>
      <w:r w:rsidRPr="002815F4">
        <w:rPr>
          <w:rFonts w:ascii="Calibri" w:hAnsi="Calibri"/>
        </w:rPr>
        <w:t xml:space="preserve">To strengthen implementation, the MSG may wish to </w:t>
      </w:r>
      <w:r w:rsidR="00464636" w:rsidRPr="002815F4">
        <w:rPr>
          <w:rFonts w:ascii="Calibri" w:hAnsi="Calibri"/>
        </w:rPr>
        <w:t xml:space="preserve">support each constituency’s codification of its own nominations and replacement procedures for MSG members. The MSG may also wish to consider </w:t>
      </w:r>
      <w:r w:rsidR="00A10471" w:rsidRPr="002815F4">
        <w:rPr>
          <w:rFonts w:ascii="Calibri" w:hAnsi="Calibri"/>
        </w:rPr>
        <w:t>updat</w:t>
      </w:r>
      <w:r w:rsidR="00464636" w:rsidRPr="002815F4">
        <w:rPr>
          <w:rFonts w:ascii="Calibri" w:hAnsi="Calibri"/>
        </w:rPr>
        <w:t>ing</w:t>
      </w:r>
      <w:r w:rsidR="00A10471" w:rsidRPr="002815F4">
        <w:rPr>
          <w:rFonts w:ascii="Calibri" w:hAnsi="Calibri"/>
        </w:rPr>
        <w:t xml:space="preserve"> the 2013 Decree </w:t>
      </w:r>
      <w:r w:rsidR="00464636" w:rsidRPr="002815F4">
        <w:rPr>
          <w:rFonts w:ascii="Calibri" w:hAnsi="Calibri"/>
        </w:rPr>
        <w:t xml:space="preserve">covering </w:t>
      </w:r>
      <w:r w:rsidR="00A10471" w:rsidRPr="002815F4">
        <w:rPr>
          <w:rFonts w:ascii="Calibri" w:hAnsi="Calibri"/>
        </w:rPr>
        <w:t>the composition of the MSG</w:t>
      </w:r>
      <w:r w:rsidR="00464636" w:rsidRPr="002815F4">
        <w:rPr>
          <w:rFonts w:ascii="Calibri" w:hAnsi="Calibri"/>
        </w:rPr>
        <w:t xml:space="preserve"> to ensure that EITI Senegal’s governance rules are in line with actual practice, particularly on meeting </w:t>
      </w:r>
      <w:r w:rsidR="00A10471" w:rsidRPr="002815F4">
        <w:rPr>
          <w:rFonts w:ascii="Calibri" w:hAnsi="Calibri"/>
        </w:rPr>
        <w:t>quorum</w:t>
      </w:r>
      <w:r w:rsidR="00464636" w:rsidRPr="002815F4">
        <w:rPr>
          <w:rFonts w:ascii="Calibri" w:hAnsi="Calibri"/>
        </w:rPr>
        <w:t xml:space="preserve"> and</w:t>
      </w:r>
      <w:r w:rsidR="00A10471" w:rsidRPr="002815F4">
        <w:rPr>
          <w:rFonts w:ascii="Calibri" w:hAnsi="Calibri"/>
        </w:rPr>
        <w:t xml:space="preserve"> </w:t>
      </w:r>
      <w:r w:rsidR="00464636" w:rsidRPr="002815F4">
        <w:rPr>
          <w:rFonts w:ascii="Calibri" w:hAnsi="Calibri"/>
        </w:rPr>
        <w:t xml:space="preserve">MSG member alternates. </w:t>
      </w:r>
    </w:p>
    <w:p w14:paraId="199FEAA9" w14:textId="728F9CDD" w:rsidR="002929E0" w:rsidRPr="002815F4" w:rsidRDefault="002815F4" w:rsidP="009B3E66">
      <w:pPr>
        <w:pStyle w:val="Heading2"/>
      </w:pPr>
      <w:bookmarkStart w:id="110" w:name="_Toc459133090"/>
      <w:bookmarkStart w:id="111" w:name="_Toc461803039"/>
      <w:bookmarkStart w:id="112" w:name="_Toc461787320"/>
      <w:bookmarkStart w:id="113" w:name="_Toc461795832"/>
      <w:bookmarkStart w:id="114" w:name="_Toc462149179"/>
      <w:r w:rsidRPr="002815F4">
        <w:lastRenderedPageBreak/>
        <w:t>Work plan</w:t>
      </w:r>
      <w:r w:rsidR="002929E0" w:rsidRPr="002815F4">
        <w:t xml:space="preserve"> (#1.5)</w:t>
      </w:r>
      <w:bookmarkEnd w:id="110"/>
      <w:bookmarkEnd w:id="111"/>
      <w:bookmarkEnd w:id="112"/>
      <w:bookmarkEnd w:id="113"/>
      <w:bookmarkEnd w:id="114"/>
      <w:r w:rsidR="002929E0" w:rsidRPr="002815F4">
        <w:t xml:space="preserve"> </w:t>
      </w:r>
    </w:p>
    <w:p w14:paraId="5EABAFD3" w14:textId="77777777" w:rsidR="0091418B" w:rsidRPr="002815F4" w:rsidRDefault="002929E0" w:rsidP="009B3E66">
      <w:pPr>
        <w:pStyle w:val="Heading3"/>
      </w:pPr>
      <w:r w:rsidRPr="002815F4">
        <w:t>Documentation of progress</w:t>
      </w:r>
      <w:r w:rsidR="00ED7496" w:rsidRPr="002815F4">
        <w:t xml:space="preserve"> </w:t>
      </w:r>
    </w:p>
    <w:p w14:paraId="1ED6B498" w14:textId="3B42A731" w:rsidR="00276854" w:rsidRPr="002815F4" w:rsidRDefault="0025096D" w:rsidP="00276854">
      <w:pPr>
        <w:spacing w:before="120"/>
        <w:rPr>
          <w:rFonts w:ascii="Calibri" w:hAnsi="Calibri"/>
          <w:bCs/>
        </w:rPr>
      </w:pPr>
      <w:r w:rsidRPr="002815F4">
        <w:rPr>
          <w:rFonts w:ascii="Calibri" w:hAnsi="Calibri"/>
        </w:rPr>
        <w:t>Senegal’s MSG initially agreed a 2013-16 EITI work plan</w:t>
      </w:r>
      <w:r w:rsidRPr="002815F4">
        <w:rPr>
          <w:rStyle w:val="FootnoteReference"/>
          <w:rFonts w:ascii="Calibri" w:hAnsi="Calibri"/>
        </w:rPr>
        <w:footnoteReference w:id="33"/>
      </w:r>
      <w:r w:rsidRPr="002815F4">
        <w:rPr>
          <w:rFonts w:ascii="Calibri" w:hAnsi="Calibri"/>
        </w:rPr>
        <w:t xml:space="preserve"> as part of its </w:t>
      </w:r>
      <w:r w:rsidR="00253713">
        <w:rPr>
          <w:rFonts w:ascii="Calibri" w:hAnsi="Calibri"/>
        </w:rPr>
        <w:t xml:space="preserve">EITI Candidature </w:t>
      </w:r>
      <w:r w:rsidRPr="002815F4">
        <w:rPr>
          <w:rFonts w:ascii="Calibri" w:hAnsi="Calibri"/>
        </w:rPr>
        <w:t xml:space="preserve">application in July 2013 </w:t>
      </w:r>
      <w:sdt>
        <w:sdtPr>
          <w:rPr>
            <w:rFonts w:ascii="Calibri" w:hAnsi="Calibri"/>
          </w:rPr>
          <w:id w:val="849842821"/>
          <w:citation/>
        </w:sdtPr>
        <w:sdtEndPr/>
        <w:sdtContent>
          <w:r w:rsidRPr="002815F4">
            <w:rPr>
              <w:rFonts w:ascii="Calibri" w:hAnsi="Calibri"/>
            </w:rPr>
            <w:fldChar w:fldCharType="begin"/>
          </w:r>
          <w:r w:rsidRPr="002815F4">
            <w:rPr>
              <w:rFonts w:ascii="Calibri" w:hAnsi="Calibri"/>
            </w:rPr>
            <w:instrText xml:space="preserve"> CITATION ITI1320 \l 1033 </w:instrText>
          </w:r>
          <w:r w:rsidRPr="002815F4">
            <w:rPr>
              <w:rFonts w:ascii="Calibri" w:hAnsi="Calibri"/>
            </w:rPr>
            <w:fldChar w:fldCharType="separate"/>
          </w:r>
          <w:r w:rsidR="003E626E" w:rsidRPr="002815F4">
            <w:rPr>
              <w:rFonts w:ascii="Calibri" w:hAnsi="Calibri"/>
              <w:noProof/>
            </w:rPr>
            <w:t>(ITIE Senegal, 2013)</w:t>
          </w:r>
          <w:r w:rsidRPr="002815F4">
            <w:rPr>
              <w:rFonts w:ascii="Calibri" w:hAnsi="Calibri"/>
            </w:rPr>
            <w:fldChar w:fldCharType="end"/>
          </w:r>
        </w:sdtContent>
      </w:sdt>
      <w:r w:rsidRPr="002815F4">
        <w:rPr>
          <w:rFonts w:ascii="Calibri" w:hAnsi="Calibri"/>
        </w:rPr>
        <w:t>.</w:t>
      </w:r>
      <w:r w:rsidR="00B42F50" w:rsidRPr="002815F4">
        <w:rPr>
          <w:rFonts w:ascii="Calibri" w:hAnsi="Calibri"/>
        </w:rPr>
        <w:t xml:space="preserve"> It published a 2016</w:t>
      </w:r>
      <w:r w:rsidR="00253713">
        <w:rPr>
          <w:rFonts w:ascii="Calibri" w:hAnsi="Calibri"/>
        </w:rPr>
        <w:t xml:space="preserve"> </w:t>
      </w:r>
      <w:r w:rsidR="00B42F50" w:rsidRPr="002815F4">
        <w:rPr>
          <w:rFonts w:ascii="Calibri" w:hAnsi="Calibri"/>
        </w:rPr>
        <w:t>EITI work plan in January 2016</w:t>
      </w:r>
      <w:sdt>
        <w:sdtPr>
          <w:rPr>
            <w:rFonts w:ascii="Calibri" w:hAnsi="Calibri"/>
          </w:rPr>
          <w:id w:val="-1137565214"/>
          <w:citation/>
        </w:sdtPr>
        <w:sdtEndPr/>
        <w:sdtContent>
          <w:r w:rsidR="00B42F50" w:rsidRPr="002815F4">
            <w:rPr>
              <w:rFonts w:ascii="Calibri" w:hAnsi="Calibri"/>
            </w:rPr>
            <w:fldChar w:fldCharType="begin"/>
          </w:r>
          <w:r w:rsidR="00B42F50" w:rsidRPr="002815F4">
            <w:rPr>
              <w:rFonts w:ascii="Calibri" w:hAnsi="Calibri"/>
            </w:rPr>
            <w:instrText xml:space="preserve"> CITATION ITI1647 \l 1033 </w:instrText>
          </w:r>
          <w:r w:rsidR="00B42F50" w:rsidRPr="002815F4">
            <w:rPr>
              <w:rFonts w:ascii="Calibri" w:hAnsi="Calibri"/>
            </w:rPr>
            <w:fldChar w:fldCharType="separate"/>
          </w:r>
          <w:r w:rsidR="003E626E" w:rsidRPr="002815F4">
            <w:rPr>
              <w:rFonts w:ascii="Calibri" w:hAnsi="Calibri"/>
              <w:noProof/>
            </w:rPr>
            <w:t xml:space="preserve"> (ITIE Senegal, 2016)</w:t>
          </w:r>
          <w:r w:rsidR="00B42F50" w:rsidRPr="002815F4">
            <w:rPr>
              <w:rFonts w:ascii="Calibri" w:hAnsi="Calibri"/>
            </w:rPr>
            <w:fldChar w:fldCharType="end"/>
          </w:r>
        </w:sdtContent>
      </w:sdt>
      <w:r w:rsidR="00B42F50" w:rsidRPr="002815F4">
        <w:rPr>
          <w:rFonts w:ascii="Calibri" w:hAnsi="Calibri"/>
        </w:rPr>
        <w:t xml:space="preserve"> and </w:t>
      </w:r>
      <w:r w:rsidR="00DE2F9C">
        <w:rPr>
          <w:rFonts w:ascii="Calibri" w:hAnsi="Calibri"/>
          <w:bCs/>
        </w:rPr>
        <w:t xml:space="preserve">a </w:t>
      </w:r>
      <w:r w:rsidR="00B42F50" w:rsidRPr="002815F4">
        <w:rPr>
          <w:rFonts w:ascii="Calibri" w:hAnsi="Calibri"/>
          <w:bCs/>
        </w:rPr>
        <w:t>2017 EITI work plan</w:t>
      </w:r>
      <w:r w:rsidR="00B42F50" w:rsidRPr="002815F4">
        <w:rPr>
          <w:rStyle w:val="FootnoteReference"/>
          <w:rFonts w:ascii="Calibri" w:hAnsi="Calibri"/>
          <w:bCs/>
        </w:rPr>
        <w:footnoteReference w:id="34"/>
      </w:r>
      <w:r w:rsidR="00B42F50" w:rsidRPr="002815F4">
        <w:rPr>
          <w:rFonts w:ascii="Calibri" w:hAnsi="Calibri"/>
          <w:bCs/>
        </w:rPr>
        <w:t xml:space="preserve"> </w:t>
      </w:r>
      <w:r w:rsidR="00253713">
        <w:rPr>
          <w:rFonts w:ascii="Calibri" w:hAnsi="Calibri"/>
          <w:bCs/>
        </w:rPr>
        <w:t>in</w:t>
      </w:r>
      <w:r w:rsidR="00B42F50" w:rsidRPr="002815F4">
        <w:rPr>
          <w:rFonts w:ascii="Calibri" w:hAnsi="Calibri"/>
          <w:bCs/>
        </w:rPr>
        <w:t xml:space="preserve"> January 2017 </w:t>
      </w:r>
      <w:sdt>
        <w:sdtPr>
          <w:rPr>
            <w:rFonts w:ascii="Calibri" w:hAnsi="Calibri"/>
            <w:bCs/>
          </w:rPr>
          <w:id w:val="-1731221817"/>
          <w:citation/>
        </w:sdtPr>
        <w:sdtEndPr/>
        <w:sdtContent>
          <w:r w:rsidR="00B42F50" w:rsidRPr="002815F4">
            <w:rPr>
              <w:rFonts w:ascii="Calibri" w:hAnsi="Calibri"/>
              <w:bCs/>
            </w:rPr>
            <w:fldChar w:fldCharType="begin"/>
          </w:r>
          <w:r w:rsidR="00B42F50" w:rsidRPr="002815F4">
            <w:rPr>
              <w:rFonts w:ascii="Calibri" w:hAnsi="Calibri"/>
              <w:bCs/>
            </w:rPr>
            <w:instrText xml:space="preserve"> CITATION ITI1721 \l 1033 </w:instrText>
          </w:r>
          <w:r w:rsidR="00B42F50" w:rsidRPr="002815F4">
            <w:rPr>
              <w:rFonts w:ascii="Calibri" w:hAnsi="Calibri"/>
              <w:bCs/>
            </w:rPr>
            <w:fldChar w:fldCharType="separate"/>
          </w:r>
          <w:r w:rsidR="003E626E" w:rsidRPr="002815F4">
            <w:rPr>
              <w:rFonts w:ascii="Calibri" w:hAnsi="Calibri"/>
              <w:noProof/>
            </w:rPr>
            <w:t>(ITIE Senegal, 2017)</w:t>
          </w:r>
          <w:r w:rsidR="00B42F50" w:rsidRPr="002815F4">
            <w:rPr>
              <w:rFonts w:ascii="Calibri" w:hAnsi="Calibri"/>
              <w:bCs/>
            </w:rPr>
            <w:fldChar w:fldCharType="end"/>
          </w:r>
        </w:sdtContent>
      </w:sdt>
      <w:r w:rsidR="00B42F50" w:rsidRPr="002815F4">
        <w:rPr>
          <w:rFonts w:ascii="Calibri" w:hAnsi="Calibri"/>
          <w:bCs/>
        </w:rPr>
        <w:t xml:space="preserve">. Following consultations taking stock of the first three years of EITI implementation, </w:t>
      </w:r>
      <w:r w:rsidR="00276854" w:rsidRPr="002815F4">
        <w:rPr>
          <w:rFonts w:ascii="Calibri" w:hAnsi="Calibri"/>
          <w:bCs/>
        </w:rPr>
        <w:t xml:space="preserve">the MSG agreed </w:t>
      </w:r>
      <w:r w:rsidR="00D359E8">
        <w:rPr>
          <w:rFonts w:ascii="Calibri" w:hAnsi="Calibri"/>
          <w:bCs/>
        </w:rPr>
        <w:t>on a</w:t>
      </w:r>
      <w:r w:rsidR="00276854" w:rsidRPr="002815F4">
        <w:rPr>
          <w:rFonts w:ascii="Calibri" w:hAnsi="Calibri"/>
          <w:bCs/>
        </w:rPr>
        <w:t xml:space="preserve"> strategic plan </w:t>
      </w:r>
      <w:r w:rsidR="00D359E8">
        <w:rPr>
          <w:rFonts w:ascii="Calibri" w:hAnsi="Calibri"/>
          <w:bCs/>
        </w:rPr>
        <w:t>for</w:t>
      </w:r>
      <w:r w:rsidR="00D359E8" w:rsidRPr="002815F4">
        <w:rPr>
          <w:rFonts w:ascii="Calibri" w:hAnsi="Calibri"/>
          <w:bCs/>
        </w:rPr>
        <w:t xml:space="preserve"> </w:t>
      </w:r>
      <w:r w:rsidR="00B42F50" w:rsidRPr="002815F4">
        <w:rPr>
          <w:rFonts w:ascii="Calibri" w:hAnsi="Calibri"/>
          <w:bCs/>
        </w:rPr>
        <w:t xml:space="preserve">2017-2021 in March 2017 </w:t>
      </w:r>
      <w:sdt>
        <w:sdtPr>
          <w:rPr>
            <w:rFonts w:ascii="Calibri" w:hAnsi="Calibri"/>
            <w:bCs/>
          </w:rPr>
          <w:id w:val="1989665021"/>
          <w:citation/>
        </w:sdtPr>
        <w:sdtEndPr/>
        <w:sdtContent>
          <w:r w:rsidR="00276854" w:rsidRPr="002815F4">
            <w:rPr>
              <w:rFonts w:ascii="Calibri" w:hAnsi="Calibri"/>
              <w:bCs/>
            </w:rPr>
            <w:fldChar w:fldCharType="begin"/>
          </w:r>
          <w:r w:rsidR="00276854" w:rsidRPr="002815F4">
            <w:rPr>
              <w:rFonts w:ascii="Calibri" w:hAnsi="Calibri"/>
              <w:bCs/>
            </w:rPr>
            <w:instrText xml:space="preserve"> CITATION ITI1711 \l 1033 </w:instrText>
          </w:r>
          <w:r w:rsidR="00276854" w:rsidRPr="002815F4">
            <w:rPr>
              <w:rFonts w:ascii="Calibri" w:hAnsi="Calibri"/>
              <w:bCs/>
            </w:rPr>
            <w:fldChar w:fldCharType="separate"/>
          </w:r>
          <w:r w:rsidR="003E626E" w:rsidRPr="002815F4">
            <w:rPr>
              <w:rFonts w:ascii="Calibri" w:hAnsi="Calibri"/>
              <w:noProof/>
            </w:rPr>
            <w:t>(ITIE Senegal, 2017)</w:t>
          </w:r>
          <w:r w:rsidR="00276854" w:rsidRPr="002815F4">
            <w:rPr>
              <w:rFonts w:ascii="Calibri" w:hAnsi="Calibri"/>
              <w:bCs/>
            </w:rPr>
            <w:fldChar w:fldCharType="end"/>
          </w:r>
        </w:sdtContent>
      </w:sdt>
      <w:r w:rsidR="008171FC" w:rsidRPr="002815F4">
        <w:rPr>
          <w:rFonts w:ascii="Calibri" w:hAnsi="Calibri"/>
          <w:bCs/>
        </w:rPr>
        <w:t xml:space="preserve">. </w:t>
      </w:r>
      <w:r w:rsidR="009102D8" w:rsidRPr="002815F4">
        <w:rPr>
          <w:rFonts w:ascii="Calibri" w:hAnsi="Calibri"/>
          <w:bCs/>
        </w:rPr>
        <w:t xml:space="preserve">It also published a </w:t>
      </w:r>
      <w:r w:rsidR="009102D8" w:rsidRPr="002815F4">
        <w:rPr>
          <w:rFonts w:ascii="Calibri" w:hAnsi="Calibri"/>
        </w:rPr>
        <w:t xml:space="preserve">three-year MSG work plan (2017-2019) </w:t>
      </w:r>
      <w:sdt>
        <w:sdtPr>
          <w:rPr>
            <w:rFonts w:ascii="Calibri" w:hAnsi="Calibri"/>
          </w:rPr>
          <w:id w:val="-531338807"/>
          <w:citation/>
        </w:sdtPr>
        <w:sdtEndPr/>
        <w:sdtContent>
          <w:r w:rsidR="009102D8" w:rsidRPr="002815F4">
            <w:rPr>
              <w:rFonts w:ascii="Calibri" w:hAnsi="Calibri"/>
            </w:rPr>
            <w:fldChar w:fldCharType="begin"/>
          </w:r>
          <w:r w:rsidR="009102D8" w:rsidRPr="002815F4">
            <w:rPr>
              <w:rFonts w:ascii="Calibri" w:hAnsi="Calibri"/>
            </w:rPr>
            <w:instrText xml:space="preserve"> CITATION ITI1723 \l 1033 </w:instrText>
          </w:r>
          <w:r w:rsidR="009102D8" w:rsidRPr="002815F4">
            <w:rPr>
              <w:rFonts w:ascii="Calibri" w:hAnsi="Calibri"/>
            </w:rPr>
            <w:fldChar w:fldCharType="separate"/>
          </w:r>
          <w:r w:rsidR="003E626E" w:rsidRPr="002815F4">
            <w:rPr>
              <w:rFonts w:ascii="Calibri" w:hAnsi="Calibri"/>
              <w:noProof/>
            </w:rPr>
            <w:t>(ITIE Senegal, 2017)</w:t>
          </w:r>
          <w:r w:rsidR="009102D8" w:rsidRPr="002815F4">
            <w:rPr>
              <w:rFonts w:ascii="Calibri" w:hAnsi="Calibri"/>
            </w:rPr>
            <w:fldChar w:fldCharType="end"/>
          </w:r>
        </w:sdtContent>
      </w:sdt>
      <w:r w:rsidR="009102D8" w:rsidRPr="002815F4">
        <w:rPr>
          <w:rFonts w:ascii="Calibri" w:hAnsi="Calibri"/>
        </w:rPr>
        <w:t>.</w:t>
      </w:r>
      <w:r w:rsidR="009102D8" w:rsidRPr="002815F4">
        <w:rPr>
          <w:rFonts w:ascii="Calibri" w:hAnsi="Calibri"/>
          <w:bCs/>
        </w:rPr>
        <w:t xml:space="preserve"> </w:t>
      </w:r>
      <w:r w:rsidR="00CC0285" w:rsidRPr="002815F4">
        <w:rPr>
          <w:rFonts w:ascii="Calibri" w:hAnsi="Calibri"/>
          <w:bCs/>
        </w:rPr>
        <w:t xml:space="preserve">There is evidence of </w:t>
      </w:r>
      <w:r w:rsidR="00253713">
        <w:rPr>
          <w:rFonts w:ascii="Calibri" w:hAnsi="Calibri"/>
          <w:bCs/>
        </w:rPr>
        <w:t>broad</w:t>
      </w:r>
      <w:r w:rsidR="00253713" w:rsidRPr="002815F4">
        <w:rPr>
          <w:rFonts w:ascii="Calibri" w:hAnsi="Calibri"/>
          <w:bCs/>
        </w:rPr>
        <w:t xml:space="preserve"> </w:t>
      </w:r>
      <w:r w:rsidR="00CC0285" w:rsidRPr="002815F4">
        <w:rPr>
          <w:rFonts w:ascii="Calibri" w:hAnsi="Calibri"/>
          <w:bCs/>
        </w:rPr>
        <w:t xml:space="preserve">stakeholder consultations both on the MSG and </w:t>
      </w:r>
      <w:r w:rsidR="00253713">
        <w:rPr>
          <w:rFonts w:ascii="Calibri" w:hAnsi="Calibri"/>
          <w:bCs/>
        </w:rPr>
        <w:t>outside</w:t>
      </w:r>
      <w:r w:rsidR="00CC0285" w:rsidRPr="002815F4">
        <w:rPr>
          <w:rFonts w:ascii="Calibri" w:hAnsi="Calibri"/>
          <w:bCs/>
        </w:rPr>
        <w:t xml:space="preserve"> in the drafting of the annual and tri-annual work plans</w:t>
      </w:r>
      <w:r w:rsidR="00CC0285" w:rsidRPr="002815F4">
        <w:rPr>
          <w:rFonts w:ascii="Calibri" w:hAnsi="Calibri"/>
        </w:rPr>
        <w:t xml:space="preserve"> </w:t>
      </w:r>
      <w:sdt>
        <w:sdtPr>
          <w:rPr>
            <w:rFonts w:ascii="Calibri" w:hAnsi="Calibri"/>
          </w:rPr>
          <w:id w:val="508096251"/>
          <w:citation/>
        </w:sdtPr>
        <w:sdtEndPr/>
        <w:sdtContent>
          <w:r w:rsidR="00CC0285" w:rsidRPr="002815F4">
            <w:rPr>
              <w:rFonts w:ascii="Calibri" w:hAnsi="Calibri"/>
            </w:rPr>
            <w:fldChar w:fldCharType="begin"/>
          </w:r>
          <w:r w:rsidR="00CC0285" w:rsidRPr="002815F4">
            <w:rPr>
              <w:rFonts w:ascii="Calibri" w:hAnsi="Calibri"/>
            </w:rPr>
            <w:instrText xml:space="preserve"> CITATION ITI179 \l 1033 </w:instrText>
          </w:r>
          <w:r w:rsidR="00CC0285" w:rsidRPr="002815F4">
            <w:rPr>
              <w:rFonts w:ascii="Calibri" w:hAnsi="Calibri"/>
            </w:rPr>
            <w:fldChar w:fldCharType="separate"/>
          </w:r>
          <w:r w:rsidR="003E626E" w:rsidRPr="002815F4">
            <w:rPr>
              <w:rFonts w:ascii="Calibri" w:hAnsi="Calibri"/>
              <w:noProof/>
            </w:rPr>
            <w:t>(ITIE Senegal, 2017)</w:t>
          </w:r>
          <w:r w:rsidR="00CC0285" w:rsidRPr="002815F4">
            <w:rPr>
              <w:rFonts w:ascii="Calibri" w:hAnsi="Calibri"/>
            </w:rPr>
            <w:fldChar w:fldCharType="end"/>
          </w:r>
        </w:sdtContent>
      </w:sdt>
      <w:r w:rsidR="00CC0285" w:rsidRPr="002815F4">
        <w:rPr>
          <w:rFonts w:ascii="Calibri" w:hAnsi="Calibri"/>
        </w:rPr>
        <w:t xml:space="preserve"> </w:t>
      </w:r>
      <w:sdt>
        <w:sdtPr>
          <w:rPr>
            <w:rFonts w:ascii="Calibri" w:hAnsi="Calibri"/>
          </w:rPr>
          <w:id w:val="51047858"/>
          <w:citation/>
        </w:sdtPr>
        <w:sdtEndPr/>
        <w:sdtContent>
          <w:r w:rsidR="00CC0285" w:rsidRPr="002815F4">
            <w:rPr>
              <w:rFonts w:ascii="Calibri" w:hAnsi="Calibri"/>
            </w:rPr>
            <w:fldChar w:fldCharType="begin"/>
          </w:r>
          <w:r w:rsidR="00CC0285" w:rsidRPr="002815F4">
            <w:rPr>
              <w:rFonts w:ascii="Calibri" w:hAnsi="Calibri"/>
            </w:rPr>
            <w:instrText xml:space="preserve"> CITATION ITI1716 \l 1033 </w:instrText>
          </w:r>
          <w:r w:rsidR="00CC0285" w:rsidRPr="002815F4">
            <w:rPr>
              <w:rFonts w:ascii="Calibri" w:hAnsi="Calibri"/>
            </w:rPr>
            <w:fldChar w:fldCharType="separate"/>
          </w:r>
          <w:r w:rsidR="003E626E" w:rsidRPr="002815F4">
            <w:rPr>
              <w:rFonts w:ascii="Calibri" w:hAnsi="Calibri"/>
              <w:noProof/>
            </w:rPr>
            <w:t>(ITIE Senegal, 2017)</w:t>
          </w:r>
          <w:r w:rsidR="00CC0285" w:rsidRPr="002815F4">
            <w:rPr>
              <w:rFonts w:ascii="Calibri" w:hAnsi="Calibri"/>
            </w:rPr>
            <w:fldChar w:fldCharType="end"/>
          </w:r>
        </w:sdtContent>
      </w:sdt>
      <w:r w:rsidR="00CC0285" w:rsidRPr="002815F4">
        <w:rPr>
          <w:rFonts w:ascii="Calibri" w:hAnsi="Calibri"/>
        </w:rPr>
        <w:t>.</w:t>
      </w:r>
      <w:r w:rsidR="00CC0285" w:rsidRPr="002815F4">
        <w:rPr>
          <w:rFonts w:ascii="Calibri" w:hAnsi="Calibri"/>
          <w:bCs/>
        </w:rPr>
        <w:t xml:space="preserve"> </w:t>
      </w:r>
      <w:r w:rsidR="00276854" w:rsidRPr="002815F4">
        <w:rPr>
          <w:rFonts w:ascii="Calibri" w:hAnsi="Calibri"/>
        </w:rPr>
        <w:t xml:space="preserve">The MSG </w:t>
      </w:r>
      <w:r w:rsidR="00CC0285" w:rsidRPr="002815F4">
        <w:rPr>
          <w:rFonts w:ascii="Calibri" w:hAnsi="Calibri"/>
        </w:rPr>
        <w:t>has</w:t>
      </w:r>
      <w:r w:rsidR="00276854" w:rsidRPr="002815F4">
        <w:rPr>
          <w:rFonts w:ascii="Calibri" w:hAnsi="Calibri"/>
        </w:rPr>
        <w:t xml:space="preserve"> published simplified version</w:t>
      </w:r>
      <w:r w:rsidR="00CC0285" w:rsidRPr="002815F4">
        <w:rPr>
          <w:rFonts w:ascii="Calibri" w:hAnsi="Calibri"/>
        </w:rPr>
        <w:t>s</w:t>
      </w:r>
      <w:r w:rsidR="00276854" w:rsidRPr="002815F4">
        <w:rPr>
          <w:rFonts w:ascii="Calibri" w:hAnsi="Calibri"/>
        </w:rPr>
        <w:t xml:space="preserve"> of the 2017-2021 strategic plan for </w:t>
      </w:r>
      <w:r w:rsidR="00CC0285" w:rsidRPr="002815F4">
        <w:rPr>
          <w:rFonts w:ascii="Calibri" w:hAnsi="Calibri"/>
        </w:rPr>
        <w:t xml:space="preserve">broader dissemination </w:t>
      </w:r>
      <w:sdt>
        <w:sdtPr>
          <w:rPr>
            <w:rFonts w:ascii="Calibri" w:hAnsi="Calibri"/>
          </w:rPr>
          <w:id w:val="1172680552"/>
          <w:citation/>
        </w:sdtPr>
        <w:sdtEndPr/>
        <w:sdtContent>
          <w:r w:rsidR="00276854" w:rsidRPr="002815F4">
            <w:rPr>
              <w:rFonts w:ascii="Calibri" w:hAnsi="Calibri"/>
            </w:rPr>
            <w:fldChar w:fldCharType="begin"/>
          </w:r>
          <w:r w:rsidR="00276854" w:rsidRPr="002815F4">
            <w:rPr>
              <w:rFonts w:ascii="Calibri" w:hAnsi="Calibri"/>
            </w:rPr>
            <w:instrText xml:space="preserve"> CITATION ITI1710 \l 1033 </w:instrText>
          </w:r>
          <w:r w:rsidR="00276854" w:rsidRPr="002815F4">
            <w:rPr>
              <w:rFonts w:ascii="Calibri" w:hAnsi="Calibri"/>
            </w:rPr>
            <w:fldChar w:fldCharType="separate"/>
          </w:r>
          <w:r w:rsidR="003E626E" w:rsidRPr="002815F4">
            <w:rPr>
              <w:rFonts w:ascii="Calibri" w:hAnsi="Calibri"/>
              <w:noProof/>
            </w:rPr>
            <w:t>(ITIE Senegal, 2017)</w:t>
          </w:r>
          <w:r w:rsidR="00276854" w:rsidRPr="002815F4">
            <w:rPr>
              <w:rFonts w:ascii="Calibri" w:hAnsi="Calibri"/>
            </w:rPr>
            <w:fldChar w:fldCharType="end"/>
          </w:r>
        </w:sdtContent>
      </w:sdt>
      <w:r w:rsidR="00CC0285" w:rsidRPr="002815F4">
        <w:rPr>
          <w:rFonts w:ascii="Calibri" w:hAnsi="Calibri"/>
        </w:rPr>
        <w:t xml:space="preserve">. </w:t>
      </w:r>
    </w:p>
    <w:p w14:paraId="439B253D" w14:textId="1178D4D2" w:rsidR="00E8042D" w:rsidRPr="002815F4" w:rsidRDefault="00FE345D" w:rsidP="00DA4B4A">
      <w:pPr>
        <w:spacing w:before="120"/>
        <w:rPr>
          <w:rFonts w:ascii="Calibri" w:hAnsi="Calibri"/>
          <w:iCs/>
        </w:rPr>
      </w:pPr>
      <w:r w:rsidRPr="002815F4">
        <w:rPr>
          <w:rFonts w:ascii="Calibri" w:hAnsi="Calibri"/>
          <w:i/>
        </w:rPr>
        <w:t xml:space="preserve">Publicly accessible </w:t>
      </w:r>
      <w:r w:rsidR="002815F4" w:rsidRPr="002815F4">
        <w:rPr>
          <w:rFonts w:ascii="Calibri" w:hAnsi="Calibri"/>
          <w:i/>
        </w:rPr>
        <w:t>work plan</w:t>
      </w:r>
      <w:r w:rsidRPr="002815F4">
        <w:rPr>
          <w:rFonts w:ascii="Calibri" w:hAnsi="Calibri"/>
          <w:iCs/>
        </w:rPr>
        <w:t xml:space="preserve">: </w:t>
      </w:r>
      <w:r w:rsidR="00CC0285" w:rsidRPr="002815F4">
        <w:rPr>
          <w:rFonts w:ascii="Calibri" w:hAnsi="Calibri"/>
          <w:iCs/>
        </w:rPr>
        <w:t>The successive EITI Senegal work plans have consistently been published on the (bottom) front page of the EITI Senegal website.</w:t>
      </w:r>
      <w:r w:rsidR="00CC0285" w:rsidRPr="002815F4">
        <w:rPr>
          <w:rStyle w:val="FootnoteReference"/>
          <w:rFonts w:ascii="Calibri" w:hAnsi="Calibri"/>
          <w:iCs/>
        </w:rPr>
        <w:footnoteReference w:id="35"/>
      </w:r>
    </w:p>
    <w:p w14:paraId="5C82A349" w14:textId="3E01C9CC" w:rsidR="004C3665" w:rsidRPr="002815F4" w:rsidRDefault="00E956E1" w:rsidP="004C3665">
      <w:pPr>
        <w:spacing w:before="120"/>
        <w:rPr>
          <w:rFonts w:ascii="Calibri" w:hAnsi="Calibri"/>
        </w:rPr>
      </w:pPr>
      <w:r w:rsidRPr="002815F4">
        <w:rPr>
          <w:rFonts w:ascii="Calibri" w:hAnsi="Calibri"/>
          <w:i/>
        </w:rPr>
        <w:t>Objective</w:t>
      </w:r>
      <w:r w:rsidR="007F3C71" w:rsidRPr="002815F4">
        <w:rPr>
          <w:rFonts w:ascii="Calibri" w:hAnsi="Calibri"/>
          <w:i/>
        </w:rPr>
        <w:t>s</w:t>
      </w:r>
      <w:r w:rsidRPr="002815F4">
        <w:rPr>
          <w:rFonts w:ascii="Calibri" w:hAnsi="Calibri"/>
          <w:i/>
        </w:rPr>
        <w:t xml:space="preserve"> for implementation:</w:t>
      </w:r>
      <w:r w:rsidR="009909C7" w:rsidRPr="002815F4">
        <w:rPr>
          <w:rFonts w:ascii="Calibri" w:hAnsi="Calibri"/>
          <w:i/>
        </w:rPr>
        <w:t xml:space="preserve"> </w:t>
      </w:r>
      <w:r w:rsidR="009102D8" w:rsidRPr="002815F4">
        <w:rPr>
          <w:rFonts w:ascii="Calibri" w:hAnsi="Calibri"/>
        </w:rPr>
        <w:t>The goals of</w:t>
      </w:r>
      <w:r w:rsidR="009102D8" w:rsidRPr="002815F4">
        <w:rPr>
          <w:rFonts w:ascii="Calibri" w:hAnsi="Calibri"/>
          <w:i/>
        </w:rPr>
        <w:t xml:space="preserve"> </w:t>
      </w:r>
      <w:r w:rsidR="009102D8" w:rsidRPr="002815F4">
        <w:rPr>
          <w:rFonts w:ascii="Calibri" w:hAnsi="Calibri"/>
        </w:rPr>
        <w:t xml:space="preserve">all EITI Senegal work plans appear aligned with national priorities. </w:t>
      </w:r>
      <w:r w:rsidR="00511D75" w:rsidRPr="002815F4">
        <w:rPr>
          <w:rFonts w:ascii="Calibri" w:hAnsi="Calibri"/>
        </w:rPr>
        <w:t>The strategic axes of Senegal EITI’s strategic plan</w:t>
      </w:r>
      <w:r w:rsidR="00253713">
        <w:rPr>
          <w:rFonts w:ascii="Calibri" w:hAnsi="Calibri"/>
        </w:rPr>
        <w:t xml:space="preserve"> </w:t>
      </w:r>
      <w:r w:rsidR="00253713" w:rsidRPr="002815F4">
        <w:rPr>
          <w:rFonts w:ascii="Calibri" w:hAnsi="Calibri"/>
        </w:rPr>
        <w:t>are</w:t>
      </w:r>
      <w:r w:rsidR="00253713">
        <w:rPr>
          <w:rFonts w:ascii="Calibri" w:hAnsi="Calibri"/>
        </w:rPr>
        <w:t xml:space="preserve">: improving </w:t>
      </w:r>
      <w:r w:rsidR="00511D75" w:rsidRPr="002815F4">
        <w:rPr>
          <w:rFonts w:ascii="Calibri" w:hAnsi="Calibri"/>
        </w:rPr>
        <w:t xml:space="preserve">the legal and regulatory framework, </w:t>
      </w:r>
      <w:r w:rsidR="00253713" w:rsidRPr="002815F4">
        <w:rPr>
          <w:rFonts w:ascii="Calibri" w:hAnsi="Calibri"/>
        </w:rPr>
        <w:t>institutionalis</w:t>
      </w:r>
      <w:r w:rsidR="00253713">
        <w:rPr>
          <w:rFonts w:ascii="Calibri" w:hAnsi="Calibri"/>
        </w:rPr>
        <w:t>ing</w:t>
      </w:r>
      <w:r w:rsidR="00253713" w:rsidRPr="002815F4">
        <w:rPr>
          <w:rFonts w:ascii="Calibri" w:hAnsi="Calibri"/>
        </w:rPr>
        <w:t xml:space="preserve"> </w:t>
      </w:r>
      <w:r w:rsidR="00511D75" w:rsidRPr="002815F4">
        <w:rPr>
          <w:rFonts w:ascii="Calibri" w:hAnsi="Calibri"/>
        </w:rPr>
        <w:t xml:space="preserve">access to information, building stakeholders’ capacity and coordination, </w:t>
      </w:r>
      <w:r w:rsidR="00253713">
        <w:rPr>
          <w:rFonts w:ascii="Calibri" w:hAnsi="Calibri"/>
        </w:rPr>
        <w:t xml:space="preserve">improving </w:t>
      </w:r>
      <w:r w:rsidR="00511D75" w:rsidRPr="002815F4">
        <w:rPr>
          <w:rFonts w:ascii="Calibri" w:hAnsi="Calibri"/>
        </w:rPr>
        <w:t xml:space="preserve">oversight and consultation </w:t>
      </w:r>
      <w:sdt>
        <w:sdtPr>
          <w:rPr>
            <w:rFonts w:ascii="Calibri" w:hAnsi="Calibri"/>
          </w:rPr>
          <w:id w:val="774677218"/>
          <w:citation/>
        </w:sdtPr>
        <w:sdtEndPr/>
        <w:sdtContent>
          <w:r w:rsidR="00511D75" w:rsidRPr="002815F4">
            <w:rPr>
              <w:rFonts w:ascii="Calibri" w:hAnsi="Calibri"/>
            </w:rPr>
            <w:fldChar w:fldCharType="begin"/>
          </w:r>
          <w:r w:rsidR="00511D75" w:rsidRPr="002815F4">
            <w:rPr>
              <w:rFonts w:ascii="Calibri" w:hAnsi="Calibri"/>
            </w:rPr>
            <w:instrText xml:space="preserve"> CITATION ITI1722 \l 1033 </w:instrText>
          </w:r>
          <w:r w:rsidR="00511D75" w:rsidRPr="002815F4">
            <w:rPr>
              <w:rFonts w:ascii="Calibri" w:hAnsi="Calibri"/>
            </w:rPr>
            <w:fldChar w:fldCharType="separate"/>
          </w:r>
          <w:r w:rsidR="003E626E" w:rsidRPr="002815F4">
            <w:rPr>
              <w:rFonts w:ascii="Calibri" w:hAnsi="Calibri"/>
              <w:noProof/>
            </w:rPr>
            <w:t>(ITIE Senegal, 2017)</w:t>
          </w:r>
          <w:r w:rsidR="00511D75" w:rsidRPr="002815F4">
            <w:rPr>
              <w:rFonts w:ascii="Calibri" w:hAnsi="Calibri"/>
            </w:rPr>
            <w:fldChar w:fldCharType="end"/>
          </w:r>
        </w:sdtContent>
      </w:sdt>
      <w:r w:rsidR="00511D75" w:rsidRPr="002815F4">
        <w:rPr>
          <w:rFonts w:ascii="Calibri" w:hAnsi="Calibri"/>
        </w:rPr>
        <w:t xml:space="preserve">. The goals for the three-year MSG work plan vary slightly and include </w:t>
      </w:r>
      <w:r w:rsidR="00253713">
        <w:rPr>
          <w:rFonts w:ascii="Calibri" w:hAnsi="Calibri"/>
        </w:rPr>
        <w:t xml:space="preserve">additional goals such as </w:t>
      </w:r>
      <w:r w:rsidR="00511D75" w:rsidRPr="002815F4">
        <w:rPr>
          <w:rFonts w:ascii="Calibri" w:hAnsi="Calibri"/>
        </w:rPr>
        <w:t xml:space="preserve">creating conditions for consolidating progress, </w:t>
      </w:r>
      <w:r w:rsidR="00A171EA">
        <w:rPr>
          <w:rFonts w:ascii="Calibri" w:hAnsi="Calibri"/>
        </w:rPr>
        <w:t xml:space="preserve">and </w:t>
      </w:r>
      <w:r w:rsidR="00511D75" w:rsidRPr="002815F4">
        <w:rPr>
          <w:rFonts w:ascii="Calibri" w:hAnsi="Calibri"/>
        </w:rPr>
        <w:t>implement</w:t>
      </w:r>
      <w:r w:rsidR="00A171EA">
        <w:rPr>
          <w:rFonts w:ascii="Calibri" w:hAnsi="Calibri"/>
        </w:rPr>
        <w:t>ing</w:t>
      </w:r>
      <w:r w:rsidR="00253713">
        <w:rPr>
          <w:rFonts w:ascii="Calibri" w:hAnsi="Calibri"/>
        </w:rPr>
        <w:t xml:space="preserve"> in a</w:t>
      </w:r>
      <w:r w:rsidR="00511D75" w:rsidRPr="002815F4">
        <w:rPr>
          <w:rFonts w:ascii="Calibri" w:hAnsi="Calibri"/>
        </w:rPr>
        <w:t xml:space="preserve"> communications strategy</w:t>
      </w:r>
      <w:r w:rsidR="00A171EA">
        <w:rPr>
          <w:rFonts w:ascii="Calibri" w:hAnsi="Calibri"/>
        </w:rPr>
        <w:t xml:space="preserve"> </w:t>
      </w:r>
      <w:sdt>
        <w:sdtPr>
          <w:rPr>
            <w:rFonts w:ascii="Calibri" w:hAnsi="Calibri"/>
          </w:rPr>
          <w:id w:val="1576479614"/>
          <w:citation/>
        </w:sdtPr>
        <w:sdtEndPr/>
        <w:sdtContent>
          <w:r w:rsidR="009102D8" w:rsidRPr="002815F4">
            <w:rPr>
              <w:rFonts w:ascii="Calibri" w:hAnsi="Calibri"/>
            </w:rPr>
            <w:fldChar w:fldCharType="begin"/>
          </w:r>
          <w:r w:rsidR="009102D8" w:rsidRPr="002815F4">
            <w:rPr>
              <w:rFonts w:ascii="Calibri" w:hAnsi="Calibri"/>
            </w:rPr>
            <w:instrText xml:space="preserve"> CITATION ITI1723 \l 1033 </w:instrText>
          </w:r>
          <w:r w:rsidR="009102D8" w:rsidRPr="002815F4">
            <w:rPr>
              <w:rFonts w:ascii="Calibri" w:hAnsi="Calibri"/>
            </w:rPr>
            <w:fldChar w:fldCharType="separate"/>
          </w:r>
          <w:r w:rsidR="003E626E" w:rsidRPr="002815F4">
            <w:rPr>
              <w:rFonts w:ascii="Calibri" w:hAnsi="Calibri"/>
              <w:noProof/>
            </w:rPr>
            <w:t>(ITIE Senegal, 2017)</w:t>
          </w:r>
          <w:r w:rsidR="009102D8" w:rsidRPr="002815F4">
            <w:rPr>
              <w:rFonts w:ascii="Calibri" w:hAnsi="Calibri"/>
            </w:rPr>
            <w:fldChar w:fldCharType="end"/>
          </w:r>
        </w:sdtContent>
      </w:sdt>
      <w:r w:rsidR="009102D8" w:rsidRPr="002815F4">
        <w:rPr>
          <w:rFonts w:ascii="Calibri" w:hAnsi="Calibri"/>
        </w:rPr>
        <w:t xml:space="preserve">. </w:t>
      </w:r>
      <w:r w:rsidR="00511D75" w:rsidRPr="002815F4">
        <w:rPr>
          <w:rFonts w:ascii="Calibri" w:hAnsi="Calibri"/>
        </w:rPr>
        <w:t xml:space="preserve">The goal for the 2017 annual work plan is more focused on the first goal of the four-year strategic plan to 2021, namely to support the government’s operationalising of transparency mechanisms to establish an </w:t>
      </w:r>
      <w:r w:rsidR="00F558D1" w:rsidRPr="002815F4">
        <w:rPr>
          <w:rFonts w:ascii="Calibri" w:hAnsi="Calibri"/>
        </w:rPr>
        <w:t xml:space="preserve">optimal </w:t>
      </w:r>
      <w:r w:rsidR="00511D75" w:rsidRPr="002815F4">
        <w:rPr>
          <w:rFonts w:ascii="Calibri" w:hAnsi="Calibri"/>
        </w:rPr>
        <w:t>balance in governance that is accountable to citizens</w:t>
      </w:r>
      <w:sdt>
        <w:sdtPr>
          <w:rPr>
            <w:rFonts w:ascii="Calibri" w:hAnsi="Calibri"/>
          </w:rPr>
          <w:id w:val="-1567940863"/>
          <w:citation/>
        </w:sdtPr>
        <w:sdtEndPr/>
        <w:sdtContent>
          <w:r w:rsidR="00511D75" w:rsidRPr="002815F4">
            <w:rPr>
              <w:rFonts w:ascii="Calibri" w:hAnsi="Calibri"/>
            </w:rPr>
            <w:fldChar w:fldCharType="begin"/>
          </w:r>
          <w:r w:rsidR="00511D75" w:rsidRPr="002815F4">
            <w:rPr>
              <w:rFonts w:ascii="Calibri" w:hAnsi="Calibri"/>
            </w:rPr>
            <w:instrText xml:space="preserve"> CITATION ITI1721 \l 1033 </w:instrText>
          </w:r>
          <w:r w:rsidR="00511D75" w:rsidRPr="002815F4">
            <w:rPr>
              <w:rFonts w:ascii="Calibri" w:hAnsi="Calibri"/>
            </w:rPr>
            <w:fldChar w:fldCharType="separate"/>
          </w:r>
          <w:r w:rsidR="003E626E" w:rsidRPr="002815F4">
            <w:rPr>
              <w:rFonts w:ascii="Calibri" w:hAnsi="Calibri"/>
              <w:noProof/>
            </w:rPr>
            <w:t xml:space="preserve"> (ITIE Senegal, 2017)</w:t>
          </w:r>
          <w:r w:rsidR="00511D75" w:rsidRPr="002815F4">
            <w:rPr>
              <w:rFonts w:ascii="Calibri" w:hAnsi="Calibri"/>
            </w:rPr>
            <w:fldChar w:fldCharType="end"/>
          </w:r>
        </w:sdtContent>
      </w:sdt>
      <w:r w:rsidR="00511D75" w:rsidRPr="002815F4">
        <w:rPr>
          <w:rFonts w:ascii="Calibri" w:hAnsi="Calibri"/>
        </w:rPr>
        <w:t xml:space="preserve">. </w:t>
      </w:r>
    </w:p>
    <w:p w14:paraId="4DE32BF8" w14:textId="26FDB0E9" w:rsidR="00610726" w:rsidRPr="002815F4" w:rsidRDefault="002929E0" w:rsidP="00DA4B4A">
      <w:pPr>
        <w:spacing w:before="120"/>
        <w:rPr>
          <w:rFonts w:ascii="Calibri" w:hAnsi="Calibri"/>
          <w:bCs/>
        </w:rPr>
      </w:pPr>
      <w:r w:rsidRPr="002815F4">
        <w:rPr>
          <w:rFonts w:ascii="Calibri" w:hAnsi="Calibri"/>
          <w:i/>
        </w:rPr>
        <w:t>Measurable and time-bound activities</w:t>
      </w:r>
      <w:r w:rsidR="009102D8" w:rsidRPr="002815F4">
        <w:rPr>
          <w:rFonts w:ascii="Calibri" w:hAnsi="Calibri"/>
          <w:iCs/>
        </w:rPr>
        <w:t xml:space="preserve">: All EITI Senegal work plans are delineated into clear, measurable and time-bound activities, either by year for tri-annual work plans or by month for annual work plans. </w:t>
      </w:r>
    </w:p>
    <w:p w14:paraId="6343E169" w14:textId="0D5C32DB" w:rsidR="004C3665" w:rsidRPr="002815F4" w:rsidRDefault="009102D8" w:rsidP="00704D5C">
      <w:pPr>
        <w:spacing w:before="120"/>
        <w:rPr>
          <w:rFonts w:ascii="Calibri" w:hAnsi="Calibri"/>
          <w:bCs/>
        </w:rPr>
      </w:pPr>
      <w:r w:rsidRPr="002815F4">
        <w:rPr>
          <w:rFonts w:ascii="Calibri" w:hAnsi="Calibri"/>
          <w:i/>
        </w:rPr>
        <w:t>MSG c</w:t>
      </w:r>
      <w:r w:rsidR="00EE596C" w:rsidRPr="002815F4">
        <w:rPr>
          <w:rFonts w:ascii="Calibri" w:hAnsi="Calibri"/>
          <w:i/>
        </w:rPr>
        <w:t>apacity constraints</w:t>
      </w:r>
      <w:r w:rsidR="00E956E1" w:rsidRPr="002815F4">
        <w:rPr>
          <w:rFonts w:ascii="Calibri" w:hAnsi="Calibri"/>
          <w:iCs/>
        </w:rPr>
        <w:t>:</w:t>
      </w:r>
      <w:r w:rsidR="00EE596C" w:rsidRPr="002815F4">
        <w:rPr>
          <w:rFonts w:ascii="Calibri" w:hAnsi="Calibri"/>
          <w:iCs/>
        </w:rPr>
        <w:t xml:space="preserve"> </w:t>
      </w:r>
      <w:r w:rsidRPr="002815F4">
        <w:rPr>
          <w:rFonts w:ascii="Calibri" w:hAnsi="Calibri"/>
          <w:iCs/>
        </w:rPr>
        <w:t xml:space="preserve">All EITI Senegal work plans have included activities aimed at addressing capacity constraints of MSG members, including workshops on specific topics and recourse to independent consultants for specific capacity needs. </w:t>
      </w:r>
    </w:p>
    <w:p w14:paraId="4E33F6D9" w14:textId="22536C62" w:rsidR="00610726" w:rsidRPr="002815F4" w:rsidRDefault="007F07E5" w:rsidP="00345FB7">
      <w:pPr>
        <w:spacing w:before="120"/>
        <w:rPr>
          <w:rFonts w:ascii="Calibri" w:hAnsi="Calibri"/>
          <w:bCs/>
        </w:rPr>
      </w:pPr>
      <w:r w:rsidRPr="002815F4">
        <w:rPr>
          <w:rFonts w:ascii="Calibri" w:hAnsi="Calibri"/>
          <w:i/>
        </w:rPr>
        <w:t>S</w:t>
      </w:r>
      <w:r w:rsidR="002929E0" w:rsidRPr="002815F4">
        <w:rPr>
          <w:rFonts w:ascii="Calibri" w:hAnsi="Calibri"/>
          <w:i/>
        </w:rPr>
        <w:t>co</w:t>
      </w:r>
      <w:r w:rsidR="00B03B35" w:rsidRPr="002815F4">
        <w:rPr>
          <w:rFonts w:ascii="Calibri" w:hAnsi="Calibri"/>
          <w:i/>
        </w:rPr>
        <w:t>pe o</w:t>
      </w:r>
      <w:r w:rsidR="00E956E1" w:rsidRPr="002815F4">
        <w:rPr>
          <w:rFonts w:ascii="Calibri" w:hAnsi="Calibri"/>
          <w:i/>
        </w:rPr>
        <w:t>f EITI reporting:</w:t>
      </w:r>
      <w:r w:rsidR="00B03B35" w:rsidRPr="002815F4">
        <w:rPr>
          <w:rFonts w:ascii="Calibri" w:hAnsi="Calibri"/>
          <w:i/>
        </w:rPr>
        <w:t xml:space="preserve"> </w:t>
      </w:r>
      <w:r w:rsidRPr="002815F4">
        <w:rPr>
          <w:rFonts w:ascii="Calibri" w:hAnsi="Calibri"/>
        </w:rPr>
        <w:t>All three EITI Senegal work plans include activities related to agreeing the scope of EITI reporting annually</w:t>
      </w:r>
      <w:r w:rsidR="00382BA9" w:rsidRPr="002815F4">
        <w:rPr>
          <w:rFonts w:ascii="Calibri" w:hAnsi="Calibri"/>
        </w:rPr>
        <w:t>, as a product of consultations with respective constituencies</w:t>
      </w:r>
      <w:r w:rsidRPr="002815F4">
        <w:rPr>
          <w:rFonts w:ascii="Calibri" w:hAnsi="Calibri"/>
        </w:rPr>
        <w:t xml:space="preserve">. </w:t>
      </w:r>
    </w:p>
    <w:p w14:paraId="7F3D5AC5" w14:textId="4AC29E80" w:rsidR="002929E0" w:rsidRPr="002815F4" w:rsidRDefault="001A69EF" w:rsidP="00610726">
      <w:pPr>
        <w:spacing w:before="120"/>
        <w:rPr>
          <w:rFonts w:ascii="Calibri" w:hAnsi="Calibri"/>
          <w:i/>
        </w:rPr>
      </w:pPr>
      <w:r w:rsidRPr="002815F4">
        <w:rPr>
          <w:rFonts w:ascii="Calibri" w:hAnsi="Calibri"/>
          <w:i/>
        </w:rPr>
        <w:t>L</w:t>
      </w:r>
      <w:r w:rsidR="002929E0" w:rsidRPr="002815F4">
        <w:rPr>
          <w:rFonts w:ascii="Calibri" w:hAnsi="Calibri"/>
          <w:i/>
        </w:rPr>
        <w:t>egal or regulatory o</w:t>
      </w:r>
      <w:r w:rsidR="00610726" w:rsidRPr="002815F4">
        <w:rPr>
          <w:rFonts w:ascii="Calibri" w:hAnsi="Calibri"/>
          <w:i/>
        </w:rPr>
        <w:t>bstacles</w:t>
      </w:r>
      <w:r w:rsidR="00E956E1" w:rsidRPr="002815F4">
        <w:rPr>
          <w:rFonts w:ascii="Calibri" w:hAnsi="Calibri"/>
          <w:iCs/>
        </w:rPr>
        <w:t>:</w:t>
      </w:r>
      <w:r w:rsidR="00B03B35" w:rsidRPr="002815F4">
        <w:rPr>
          <w:rFonts w:ascii="Calibri" w:hAnsi="Calibri"/>
          <w:iCs/>
        </w:rPr>
        <w:t xml:space="preserve"> </w:t>
      </w:r>
      <w:r w:rsidRPr="002815F4">
        <w:rPr>
          <w:rFonts w:ascii="Calibri" w:hAnsi="Calibri"/>
          <w:iCs/>
        </w:rPr>
        <w:t xml:space="preserve">All three EITI Senegal work plans include activities related to legislative reforms linked to beneficial ownership disclosure, as well as input to legislative reform in the oil and gas sector. </w:t>
      </w:r>
    </w:p>
    <w:p w14:paraId="6FD03E96" w14:textId="573EA7F2" w:rsidR="002929E0" w:rsidRPr="002815F4" w:rsidRDefault="001A69EF" w:rsidP="008B6D3C">
      <w:pPr>
        <w:spacing w:before="120"/>
        <w:rPr>
          <w:rFonts w:ascii="Calibri" w:hAnsi="Calibri"/>
          <w:iCs/>
        </w:rPr>
      </w:pPr>
      <w:r w:rsidRPr="002815F4">
        <w:rPr>
          <w:rFonts w:ascii="Calibri" w:hAnsi="Calibri"/>
          <w:i/>
        </w:rPr>
        <w:lastRenderedPageBreak/>
        <w:t xml:space="preserve">Follow-up on EITI </w:t>
      </w:r>
      <w:r w:rsidR="002929E0" w:rsidRPr="002815F4">
        <w:rPr>
          <w:rFonts w:ascii="Calibri" w:hAnsi="Calibri"/>
          <w:i/>
        </w:rPr>
        <w:t>recommendations</w:t>
      </w:r>
      <w:r w:rsidR="00E956E1" w:rsidRPr="002815F4">
        <w:rPr>
          <w:rFonts w:ascii="Calibri" w:hAnsi="Calibri"/>
          <w:iCs/>
        </w:rPr>
        <w:t>:</w:t>
      </w:r>
      <w:r w:rsidR="00704D5C" w:rsidRPr="002815F4">
        <w:rPr>
          <w:rFonts w:ascii="Calibri" w:hAnsi="Calibri"/>
          <w:iCs/>
        </w:rPr>
        <w:t xml:space="preserve"> </w:t>
      </w:r>
      <w:r w:rsidRPr="002815F4">
        <w:rPr>
          <w:rFonts w:ascii="Calibri" w:hAnsi="Calibri"/>
          <w:iCs/>
        </w:rPr>
        <w:t xml:space="preserve">The three EITI Senegal work plans include detailed follow-up on past EITI recommendations, including in areas of contract transparency, reforms of the oil and gas license award and transfer procedures and implementation of subnational transfers of extractives revenues. </w:t>
      </w:r>
    </w:p>
    <w:p w14:paraId="2D9E067B" w14:textId="033BFB2E" w:rsidR="00A36E5E" w:rsidRPr="002815F4" w:rsidRDefault="002929E0" w:rsidP="00E956E1">
      <w:pPr>
        <w:spacing w:before="120"/>
      </w:pPr>
      <w:r w:rsidRPr="002815F4">
        <w:rPr>
          <w:rFonts w:ascii="Calibri" w:hAnsi="Calibri"/>
          <w:i/>
        </w:rPr>
        <w:t>Costings and funding sources, including domestic and external sources of funding and technical assistance</w:t>
      </w:r>
      <w:r w:rsidR="00E956E1" w:rsidRPr="002815F4">
        <w:rPr>
          <w:rFonts w:ascii="Calibri" w:hAnsi="Calibri"/>
          <w:i/>
        </w:rPr>
        <w:t>:</w:t>
      </w:r>
      <w:r w:rsidR="001A69EF" w:rsidRPr="002815F4">
        <w:rPr>
          <w:rFonts w:ascii="Calibri" w:hAnsi="Calibri"/>
        </w:rPr>
        <w:t xml:space="preserve"> Only the annual EITI Senegal work plan provides clear costings for each activity and the split in general funding for work plan activities, although the detailed source of funding for each activity is not provided</w:t>
      </w:r>
      <w:sdt>
        <w:sdtPr>
          <w:rPr>
            <w:rFonts w:ascii="Calibri" w:hAnsi="Calibri"/>
          </w:rPr>
          <w:id w:val="811984492"/>
          <w:citation/>
        </w:sdtPr>
        <w:sdtEndPr/>
        <w:sdtContent>
          <w:r w:rsidR="001A69EF" w:rsidRPr="002815F4">
            <w:rPr>
              <w:rFonts w:ascii="Calibri" w:hAnsi="Calibri"/>
            </w:rPr>
            <w:fldChar w:fldCharType="begin"/>
          </w:r>
          <w:r w:rsidR="001A69EF" w:rsidRPr="002815F4">
            <w:rPr>
              <w:rFonts w:ascii="Calibri" w:hAnsi="Calibri"/>
            </w:rPr>
            <w:instrText xml:space="preserve"> CITATION ITI1721 \l 1033 </w:instrText>
          </w:r>
          <w:r w:rsidR="001A69EF" w:rsidRPr="002815F4">
            <w:rPr>
              <w:rFonts w:ascii="Calibri" w:hAnsi="Calibri"/>
            </w:rPr>
            <w:fldChar w:fldCharType="separate"/>
          </w:r>
          <w:r w:rsidR="003E626E" w:rsidRPr="002815F4">
            <w:rPr>
              <w:rFonts w:ascii="Calibri" w:hAnsi="Calibri"/>
              <w:noProof/>
            </w:rPr>
            <w:t xml:space="preserve"> (ITIE Senegal, 2017)</w:t>
          </w:r>
          <w:r w:rsidR="001A69EF" w:rsidRPr="002815F4">
            <w:rPr>
              <w:rFonts w:ascii="Calibri" w:hAnsi="Calibri"/>
            </w:rPr>
            <w:fldChar w:fldCharType="end"/>
          </w:r>
        </w:sdtContent>
      </w:sdt>
      <w:r w:rsidR="001A69EF" w:rsidRPr="002815F4">
        <w:rPr>
          <w:rFonts w:ascii="Calibri" w:hAnsi="Calibri"/>
        </w:rPr>
        <w:t xml:space="preserve">. The World Bank has </w:t>
      </w:r>
      <w:r w:rsidR="00D359E8">
        <w:rPr>
          <w:rFonts w:ascii="Calibri" w:hAnsi="Calibri"/>
        </w:rPr>
        <w:t>been the main donor</w:t>
      </w:r>
      <w:r w:rsidR="001A69EF" w:rsidRPr="002815F4">
        <w:rPr>
          <w:rFonts w:ascii="Calibri" w:hAnsi="Calibri"/>
        </w:rPr>
        <w:t xml:space="preserve"> since Senegal’s EITI Candidature application was approved in October 2013, with USD 0.5m over 2014-2015 and an additional USD 145k allocated in July 2015 </w:t>
      </w:r>
      <w:sdt>
        <w:sdtPr>
          <w:rPr>
            <w:rFonts w:ascii="Calibri" w:hAnsi="Calibri"/>
          </w:rPr>
          <w:id w:val="-923182139"/>
          <w:citation/>
        </w:sdtPr>
        <w:sdtEndPr/>
        <w:sdtContent>
          <w:r w:rsidR="001A69EF" w:rsidRPr="002815F4">
            <w:rPr>
              <w:rFonts w:ascii="Calibri" w:hAnsi="Calibri"/>
            </w:rPr>
            <w:fldChar w:fldCharType="begin"/>
          </w:r>
          <w:r w:rsidR="001A69EF" w:rsidRPr="002815F4">
            <w:rPr>
              <w:rFonts w:ascii="Calibri" w:hAnsi="Calibri"/>
            </w:rPr>
            <w:instrText xml:space="preserve"> CITATION Wor161 \l 1033 </w:instrText>
          </w:r>
          <w:r w:rsidR="001A69EF" w:rsidRPr="002815F4">
            <w:rPr>
              <w:rFonts w:ascii="Calibri" w:hAnsi="Calibri"/>
            </w:rPr>
            <w:fldChar w:fldCharType="separate"/>
          </w:r>
          <w:r w:rsidR="003E626E" w:rsidRPr="002815F4">
            <w:rPr>
              <w:rFonts w:ascii="Calibri" w:hAnsi="Calibri"/>
              <w:noProof/>
            </w:rPr>
            <w:t>(World Bank, 2016)</w:t>
          </w:r>
          <w:r w:rsidR="001A69EF" w:rsidRPr="002815F4">
            <w:rPr>
              <w:rFonts w:ascii="Calibri" w:hAnsi="Calibri"/>
            </w:rPr>
            <w:fldChar w:fldCharType="end"/>
          </w:r>
        </w:sdtContent>
      </w:sdt>
      <w:r w:rsidR="001A69EF" w:rsidRPr="002815F4">
        <w:rPr>
          <w:rFonts w:ascii="Calibri" w:hAnsi="Calibri"/>
        </w:rPr>
        <w:t xml:space="preserve">. Other donors having supported EITI Senegal include the </w:t>
      </w:r>
      <w:r w:rsidR="00A36E5E" w:rsidRPr="002815F4">
        <w:rPr>
          <w:rFonts w:ascii="Calibri" w:hAnsi="Calibri"/>
        </w:rPr>
        <w:t xml:space="preserve">African Development Bank, the European Union, the </w:t>
      </w:r>
      <w:r w:rsidR="001A69EF" w:rsidRPr="002815F4">
        <w:rPr>
          <w:rFonts w:ascii="Calibri" w:hAnsi="Calibri"/>
        </w:rPr>
        <w:t xml:space="preserve">UK Embassy in Dakar, Canada’s </w:t>
      </w:r>
      <w:r w:rsidR="001A69EF" w:rsidRPr="002815F4">
        <w:t xml:space="preserve">Department for Foreign </w:t>
      </w:r>
      <w:r w:rsidR="00A36E5E" w:rsidRPr="002815F4">
        <w:t>Affairs</w:t>
      </w:r>
      <w:r w:rsidR="001A69EF" w:rsidRPr="002815F4">
        <w:t>, Trade and Development (DFATD)</w:t>
      </w:r>
      <w:r w:rsidR="00A36E5E" w:rsidRPr="002815F4">
        <w:t>,</w:t>
      </w:r>
      <w:r w:rsidR="001A69EF" w:rsidRPr="002815F4">
        <w:t xml:space="preserve"> USAID</w:t>
      </w:r>
      <w:r w:rsidR="00A36E5E" w:rsidRPr="002815F4">
        <w:t>, OSIWA</w:t>
      </w:r>
      <w:r w:rsidR="001A69EF" w:rsidRPr="002815F4">
        <w:t xml:space="preserve"> </w:t>
      </w:r>
      <w:r w:rsidR="00A36E5E" w:rsidRPr="002815F4">
        <w:t xml:space="preserve">and Oxfam </w:t>
      </w:r>
      <w:sdt>
        <w:sdtPr>
          <w:rPr>
            <w:rFonts w:ascii="Calibri" w:hAnsi="Calibri"/>
          </w:rPr>
          <w:id w:val="-1037423289"/>
          <w:citation/>
        </w:sdtPr>
        <w:sdtEndPr/>
        <w:sdtContent>
          <w:r w:rsidR="00A36E5E" w:rsidRPr="002815F4">
            <w:rPr>
              <w:rFonts w:ascii="Calibri" w:hAnsi="Calibri"/>
            </w:rPr>
            <w:fldChar w:fldCharType="begin"/>
          </w:r>
          <w:r w:rsidR="00A36E5E" w:rsidRPr="002815F4">
            <w:rPr>
              <w:rFonts w:ascii="Calibri" w:hAnsi="Calibri"/>
            </w:rPr>
            <w:instrText xml:space="preserve"> CITATION Wor14 \l 1033 </w:instrText>
          </w:r>
          <w:r w:rsidR="00A36E5E" w:rsidRPr="002815F4">
            <w:rPr>
              <w:rFonts w:ascii="Calibri" w:hAnsi="Calibri"/>
            </w:rPr>
            <w:fldChar w:fldCharType="separate"/>
          </w:r>
          <w:r w:rsidR="003E626E" w:rsidRPr="002815F4">
            <w:rPr>
              <w:rFonts w:ascii="Calibri" w:hAnsi="Calibri"/>
              <w:noProof/>
            </w:rPr>
            <w:t>(World Bank, 2014)</w:t>
          </w:r>
          <w:r w:rsidR="00A36E5E" w:rsidRPr="002815F4">
            <w:rPr>
              <w:rFonts w:ascii="Calibri" w:hAnsi="Calibri"/>
            </w:rPr>
            <w:fldChar w:fldCharType="end"/>
          </w:r>
        </w:sdtContent>
      </w:sdt>
      <w:r w:rsidR="00A36E5E" w:rsidRPr="002815F4">
        <w:rPr>
          <w:rFonts w:ascii="Calibri" w:hAnsi="Calibri"/>
        </w:rPr>
        <w:t xml:space="preserve"> </w:t>
      </w:r>
      <w:sdt>
        <w:sdtPr>
          <w:rPr>
            <w:rFonts w:ascii="Calibri" w:hAnsi="Calibri"/>
          </w:rPr>
          <w:id w:val="1963151881"/>
          <w:citation/>
        </w:sdtPr>
        <w:sdtEndPr/>
        <w:sdtContent>
          <w:r w:rsidR="001A69EF" w:rsidRPr="002815F4">
            <w:rPr>
              <w:rFonts w:ascii="Calibri" w:hAnsi="Calibri"/>
            </w:rPr>
            <w:fldChar w:fldCharType="begin"/>
          </w:r>
          <w:r w:rsidR="001A69EF" w:rsidRPr="002815F4">
            <w:rPr>
              <w:rFonts w:ascii="Calibri" w:hAnsi="Calibri"/>
            </w:rPr>
            <w:instrText xml:space="preserve"> CITATION Wor161 \l 1033 </w:instrText>
          </w:r>
          <w:r w:rsidR="001A69EF" w:rsidRPr="002815F4">
            <w:rPr>
              <w:rFonts w:ascii="Calibri" w:hAnsi="Calibri"/>
            </w:rPr>
            <w:fldChar w:fldCharType="separate"/>
          </w:r>
          <w:r w:rsidR="003E626E" w:rsidRPr="002815F4">
            <w:rPr>
              <w:rFonts w:ascii="Calibri" w:hAnsi="Calibri"/>
              <w:noProof/>
            </w:rPr>
            <w:t>(World Bank, 2016)</w:t>
          </w:r>
          <w:r w:rsidR="001A69EF" w:rsidRPr="002815F4">
            <w:rPr>
              <w:rFonts w:ascii="Calibri" w:hAnsi="Calibri"/>
            </w:rPr>
            <w:fldChar w:fldCharType="end"/>
          </w:r>
        </w:sdtContent>
      </w:sdt>
      <w:r w:rsidR="001A69EF" w:rsidRPr="002815F4">
        <w:t xml:space="preserve">. </w:t>
      </w:r>
    </w:p>
    <w:p w14:paraId="7A381A87" w14:textId="590339EB" w:rsidR="002929E0" w:rsidRPr="002815F4" w:rsidRDefault="002929E0" w:rsidP="009B3E66">
      <w:pPr>
        <w:pStyle w:val="Heading3"/>
      </w:pPr>
      <w:r w:rsidRPr="002815F4">
        <w:t>St</w:t>
      </w:r>
      <w:bookmarkStart w:id="115" w:name="workplanstakeholderviews"/>
      <w:bookmarkEnd w:id="115"/>
      <w:r w:rsidRPr="002815F4">
        <w:t>akeholder views</w:t>
      </w:r>
    </w:p>
    <w:p w14:paraId="2F53A402" w14:textId="796AE335" w:rsidR="00A25A8A" w:rsidRPr="002815F4" w:rsidRDefault="00274E9E" w:rsidP="007474FE">
      <w:r w:rsidRPr="002815F4">
        <w:t xml:space="preserve">All </w:t>
      </w:r>
      <w:r w:rsidR="00132D80" w:rsidRPr="002815F4">
        <w:t xml:space="preserve">MSG members consulted </w:t>
      </w:r>
      <w:r w:rsidRPr="002815F4">
        <w:t>were satisfied with</w:t>
      </w:r>
      <w:r w:rsidR="006305CE" w:rsidRPr="002815F4">
        <w:t xml:space="preserve"> the </w:t>
      </w:r>
      <w:r w:rsidR="00132D80" w:rsidRPr="002815F4">
        <w:t xml:space="preserve">MSG’s oversight and input in the preparation of </w:t>
      </w:r>
      <w:r w:rsidRPr="002815F4">
        <w:t>EITI work</w:t>
      </w:r>
      <w:r w:rsidR="00132D80" w:rsidRPr="002815F4">
        <w:t xml:space="preserve"> </w:t>
      </w:r>
      <w:r w:rsidRPr="002815F4">
        <w:t>plans</w:t>
      </w:r>
      <w:r w:rsidR="00132D80" w:rsidRPr="002815F4">
        <w:t>, both the annual versions and the five-year strategic plan</w:t>
      </w:r>
      <w:r w:rsidRPr="002815F4">
        <w:t>.</w:t>
      </w:r>
      <w:r w:rsidR="0046356B" w:rsidRPr="002815F4">
        <w:t xml:space="preserve"> They felt that they had the opportunity to provide comments and propose changes to the work</w:t>
      </w:r>
      <w:r w:rsidR="00A25A8A" w:rsidRPr="002815F4">
        <w:t xml:space="preserve"> </w:t>
      </w:r>
      <w:r w:rsidR="0046356B" w:rsidRPr="002815F4">
        <w:t>plan</w:t>
      </w:r>
      <w:r w:rsidR="004E117E" w:rsidRPr="002815F4">
        <w:t xml:space="preserve">, which </w:t>
      </w:r>
      <w:r w:rsidR="00A25A8A" w:rsidRPr="002815F4">
        <w:t>wa</w:t>
      </w:r>
      <w:r w:rsidR="004E117E" w:rsidRPr="002815F4">
        <w:t>s first elaborated by the National Secretariat</w:t>
      </w:r>
      <w:r w:rsidR="00A25A8A" w:rsidRPr="002815F4">
        <w:t xml:space="preserve"> and circulated to members for input</w:t>
      </w:r>
      <w:r w:rsidR="0046356B" w:rsidRPr="002815F4">
        <w:t>.</w:t>
      </w:r>
      <w:r w:rsidR="004E117E" w:rsidRPr="002815F4">
        <w:t xml:space="preserve"> </w:t>
      </w:r>
      <w:r w:rsidR="00A25A8A" w:rsidRPr="002815F4">
        <w:t xml:space="preserve">Representatives from all three constituencies confirmed that some members of their constituencies not on the MSG were consulted on drafts of the annual work plan. </w:t>
      </w:r>
      <w:r w:rsidR="004E117E" w:rsidRPr="002815F4">
        <w:t>Consultations are held primarily at the level of the MSG, but outside inputs is also sought on a case by case basis (</w:t>
      </w:r>
      <w:r w:rsidR="002815F4" w:rsidRPr="002815F4">
        <w:t>e.g.</w:t>
      </w:r>
      <w:r w:rsidR="004E117E" w:rsidRPr="002815F4">
        <w:t xml:space="preserve"> the World Bank was consulted regarding the establishment of an </w:t>
      </w:r>
      <w:r w:rsidR="00A25A8A" w:rsidRPr="002815F4">
        <w:t>o</w:t>
      </w:r>
      <w:r w:rsidR="004E117E" w:rsidRPr="002815F4">
        <w:t>il</w:t>
      </w:r>
      <w:r w:rsidR="00A25A8A" w:rsidRPr="002815F4">
        <w:t xml:space="preserve"> and g</w:t>
      </w:r>
      <w:r w:rsidR="004E117E" w:rsidRPr="002815F4">
        <w:t xml:space="preserve">as cadastre at the </w:t>
      </w:r>
      <w:r w:rsidR="002815F4" w:rsidRPr="002815F4">
        <w:t>Department</w:t>
      </w:r>
      <w:r w:rsidR="004E117E" w:rsidRPr="002815F4">
        <w:t xml:space="preserve"> of Hydrocarbon).</w:t>
      </w:r>
      <w:r w:rsidR="0046356B" w:rsidRPr="002815F4">
        <w:t xml:space="preserve"> </w:t>
      </w:r>
      <w:r w:rsidR="00A25A8A" w:rsidRPr="002815F4">
        <w:t>Secretariat staff explained that while the broad strategic priorities were set on a five-yearly basis through the strategic plan, the MSG refined these objectives in each annual work plan to ensure they remained current to national priorities.</w:t>
      </w:r>
    </w:p>
    <w:p w14:paraId="14DDB152" w14:textId="49030E7E" w:rsidR="00327B0E" w:rsidRPr="002815F4" w:rsidRDefault="004E117E" w:rsidP="00327B0E">
      <w:r w:rsidRPr="002815F4">
        <w:t xml:space="preserve">All stakeholders confirmed that there was quarterly </w:t>
      </w:r>
      <w:r w:rsidR="00A25A8A" w:rsidRPr="002815F4">
        <w:t xml:space="preserve">monitoring and evaluation of </w:t>
      </w:r>
      <w:r w:rsidRPr="002815F4">
        <w:t>the work</w:t>
      </w:r>
      <w:r w:rsidR="00A25A8A" w:rsidRPr="002815F4">
        <w:t xml:space="preserve"> </w:t>
      </w:r>
      <w:r w:rsidRPr="002815F4">
        <w:t>plan</w:t>
      </w:r>
      <w:r w:rsidR="00A25A8A" w:rsidRPr="002815F4">
        <w:t xml:space="preserve"> by the MSG, and weekly by the </w:t>
      </w:r>
      <w:r w:rsidRPr="002815F4">
        <w:t>National Secretariat</w:t>
      </w:r>
      <w:r w:rsidR="00A25A8A" w:rsidRPr="002815F4">
        <w:t xml:space="preserve"> led by its monitoring and evaluation department</w:t>
      </w:r>
      <w:r w:rsidRPr="002815F4">
        <w:t>.</w:t>
      </w:r>
      <w:r w:rsidR="00A25A8A" w:rsidRPr="002815F4">
        <w:t xml:space="preserve"> </w:t>
      </w:r>
      <w:r w:rsidR="00327B0E" w:rsidRPr="002815F4">
        <w:t>Government representatives noted that the work</w:t>
      </w:r>
      <w:r w:rsidR="00A25A8A" w:rsidRPr="002815F4">
        <w:t xml:space="preserve"> </w:t>
      </w:r>
      <w:r w:rsidR="00327B0E" w:rsidRPr="002815F4">
        <w:t xml:space="preserve">plan was </w:t>
      </w:r>
      <w:r w:rsidR="00A25A8A" w:rsidRPr="002815F4">
        <w:t xml:space="preserve">always </w:t>
      </w:r>
      <w:r w:rsidR="00327B0E" w:rsidRPr="002815F4">
        <w:t xml:space="preserve">ambitious and </w:t>
      </w:r>
      <w:r w:rsidR="00A25A8A" w:rsidRPr="002815F4">
        <w:t xml:space="preserve">that </w:t>
      </w:r>
      <w:r w:rsidR="00327B0E" w:rsidRPr="002815F4">
        <w:t xml:space="preserve">the resources were not </w:t>
      </w:r>
      <w:r w:rsidR="00A25A8A" w:rsidRPr="002815F4">
        <w:t xml:space="preserve">always </w:t>
      </w:r>
      <w:r w:rsidR="00327B0E" w:rsidRPr="002815F4">
        <w:t xml:space="preserve">available to fulfil all the objectives, </w:t>
      </w:r>
      <w:r w:rsidR="00A25A8A" w:rsidRPr="002815F4">
        <w:t xml:space="preserve">yet that </w:t>
      </w:r>
      <w:r w:rsidR="00327B0E" w:rsidRPr="002815F4">
        <w:t xml:space="preserve">they </w:t>
      </w:r>
      <w:r w:rsidR="00A25A8A" w:rsidRPr="002815F4">
        <w:t xml:space="preserve">considered both the MSG and secretariat </w:t>
      </w:r>
      <w:r w:rsidR="00327B0E" w:rsidRPr="002815F4">
        <w:t xml:space="preserve">performed </w:t>
      </w:r>
      <w:r w:rsidR="00A25A8A" w:rsidRPr="002815F4">
        <w:t xml:space="preserve">well </w:t>
      </w:r>
      <w:r w:rsidR="00327B0E" w:rsidRPr="002815F4">
        <w:t>beyond the resources</w:t>
      </w:r>
      <w:r w:rsidR="00A25A8A" w:rsidRPr="002815F4">
        <w:t xml:space="preserve"> they had available</w:t>
      </w:r>
      <w:r w:rsidR="00327B0E" w:rsidRPr="002815F4">
        <w:t xml:space="preserve">. </w:t>
      </w:r>
    </w:p>
    <w:p w14:paraId="79AC1232" w14:textId="18879FEF" w:rsidR="002929E0" w:rsidRPr="002815F4" w:rsidRDefault="004828D2" w:rsidP="009B3E66">
      <w:pPr>
        <w:pStyle w:val="Heading3"/>
      </w:pPr>
      <w:r w:rsidRPr="002815F4">
        <w:t>Initial a</w:t>
      </w:r>
      <w:r w:rsidR="002929E0" w:rsidRPr="002815F4">
        <w:t>ssessment</w:t>
      </w:r>
    </w:p>
    <w:p w14:paraId="59430BD0" w14:textId="7EACAE97" w:rsidR="00A83F0A" w:rsidRPr="002815F4" w:rsidRDefault="00A83F0A" w:rsidP="00A83F0A">
      <w:pPr>
        <w:spacing w:before="120"/>
        <w:rPr>
          <w:rFonts w:ascii="Calibri" w:hAnsi="Calibri"/>
          <w:color w:val="000000" w:themeColor="text1"/>
          <w:lang w:eastAsia="x-none"/>
        </w:rPr>
      </w:pPr>
      <w:r w:rsidRPr="002815F4">
        <w:rPr>
          <w:rFonts w:ascii="Calibri" w:hAnsi="Calibri"/>
          <w:color w:val="000000" w:themeColor="text1"/>
          <w:lang w:eastAsia="x-none"/>
        </w:rPr>
        <w:t xml:space="preserve">The International Secretariat’s initial assessment is that </w:t>
      </w:r>
      <w:r w:rsidR="00AF71CE" w:rsidRPr="002815F4">
        <w:rPr>
          <w:rFonts w:ascii="Calibri" w:hAnsi="Calibri"/>
          <w:bCs/>
        </w:rPr>
        <w:t>Senegal</w:t>
      </w:r>
      <w:r w:rsidR="00AF71CE" w:rsidRPr="002815F4">
        <w:rPr>
          <w:rFonts w:ascii="Calibri" w:hAnsi="Calibri"/>
          <w:color w:val="000000" w:themeColor="text1"/>
          <w:lang w:eastAsia="x-none"/>
        </w:rPr>
        <w:t xml:space="preserve"> </w:t>
      </w:r>
      <w:r w:rsidRPr="002815F4">
        <w:rPr>
          <w:rFonts w:ascii="Calibri" w:hAnsi="Calibri"/>
          <w:color w:val="000000" w:themeColor="text1"/>
          <w:lang w:eastAsia="x-none"/>
        </w:rPr>
        <w:t xml:space="preserve">has made </w:t>
      </w:r>
      <w:r w:rsidR="00AF71CE" w:rsidRPr="002815F4">
        <w:rPr>
          <w:rFonts w:ascii="Calibri" w:hAnsi="Calibri"/>
          <w:bCs/>
        </w:rPr>
        <w:t>satisfactory</w:t>
      </w:r>
      <w:r w:rsidR="00AF71CE" w:rsidRPr="002815F4">
        <w:rPr>
          <w:rFonts w:ascii="Calibri" w:hAnsi="Calibri"/>
          <w:b/>
          <w:bCs/>
        </w:rPr>
        <w:t xml:space="preserve"> </w:t>
      </w:r>
      <w:r w:rsidRPr="002815F4">
        <w:rPr>
          <w:rFonts w:ascii="Calibri" w:hAnsi="Calibri"/>
          <w:color w:val="000000" w:themeColor="text1"/>
          <w:lang w:eastAsia="x-none"/>
        </w:rPr>
        <w:t xml:space="preserve">progress towards meeting this </w:t>
      </w:r>
      <w:commentRangeStart w:id="116"/>
      <w:r w:rsidRPr="002815F4">
        <w:rPr>
          <w:rFonts w:ascii="Calibri" w:hAnsi="Calibri"/>
          <w:color w:val="000000" w:themeColor="text1"/>
          <w:lang w:eastAsia="x-none"/>
        </w:rPr>
        <w:t>requirement</w:t>
      </w:r>
      <w:commentRangeEnd w:id="116"/>
      <w:r w:rsidR="003C01E6">
        <w:rPr>
          <w:rStyle w:val="CommentReference"/>
          <w:szCs w:val="20"/>
        </w:rPr>
        <w:commentReference w:id="116"/>
      </w:r>
      <w:r w:rsidR="001D346D" w:rsidRPr="002815F4">
        <w:rPr>
          <w:rFonts w:ascii="Calibri" w:hAnsi="Calibri"/>
          <w:color w:val="000000" w:themeColor="text1"/>
          <w:lang w:eastAsia="x-none"/>
        </w:rPr>
        <w:t>. The 2017 EITI Senegal work plan and the 2017-2021 strategic plan are publicly accessible, produced in a timely manner and updated annually, with objectives aligned with national priorities. The work plan also includes specific activities to follow up on recommendations from EITI reporting. The three constituencies have consulted their broader stakeholder groups in preparing annual work plans since 2013. Delays in work plan implementation appear reasonable given funding constraints.</w:t>
      </w:r>
    </w:p>
    <w:p w14:paraId="0DE27243" w14:textId="55D1C0A2" w:rsidR="001D346D" w:rsidRPr="002815F4" w:rsidRDefault="001D346D" w:rsidP="00A83F0A">
      <w:pPr>
        <w:spacing w:before="120"/>
        <w:rPr>
          <w:rFonts w:ascii="Calibri" w:hAnsi="Calibri"/>
          <w:color w:val="000000" w:themeColor="text1"/>
          <w:lang w:eastAsia="x-none"/>
        </w:rPr>
      </w:pPr>
      <w:r w:rsidRPr="002815F4">
        <w:rPr>
          <w:rFonts w:ascii="Calibri" w:hAnsi="Calibri"/>
          <w:color w:val="000000" w:themeColor="text1"/>
          <w:lang w:eastAsia="x-none"/>
        </w:rPr>
        <w:t xml:space="preserve">To strengthen implementation, the MSG may wish to </w:t>
      </w:r>
      <w:r w:rsidR="00A25A8A" w:rsidRPr="002815F4">
        <w:rPr>
          <w:rFonts w:ascii="Calibri" w:hAnsi="Calibri"/>
          <w:color w:val="000000" w:themeColor="text1"/>
          <w:lang w:eastAsia="x-none"/>
        </w:rPr>
        <w:t xml:space="preserve">publish more regular updates of its work plan execution to reflect the detail with which the MSG and secretariat track implementation. This could further support the MSG’s efforts to reach out to prospective donors to support specific work plan </w:t>
      </w:r>
      <w:r w:rsidR="00A25A8A" w:rsidRPr="002815F4">
        <w:rPr>
          <w:rFonts w:ascii="Calibri" w:hAnsi="Calibri"/>
          <w:color w:val="000000" w:themeColor="text1"/>
          <w:lang w:eastAsia="x-none"/>
        </w:rPr>
        <w:lastRenderedPageBreak/>
        <w:t xml:space="preserve">activities. </w:t>
      </w:r>
    </w:p>
    <w:p w14:paraId="622A91FC" w14:textId="1FB11099" w:rsidR="002929E0" w:rsidRPr="002815F4" w:rsidRDefault="002C0263" w:rsidP="00F97CA1">
      <w:pPr>
        <w:pStyle w:val="Caption"/>
        <w:rPr>
          <w:rFonts w:ascii="Calibri" w:hAnsi="Calibri"/>
          <w:i/>
          <w:color w:val="000000"/>
        </w:rPr>
      </w:pPr>
      <w:r w:rsidRPr="002815F4">
        <w:rPr>
          <w:color w:val="FF0000"/>
          <w:lang w:eastAsia="x-none"/>
        </w:rPr>
        <w:br w:type="column"/>
      </w:r>
      <w:bookmarkStart w:id="117" w:name="_Toc485385502"/>
      <w:r w:rsidR="00034884" w:rsidRPr="002815F4">
        <w:lastRenderedPageBreak/>
        <w:t xml:space="preserve">Table </w:t>
      </w:r>
      <w:r w:rsidR="0002611B">
        <w:fldChar w:fldCharType="begin"/>
      </w:r>
      <w:r w:rsidR="0002611B">
        <w:instrText xml:space="preserve"> SEQ Table \* ARABIC </w:instrText>
      </w:r>
      <w:r w:rsidR="0002611B">
        <w:fldChar w:fldCharType="separate"/>
      </w:r>
      <w:r w:rsidR="0083320D" w:rsidRPr="002815F4">
        <w:rPr>
          <w:noProof/>
        </w:rPr>
        <w:t>1</w:t>
      </w:r>
      <w:r w:rsidR="0002611B">
        <w:rPr>
          <w:noProof/>
        </w:rPr>
        <w:fldChar w:fldCharType="end"/>
      </w:r>
      <w:r w:rsidR="002929E0" w:rsidRPr="002815F4">
        <w:rPr>
          <w:color w:val="000000"/>
        </w:rPr>
        <w:t xml:space="preserve"> </w:t>
      </w:r>
      <w:r w:rsidR="00AA364B" w:rsidRPr="002815F4">
        <w:rPr>
          <w:color w:val="000000"/>
        </w:rPr>
        <w:t>–</w:t>
      </w:r>
      <w:r w:rsidR="002929E0" w:rsidRPr="002815F4">
        <w:rPr>
          <w:color w:val="000000"/>
        </w:rPr>
        <w:t xml:space="preserve"> </w:t>
      </w:r>
      <w:r w:rsidR="002929E0" w:rsidRPr="002815F4">
        <w:rPr>
          <w:rFonts w:eastAsia="Calibri"/>
        </w:rPr>
        <w:t>Summary</w:t>
      </w:r>
      <w:r w:rsidR="00AA364B" w:rsidRPr="002815F4">
        <w:rPr>
          <w:rFonts w:eastAsia="Calibri"/>
        </w:rPr>
        <w:t xml:space="preserve"> initial</w:t>
      </w:r>
      <w:r w:rsidR="002929E0" w:rsidRPr="002815F4">
        <w:rPr>
          <w:rFonts w:eastAsia="Calibri"/>
        </w:rPr>
        <w:t xml:space="preserve"> assessment table: MSG oversight</w:t>
      </w:r>
      <w:bookmarkEnd w:id="1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4417"/>
        <w:gridCol w:w="2441"/>
      </w:tblGrid>
      <w:tr w:rsidR="00601017" w:rsidRPr="002815F4" w14:paraId="71530B9B" w14:textId="77777777" w:rsidTr="007474FE">
        <w:trPr>
          <w:trHeight w:val="675"/>
        </w:trPr>
        <w:tc>
          <w:tcPr>
            <w:tcW w:w="2645" w:type="dxa"/>
            <w:shd w:val="clear" w:color="auto" w:fill="D9D9D9"/>
            <w:vAlign w:val="center"/>
          </w:tcPr>
          <w:p w14:paraId="162F51CF" w14:textId="77777777" w:rsidR="00601017" w:rsidRPr="002815F4" w:rsidRDefault="00601017" w:rsidP="00E10A07">
            <w:pPr>
              <w:pStyle w:val="Tabletext"/>
              <w:rPr>
                <w:lang w:val="en-GB"/>
              </w:rPr>
            </w:pPr>
            <w:r w:rsidRPr="002815F4">
              <w:rPr>
                <w:lang w:val="en-GB"/>
              </w:rPr>
              <w:t>EITI provisions</w:t>
            </w:r>
          </w:p>
        </w:tc>
        <w:tc>
          <w:tcPr>
            <w:tcW w:w="4618" w:type="dxa"/>
            <w:shd w:val="clear" w:color="auto" w:fill="D9D9D9"/>
            <w:vAlign w:val="center"/>
          </w:tcPr>
          <w:p w14:paraId="30621CD6" w14:textId="77777777" w:rsidR="00601017" w:rsidRPr="002815F4" w:rsidRDefault="00601017" w:rsidP="00E10A07">
            <w:pPr>
              <w:pStyle w:val="Tabletext"/>
              <w:rPr>
                <w:lang w:val="en-GB"/>
              </w:rPr>
            </w:pPr>
            <w:r w:rsidRPr="002815F4">
              <w:rPr>
                <w:lang w:val="en-GB"/>
              </w:rPr>
              <w:t>Summary of main findings</w:t>
            </w:r>
          </w:p>
        </w:tc>
        <w:tc>
          <w:tcPr>
            <w:tcW w:w="2114" w:type="dxa"/>
            <w:shd w:val="clear" w:color="auto" w:fill="D9D9D9"/>
            <w:vAlign w:val="center"/>
          </w:tcPr>
          <w:p w14:paraId="3EF8FEC8" w14:textId="3A9FF1C9" w:rsidR="00601017" w:rsidRPr="002815F4" w:rsidRDefault="00601017" w:rsidP="00E10A07">
            <w:pPr>
              <w:pStyle w:val="Tabletext"/>
              <w:rPr>
                <w:lang w:val="en-GB"/>
              </w:rPr>
            </w:pPr>
            <w:r w:rsidRPr="002815F4">
              <w:rPr>
                <w:lang w:val="en-GB"/>
              </w:rPr>
              <w:t xml:space="preserve">International Secretariat’s initial assessment of progress with the EITI provisions </w:t>
            </w:r>
          </w:p>
        </w:tc>
      </w:tr>
      <w:tr w:rsidR="00B149DB" w:rsidRPr="002815F4" w14:paraId="33E287B2" w14:textId="77777777" w:rsidTr="007474FE">
        <w:tc>
          <w:tcPr>
            <w:tcW w:w="2645" w:type="dxa"/>
            <w:shd w:val="clear" w:color="auto" w:fill="auto"/>
            <w:vAlign w:val="center"/>
          </w:tcPr>
          <w:p w14:paraId="19F1280E" w14:textId="77777777" w:rsidR="002929E0" w:rsidRPr="002815F4" w:rsidRDefault="002929E0" w:rsidP="00E10A07">
            <w:pPr>
              <w:pStyle w:val="Tabletext"/>
              <w:rPr>
                <w:lang w:val="en-GB"/>
              </w:rPr>
            </w:pPr>
            <w:r w:rsidRPr="002815F4">
              <w:rPr>
                <w:lang w:val="en-GB"/>
              </w:rPr>
              <w:t>Government oversight of the EITI process (#1.1)</w:t>
            </w:r>
          </w:p>
        </w:tc>
        <w:tc>
          <w:tcPr>
            <w:tcW w:w="4618" w:type="dxa"/>
            <w:shd w:val="clear" w:color="auto" w:fill="auto"/>
            <w:vAlign w:val="center"/>
          </w:tcPr>
          <w:p w14:paraId="539A668B" w14:textId="2C5C536C" w:rsidR="002929E0" w:rsidRPr="002815F4" w:rsidRDefault="00DE3B6E" w:rsidP="00E10A07">
            <w:pPr>
              <w:pStyle w:val="Tabletext"/>
              <w:rPr>
                <w:lang w:val="en-GB"/>
              </w:rPr>
            </w:pPr>
            <w:r w:rsidRPr="002815F4">
              <w:rPr>
                <w:lang w:val="en-GB"/>
              </w:rPr>
              <w:t>There are regular, public statements of support from the government, a senior individual has been appointed to lead on the implementation of the EITI and senior government officials are represented on the MSG. In the International Secretariat’s view, Senegal has gone beyond the minimum requirement given the government’s meaningful use of the EITI to drive reforms. The government has enacted legal reforms to facilitate EITI implementation and actively followed up with non-reporting companies, while also using the EITI by proactively following up on EITI recommendations to drive further reforms in the governance of mining, oil and gas.</w:t>
            </w:r>
          </w:p>
        </w:tc>
        <w:tc>
          <w:tcPr>
            <w:tcW w:w="2114" w:type="dxa"/>
            <w:vAlign w:val="center"/>
          </w:tcPr>
          <w:p w14:paraId="655CCAF2" w14:textId="06C350FF" w:rsidR="002929E0" w:rsidRPr="002815F4" w:rsidRDefault="00B52833" w:rsidP="00E10A07">
            <w:pPr>
              <w:pStyle w:val="Tabletext"/>
              <w:rPr>
                <w:lang w:val="en-GB"/>
              </w:rPr>
            </w:pPr>
            <w:r>
              <w:rPr>
                <w:lang w:val="en-GB"/>
              </w:rPr>
              <w:t>Satisfactory progress</w:t>
            </w:r>
          </w:p>
        </w:tc>
      </w:tr>
      <w:tr w:rsidR="00CA44C7" w:rsidRPr="002815F4" w14:paraId="3AD83E28" w14:textId="77777777" w:rsidTr="007474FE">
        <w:tc>
          <w:tcPr>
            <w:tcW w:w="2645" w:type="dxa"/>
            <w:shd w:val="clear" w:color="auto" w:fill="auto"/>
            <w:vAlign w:val="center"/>
          </w:tcPr>
          <w:p w14:paraId="015BA6BA" w14:textId="6A7BA6C1" w:rsidR="00CA44C7" w:rsidRPr="002815F4" w:rsidRDefault="00CA44C7" w:rsidP="00E10A07">
            <w:pPr>
              <w:pStyle w:val="Tabletext"/>
              <w:rPr>
                <w:lang w:val="en-GB"/>
              </w:rPr>
            </w:pPr>
            <w:r w:rsidRPr="002815F4">
              <w:rPr>
                <w:lang w:val="en-GB"/>
              </w:rPr>
              <w:t>Company engagement (#1.2)</w:t>
            </w:r>
          </w:p>
        </w:tc>
        <w:tc>
          <w:tcPr>
            <w:tcW w:w="4618" w:type="dxa"/>
            <w:shd w:val="clear" w:color="auto" w:fill="auto"/>
            <w:vAlign w:val="center"/>
          </w:tcPr>
          <w:p w14:paraId="3417D4E9" w14:textId="3AF54762" w:rsidR="00CA44C7" w:rsidRPr="002815F4" w:rsidRDefault="00DE3B6E" w:rsidP="00E10A07">
            <w:pPr>
              <w:pStyle w:val="Tabletext"/>
              <w:rPr>
                <w:lang w:val="en-GB"/>
              </w:rPr>
            </w:pPr>
            <w:r w:rsidRPr="002815F4">
              <w:rPr>
                <w:lang w:val="en-GB"/>
              </w:rPr>
              <w:t>Mining, oil and gas companies are actively and effectively engaged in the EITI process, both as providers of information and in the design, implementation, monitoring and evaluation of the EITI process. Industry representatives are taking part in outreach and efforts to promote public debate, both at a national level and in regional roadshows. The introduction of legal requirements for EITI participation in sector legislation for mining (in November 2016) and oil and gas (planned for 2017), is bolstering the institutionalisation of EITI in Senegal.</w:t>
            </w:r>
          </w:p>
        </w:tc>
        <w:tc>
          <w:tcPr>
            <w:tcW w:w="2114" w:type="dxa"/>
            <w:vAlign w:val="center"/>
          </w:tcPr>
          <w:p w14:paraId="114FBB7C" w14:textId="0CA70F76" w:rsidR="00CA44C7" w:rsidRPr="002815F4" w:rsidRDefault="001D346D" w:rsidP="00E10A07">
            <w:pPr>
              <w:pStyle w:val="Tabletext"/>
              <w:rPr>
                <w:lang w:val="en-GB"/>
              </w:rPr>
            </w:pPr>
            <w:r w:rsidRPr="002815F4">
              <w:rPr>
                <w:lang w:val="en-GB"/>
              </w:rPr>
              <w:t>Satisfactory</w:t>
            </w:r>
            <w:r w:rsidR="00B52833">
              <w:rPr>
                <w:lang w:val="en-GB"/>
              </w:rPr>
              <w:t xml:space="preserve"> progress</w:t>
            </w:r>
          </w:p>
        </w:tc>
      </w:tr>
      <w:tr w:rsidR="00B149DB" w:rsidRPr="002815F4" w14:paraId="4CDE6F61" w14:textId="77777777" w:rsidTr="007474FE">
        <w:tc>
          <w:tcPr>
            <w:tcW w:w="2645" w:type="dxa"/>
            <w:shd w:val="clear" w:color="auto" w:fill="auto"/>
            <w:vAlign w:val="center"/>
          </w:tcPr>
          <w:p w14:paraId="147C9314" w14:textId="41B2D662" w:rsidR="002929E0" w:rsidRPr="002815F4" w:rsidRDefault="00CA44C7" w:rsidP="00E10A07">
            <w:pPr>
              <w:pStyle w:val="Tabletext"/>
              <w:rPr>
                <w:lang w:val="en-GB"/>
              </w:rPr>
            </w:pPr>
            <w:r w:rsidRPr="002815F4">
              <w:rPr>
                <w:lang w:val="en-GB"/>
              </w:rPr>
              <w:lastRenderedPageBreak/>
              <w:t>Civil society engagement (#1.3)</w:t>
            </w:r>
          </w:p>
        </w:tc>
        <w:tc>
          <w:tcPr>
            <w:tcW w:w="4618" w:type="dxa"/>
            <w:shd w:val="clear" w:color="auto" w:fill="auto"/>
            <w:vAlign w:val="center"/>
          </w:tcPr>
          <w:p w14:paraId="0A2330D3" w14:textId="78A907BD" w:rsidR="002929E0" w:rsidRPr="002815F4" w:rsidRDefault="00971986" w:rsidP="00E10A07">
            <w:pPr>
              <w:pStyle w:val="Tabletext"/>
              <w:rPr>
                <w:lang w:val="en-GB"/>
              </w:rPr>
            </w:pPr>
            <w:r w:rsidRPr="002815F4">
              <w:rPr>
                <w:lang w:val="en-GB"/>
              </w:rPr>
              <w:t>There are no suggestions of any legal, regulatory or practical barriers to civil society’s ability to engage in EITI-related public debate, to operate freely, to communicate and cooperate with each other, to fully, actively and effectively engage on EITI-related matters or in relation to the EITI process. It appears that CSOs are able to speak freely on transparency and natural resource governance issues as well as to ensure that the EITI contributes to public debate. In addition, civil society is fully, actively and effectively engaged in the design, implementation, monitoring and evaluation of the EITI process. Stakeholders are taking part in outreach and efforts to promote public debate, especially on regional level.</w:t>
            </w:r>
          </w:p>
        </w:tc>
        <w:tc>
          <w:tcPr>
            <w:tcW w:w="2114" w:type="dxa"/>
            <w:vAlign w:val="center"/>
          </w:tcPr>
          <w:p w14:paraId="0314B7DE" w14:textId="1D69DB15" w:rsidR="002929E0" w:rsidRPr="002815F4" w:rsidRDefault="001D346D" w:rsidP="00E10A07">
            <w:pPr>
              <w:pStyle w:val="Tabletext"/>
              <w:rPr>
                <w:lang w:val="en-GB"/>
              </w:rPr>
            </w:pPr>
            <w:r w:rsidRPr="002815F4">
              <w:rPr>
                <w:lang w:val="en-GB"/>
              </w:rPr>
              <w:t>Satisfactory</w:t>
            </w:r>
            <w:r w:rsidR="00B52833">
              <w:rPr>
                <w:lang w:val="en-GB"/>
              </w:rPr>
              <w:t xml:space="preserve"> progress</w:t>
            </w:r>
          </w:p>
        </w:tc>
      </w:tr>
      <w:tr w:rsidR="00B149DB" w:rsidRPr="002815F4" w14:paraId="494917CE" w14:textId="77777777" w:rsidTr="007474FE">
        <w:tc>
          <w:tcPr>
            <w:tcW w:w="2645" w:type="dxa"/>
            <w:shd w:val="clear" w:color="auto" w:fill="auto"/>
            <w:vAlign w:val="center"/>
          </w:tcPr>
          <w:p w14:paraId="0C63AAC5" w14:textId="77777777" w:rsidR="002929E0" w:rsidRPr="002815F4" w:rsidRDefault="002929E0" w:rsidP="00E10A07">
            <w:pPr>
              <w:pStyle w:val="Tabletext"/>
              <w:rPr>
                <w:lang w:val="en-GB"/>
              </w:rPr>
            </w:pPr>
            <w:r w:rsidRPr="002815F4">
              <w:rPr>
                <w:lang w:val="en-GB"/>
              </w:rPr>
              <w:t>MSG governance and functioning (#1.4)</w:t>
            </w:r>
          </w:p>
        </w:tc>
        <w:tc>
          <w:tcPr>
            <w:tcW w:w="4618" w:type="dxa"/>
            <w:shd w:val="clear" w:color="auto" w:fill="auto"/>
            <w:vAlign w:val="center"/>
          </w:tcPr>
          <w:p w14:paraId="669AF977" w14:textId="68D1E04B" w:rsidR="002929E0" w:rsidRPr="002815F4" w:rsidRDefault="00971986" w:rsidP="00E10A07">
            <w:pPr>
              <w:pStyle w:val="Tabletext"/>
              <w:rPr>
                <w:lang w:val="en-GB"/>
              </w:rPr>
            </w:pPr>
            <w:r w:rsidRPr="002815F4">
              <w:rPr>
                <w:lang w:val="en-GB"/>
              </w:rPr>
              <w:t>The MSG has been formed and includes self-appointed representatives from each stakeholder group with no suggestion of interference or coercion, even if nominations procedures for industry and civil society have yet to be publicly codified. While not formalised by civil society itself, the mechanism for civil society nominations on the MSG was open to the public, both in the initial nominations ahead of the Senegal’s EITI application in 2013 and in 2015, and CSO members of the MSG are operationally and in policy terms independent from government and companies. Information on nominations procedures is publicly available. The ToR for the MSG addresses the requirements of the EITI Standard and stakeholders have not highlighted any significant deviations from the ToR in practice. Meetings are convened with sufficient advance warning and MSG members generally appear to have sufficient time to review documents ahead of meetings. Attendance of the large majority of MSG members is consistent. The MSG’s per diem policy is clearly described on the EITI Senegal website and in line with national legislation.</w:t>
            </w:r>
          </w:p>
        </w:tc>
        <w:tc>
          <w:tcPr>
            <w:tcW w:w="2114" w:type="dxa"/>
            <w:vAlign w:val="center"/>
          </w:tcPr>
          <w:p w14:paraId="62614962" w14:textId="411B8AD1" w:rsidR="002929E0" w:rsidRPr="002815F4" w:rsidRDefault="001D346D" w:rsidP="00E10A07">
            <w:pPr>
              <w:pStyle w:val="Tabletext"/>
              <w:rPr>
                <w:lang w:val="en-GB"/>
              </w:rPr>
            </w:pPr>
            <w:r w:rsidRPr="002815F4">
              <w:rPr>
                <w:lang w:val="en-GB"/>
              </w:rPr>
              <w:t>Satisfactory</w:t>
            </w:r>
            <w:r w:rsidR="00B52833">
              <w:rPr>
                <w:lang w:val="en-GB"/>
              </w:rPr>
              <w:t xml:space="preserve"> progress</w:t>
            </w:r>
          </w:p>
        </w:tc>
      </w:tr>
      <w:tr w:rsidR="00B149DB" w:rsidRPr="002815F4" w14:paraId="34F1B914" w14:textId="77777777" w:rsidTr="007474FE">
        <w:tc>
          <w:tcPr>
            <w:tcW w:w="2645" w:type="dxa"/>
            <w:shd w:val="clear" w:color="auto" w:fill="auto"/>
            <w:vAlign w:val="center"/>
          </w:tcPr>
          <w:p w14:paraId="1423268F" w14:textId="77777777" w:rsidR="002929E0" w:rsidRPr="002815F4" w:rsidRDefault="002929E0" w:rsidP="00E10A07">
            <w:pPr>
              <w:pStyle w:val="Tabletext"/>
              <w:rPr>
                <w:lang w:val="en-GB"/>
              </w:rPr>
            </w:pPr>
            <w:r w:rsidRPr="002815F4">
              <w:rPr>
                <w:lang w:val="en-GB"/>
              </w:rPr>
              <w:lastRenderedPageBreak/>
              <w:t>Work plan (#1.5)</w:t>
            </w:r>
          </w:p>
        </w:tc>
        <w:tc>
          <w:tcPr>
            <w:tcW w:w="4618" w:type="dxa"/>
            <w:shd w:val="clear" w:color="auto" w:fill="auto"/>
            <w:vAlign w:val="center"/>
          </w:tcPr>
          <w:p w14:paraId="238B04EE" w14:textId="214D07EF" w:rsidR="002929E0" w:rsidRPr="002815F4" w:rsidRDefault="00971986" w:rsidP="00E10A07">
            <w:pPr>
              <w:pStyle w:val="Tabletext"/>
              <w:rPr>
                <w:lang w:val="en-GB"/>
              </w:rPr>
            </w:pPr>
            <w:r w:rsidRPr="002815F4">
              <w:rPr>
                <w:lang w:val="en-GB"/>
              </w:rPr>
              <w:t>The 2017 EITI Senegal work plan and the 2017-2021 strategic plan are publicly accessible, produced in a timely manner and updated annually, with objectives aligned with national priorities. The work plan also includes specific activities to follow up on recommendations from EITI reporting. The three constituencies have consulted their broader stakeholder groups in preparing annual work plans since 2013. Delays in work plan implementation appear reasonable given funding constraints.</w:t>
            </w:r>
          </w:p>
        </w:tc>
        <w:tc>
          <w:tcPr>
            <w:tcW w:w="2114" w:type="dxa"/>
            <w:vAlign w:val="center"/>
          </w:tcPr>
          <w:p w14:paraId="2748F528" w14:textId="78DCECC9" w:rsidR="002929E0" w:rsidRPr="002815F4" w:rsidRDefault="001D346D" w:rsidP="00E10A07">
            <w:pPr>
              <w:pStyle w:val="Tabletext"/>
              <w:rPr>
                <w:lang w:val="en-GB"/>
              </w:rPr>
            </w:pPr>
            <w:r w:rsidRPr="002815F4">
              <w:rPr>
                <w:lang w:val="en-GB"/>
              </w:rPr>
              <w:t>Satisfactory</w:t>
            </w:r>
            <w:r w:rsidR="00B52833">
              <w:rPr>
                <w:lang w:val="en-GB"/>
              </w:rPr>
              <w:t xml:space="preserve"> progress</w:t>
            </w:r>
          </w:p>
        </w:tc>
      </w:tr>
      <w:tr w:rsidR="002929E0" w:rsidRPr="002815F4" w14:paraId="22E519CD" w14:textId="77777777" w:rsidTr="00622985">
        <w:tc>
          <w:tcPr>
            <w:tcW w:w="0" w:type="auto"/>
            <w:gridSpan w:val="3"/>
            <w:shd w:val="clear" w:color="auto" w:fill="FFFFFF"/>
          </w:tcPr>
          <w:p w14:paraId="2B36E9BE" w14:textId="2BA8CF69" w:rsidR="002929E0" w:rsidRPr="002815F4" w:rsidRDefault="00F96D88" w:rsidP="00E10A07">
            <w:pPr>
              <w:pStyle w:val="Tabletext"/>
              <w:rPr>
                <w:lang w:val="en-GB"/>
              </w:rPr>
            </w:pPr>
            <w:r w:rsidRPr="002815F4">
              <w:rPr>
                <w:lang w:val="en-GB"/>
              </w:rPr>
              <w:t>Secretariat’s</w:t>
            </w:r>
            <w:r w:rsidR="002929E0" w:rsidRPr="002815F4">
              <w:rPr>
                <w:lang w:val="en-GB"/>
              </w:rPr>
              <w:t xml:space="preserve"> recommendations:</w:t>
            </w:r>
          </w:p>
          <w:p w14:paraId="275F19FE" w14:textId="42EABF53" w:rsidR="00BA3D79" w:rsidRPr="002815F4" w:rsidRDefault="00DE3B6E" w:rsidP="00FF1374">
            <w:pPr>
              <w:pStyle w:val="ListParagraph"/>
              <w:numPr>
                <w:ilvl w:val="0"/>
                <w:numId w:val="54"/>
              </w:numPr>
              <w:rPr>
                <w:rFonts w:eastAsia="Calibri"/>
              </w:rPr>
            </w:pPr>
            <w:r w:rsidRPr="002815F4">
              <w:t>To strengthen implementation, the MSG may wish to review EITI Senegal’s foundational decree to reflect actual practice in government participation on the MSG.</w:t>
            </w:r>
            <w:r w:rsidRPr="002815F4" w:rsidDel="00DE3B6E">
              <w:t xml:space="preserve"> </w:t>
            </w:r>
          </w:p>
          <w:p w14:paraId="67B8A774" w14:textId="48F2DD25" w:rsidR="00BA3D79" w:rsidRPr="002815F4" w:rsidRDefault="00DE3B6E">
            <w:pPr>
              <w:pStyle w:val="ListParagraph"/>
              <w:numPr>
                <w:ilvl w:val="0"/>
                <w:numId w:val="54"/>
              </w:numPr>
              <w:rPr>
                <w:rFonts w:eastAsia="Calibri"/>
              </w:rPr>
            </w:pPr>
            <w:r w:rsidRPr="002815F4">
              <w:t xml:space="preserve">To strengthen implementation, the industry constituency may wish </w:t>
            </w:r>
            <w:r w:rsidR="00B52833">
              <w:t xml:space="preserve">to </w:t>
            </w:r>
            <w:r w:rsidRPr="002815F4">
              <w:t>enhance, systematise and formalise its coordination between companies involved in EITI implementation beyond those directly represented on the MSG, potentially through its own ToR to structure the constituency’s participation in EITI. The industry constituency is also encouraged to formalise its procedures for nominating and replacing its MSG members, potentially through the same ToR (</w:t>
            </w:r>
            <w:r w:rsidRPr="002815F4">
              <w:rPr>
                <w:i/>
              </w:rPr>
              <w:t>see Requirement 1.4</w:t>
            </w:r>
            <w:r w:rsidRPr="002815F4">
              <w:t>).</w:t>
            </w:r>
            <w:r w:rsidRPr="002815F4" w:rsidDel="00DE3B6E">
              <w:t xml:space="preserve"> </w:t>
            </w:r>
          </w:p>
          <w:p w14:paraId="0DD19FEB" w14:textId="77777777" w:rsidR="00971986" w:rsidRPr="002815F4" w:rsidRDefault="00971986">
            <w:pPr>
              <w:pStyle w:val="ListParagraph"/>
              <w:numPr>
                <w:ilvl w:val="0"/>
                <w:numId w:val="54"/>
              </w:numPr>
              <w:rPr>
                <w:rFonts w:eastAsia="Calibri"/>
              </w:rPr>
            </w:pPr>
            <w:r w:rsidRPr="002815F4">
              <w:t>To strengthen implementation, the MSG may wish to pursue its capacity building efforts targeting civil society and the press on the use of EITI data and other aspects such as contract analysis.</w:t>
            </w:r>
          </w:p>
          <w:p w14:paraId="1A96093D" w14:textId="0BA5BF51" w:rsidR="00BA3D79" w:rsidRPr="002815F4" w:rsidRDefault="00971986">
            <w:pPr>
              <w:pStyle w:val="ListParagraph"/>
              <w:numPr>
                <w:ilvl w:val="0"/>
                <w:numId w:val="54"/>
              </w:numPr>
              <w:rPr>
                <w:rFonts w:eastAsia="Calibri"/>
              </w:rPr>
            </w:pPr>
            <w:r w:rsidRPr="002815F4">
              <w:t>To strengthen implementation, the MSG may wish to support each constituency’s codification of its own nominations and replacement procedures for MSG members. The MSG may also wish to consider updating the 2013 Decree covering the composition of the MSG to ensure that EITI Senegal’s governance rules are in line with actual practice, particularly on meeting quorum and MSG member alternates.</w:t>
            </w:r>
          </w:p>
          <w:p w14:paraId="1F516B53" w14:textId="786795C3" w:rsidR="002929E0" w:rsidRPr="002815F4" w:rsidDel="00F96D88" w:rsidRDefault="00971986">
            <w:pPr>
              <w:pStyle w:val="ListParagraph"/>
              <w:numPr>
                <w:ilvl w:val="0"/>
                <w:numId w:val="54"/>
              </w:numPr>
              <w:rPr>
                <w:rFonts w:eastAsia="Calibri"/>
              </w:rPr>
            </w:pPr>
            <w:r w:rsidRPr="002815F4">
              <w:t xml:space="preserve">To strengthen implementation, the MSG may wish to publish more regular updates of its work plan execution to reflect the detail with which the MSG and secretariat track implementation. This could further support the MSG’s efforts to reach out to prospective donors to support specific work plan </w:t>
            </w:r>
            <w:commentRangeStart w:id="118"/>
            <w:r w:rsidRPr="002815F4">
              <w:t>activities</w:t>
            </w:r>
            <w:commentRangeEnd w:id="118"/>
            <w:r w:rsidR="007322F9">
              <w:rPr>
                <w:rStyle w:val="CommentReference"/>
                <w:szCs w:val="20"/>
              </w:rPr>
              <w:commentReference w:id="118"/>
            </w:r>
            <w:r w:rsidRPr="002815F4">
              <w:t>.</w:t>
            </w:r>
            <w:r w:rsidRPr="002815F4" w:rsidDel="00971986">
              <w:t xml:space="preserve"> </w:t>
            </w:r>
          </w:p>
        </w:tc>
      </w:tr>
    </w:tbl>
    <w:p w14:paraId="4A1B9720" w14:textId="2EAB3D6F" w:rsidR="00FA3B01" w:rsidRPr="002815F4" w:rsidRDefault="00FA3B01" w:rsidP="00E03D03">
      <w:pPr>
        <w:rPr>
          <w:rFonts w:ascii="Calibri" w:hAnsi="Calibri"/>
        </w:rPr>
      </w:pPr>
    </w:p>
    <w:p w14:paraId="7A6091FA" w14:textId="77777777" w:rsidR="00FA3B01" w:rsidRPr="002815F4" w:rsidRDefault="00FA3B01">
      <w:pPr>
        <w:widowControl/>
        <w:suppressAutoHyphens w:val="0"/>
        <w:spacing w:after="0" w:line="240" w:lineRule="auto"/>
        <w:rPr>
          <w:rFonts w:ascii="Calibri" w:hAnsi="Calibri"/>
          <w:bCs/>
          <w:color w:val="365F91"/>
          <w:sz w:val="32"/>
        </w:rPr>
      </w:pPr>
      <w:r w:rsidRPr="002815F4">
        <w:rPr>
          <w:rFonts w:ascii="Calibri" w:hAnsi="Calibri"/>
        </w:rPr>
        <w:br w:type="page"/>
      </w:r>
    </w:p>
    <w:p w14:paraId="6E3440DD" w14:textId="45D75CFE" w:rsidR="00A441F1" w:rsidRPr="002815F4" w:rsidRDefault="00A441F1" w:rsidP="00764C60">
      <w:pPr>
        <w:pStyle w:val="Heading1"/>
      </w:pPr>
      <w:bookmarkStart w:id="119" w:name="_Toc452707649"/>
      <w:bookmarkStart w:id="120" w:name="_Toc459133091"/>
      <w:bookmarkStart w:id="121" w:name="_Toc461803040"/>
      <w:bookmarkStart w:id="122" w:name="_Toc461787321"/>
      <w:bookmarkStart w:id="123" w:name="_Toc461795833"/>
      <w:bookmarkStart w:id="124" w:name="_Toc462149180"/>
      <w:r w:rsidRPr="002815F4">
        <w:lastRenderedPageBreak/>
        <w:t>Part I</w:t>
      </w:r>
      <w:r w:rsidR="008912F5" w:rsidRPr="002815F4">
        <w:t>I</w:t>
      </w:r>
      <w:r w:rsidRPr="002815F4">
        <w:t xml:space="preserve"> – EITI Disclosures</w:t>
      </w:r>
      <w:bookmarkEnd w:id="119"/>
      <w:bookmarkEnd w:id="120"/>
      <w:bookmarkEnd w:id="121"/>
      <w:bookmarkEnd w:id="122"/>
      <w:bookmarkEnd w:id="123"/>
      <w:bookmarkEnd w:id="124"/>
    </w:p>
    <w:p w14:paraId="65A94409" w14:textId="134710C2" w:rsidR="00A441F1" w:rsidRPr="002815F4" w:rsidRDefault="009F5C43" w:rsidP="009B3E66">
      <w:pPr>
        <w:pStyle w:val="Heading2"/>
      </w:pPr>
      <w:bookmarkStart w:id="125" w:name="_Toc458773220"/>
      <w:bookmarkStart w:id="126" w:name="_Toc458780318"/>
      <w:bookmarkStart w:id="127" w:name="_Toc459133092"/>
      <w:bookmarkStart w:id="128" w:name="_Toc461803041"/>
      <w:bookmarkStart w:id="129" w:name="_Toc461787322"/>
      <w:bookmarkStart w:id="130" w:name="_Toc461795834"/>
      <w:bookmarkStart w:id="131" w:name="_Toc462149181"/>
      <w:bookmarkEnd w:id="125"/>
      <w:bookmarkEnd w:id="126"/>
      <w:r w:rsidRPr="002815F4">
        <w:t xml:space="preserve">2. </w:t>
      </w:r>
      <w:r w:rsidR="00A441F1" w:rsidRPr="002815F4">
        <w:t>Award of contracts and licenses</w:t>
      </w:r>
      <w:bookmarkEnd w:id="127"/>
      <w:bookmarkEnd w:id="128"/>
      <w:bookmarkEnd w:id="129"/>
      <w:bookmarkEnd w:id="130"/>
      <w:bookmarkEnd w:id="131"/>
      <w:r w:rsidR="00A441F1" w:rsidRPr="002815F4">
        <w:t xml:space="preserve"> </w:t>
      </w:r>
    </w:p>
    <w:p w14:paraId="29A400E3" w14:textId="5397B8CE" w:rsidR="0048579D" w:rsidRPr="002815F4" w:rsidRDefault="009F5C43" w:rsidP="009B3E66">
      <w:pPr>
        <w:pStyle w:val="Heading2notindexed"/>
      </w:pPr>
      <w:bookmarkStart w:id="132" w:name="_Toc459133093"/>
      <w:bookmarkStart w:id="133" w:name="_Toc461803042"/>
      <w:bookmarkStart w:id="134" w:name="_Toc461787323"/>
      <w:bookmarkStart w:id="135" w:name="_Toc461795835"/>
      <w:r w:rsidRPr="002815F4">
        <w:t xml:space="preserve">2.1 </w:t>
      </w:r>
      <w:r w:rsidR="00A441F1" w:rsidRPr="002815F4">
        <w:t>Overview</w:t>
      </w:r>
      <w:bookmarkEnd w:id="132"/>
      <w:bookmarkEnd w:id="133"/>
      <w:bookmarkEnd w:id="134"/>
      <w:bookmarkEnd w:id="135"/>
    </w:p>
    <w:p w14:paraId="13C2C25C" w14:textId="77777777" w:rsidR="003E42CB" w:rsidRPr="002815F4" w:rsidRDefault="003E42CB" w:rsidP="008D7517">
      <w:pPr>
        <w:rPr>
          <w:rFonts w:ascii="Calibri" w:hAnsi="Calibri"/>
        </w:rPr>
      </w:pPr>
      <w:r w:rsidRPr="002815F4">
        <w:rPr>
          <w:rFonts w:ascii="Calibri" w:hAnsi="Calibri"/>
        </w:rPr>
        <w:t>This section provides details on the implementation of the EITI requirements related to the legal framework for the extractive sector, licensing activities, contracts, beneficial ownership and state</w:t>
      </w:r>
      <w:r w:rsidR="00F425D1" w:rsidRPr="002815F4">
        <w:rPr>
          <w:rFonts w:ascii="Calibri" w:hAnsi="Calibri"/>
        </w:rPr>
        <w:t xml:space="preserve"> </w:t>
      </w:r>
      <w:r w:rsidRPr="002815F4">
        <w:rPr>
          <w:rFonts w:ascii="Calibri" w:hAnsi="Calibri"/>
        </w:rPr>
        <w:t>participation.</w:t>
      </w:r>
    </w:p>
    <w:p w14:paraId="31A6F83F" w14:textId="020ED45B" w:rsidR="00A441F1" w:rsidRPr="002815F4" w:rsidRDefault="00FA3C70" w:rsidP="009B3E66">
      <w:pPr>
        <w:pStyle w:val="Heading2"/>
      </w:pPr>
      <w:bookmarkStart w:id="136" w:name="_Toc459133094"/>
      <w:bookmarkStart w:id="137" w:name="_Toc461803043"/>
      <w:bookmarkStart w:id="138" w:name="_Toc461787324"/>
      <w:bookmarkStart w:id="139" w:name="_Toc461795836"/>
      <w:r w:rsidRPr="002815F4">
        <w:t xml:space="preserve">2.2 </w:t>
      </w:r>
      <w:r w:rsidR="00A441F1" w:rsidRPr="002815F4">
        <w:t>Assessment</w:t>
      </w:r>
      <w:bookmarkEnd w:id="136"/>
      <w:bookmarkEnd w:id="137"/>
      <w:bookmarkEnd w:id="138"/>
      <w:bookmarkEnd w:id="139"/>
    </w:p>
    <w:p w14:paraId="6D8E64E5" w14:textId="78908CB9" w:rsidR="00A441F1" w:rsidRPr="002815F4" w:rsidRDefault="00A441F1" w:rsidP="009B3E66">
      <w:pPr>
        <w:pStyle w:val="Heading2"/>
      </w:pPr>
      <w:bookmarkStart w:id="140" w:name="_Toc459133095"/>
      <w:bookmarkStart w:id="141" w:name="_Toc461803044"/>
      <w:bookmarkStart w:id="142" w:name="_Toc461787325"/>
      <w:bookmarkStart w:id="143" w:name="_Toc461795837"/>
      <w:bookmarkStart w:id="144" w:name="_Toc462149182"/>
      <w:r w:rsidRPr="002815F4">
        <w:t>Legal framework (#</w:t>
      </w:r>
      <w:r w:rsidR="00EE25D1" w:rsidRPr="002815F4">
        <w:t>2</w:t>
      </w:r>
      <w:r w:rsidRPr="002815F4">
        <w:t>.</w:t>
      </w:r>
      <w:r w:rsidR="00EE25D1" w:rsidRPr="002815F4">
        <w:t>1</w:t>
      </w:r>
      <w:r w:rsidRPr="002815F4">
        <w:t>)</w:t>
      </w:r>
      <w:bookmarkEnd w:id="140"/>
      <w:bookmarkEnd w:id="141"/>
      <w:bookmarkEnd w:id="142"/>
      <w:bookmarkEnd w:id="143"/>
      <w:bookmarkEnd w:id="144"/>
    </w:p>
    <w:p w14:paraId="7EBF2000" w14:textId="5FD91EBB" w:rsidR="002103DA" w:rsidRPr="002815F4" w:rsidRDefault="00F425D1" w:rsidP="009B3E66">
      <w:pPr>
        <w:pStyle w:val="Heading3"/>
      </w:pPr>
      <w:r w:rsidRPr="002815F4">
        <w:t>Documentation of progress</w:t>
      </w:r>
    </w:p>
    <w:p w14:paraId="0AB03388" w14:textId="451BF0B5" w:rsidR="00604D0C" w:rsidRPr="002815F4" w:rsidRDefault="00F425D1" w:rsidP="00E956E1">
      <w:pPr>
        <w:spacing w:before="120"/>
        <w:rPr>
          <w:rFonts w:ascii="Calibri" w:hAnsi="Calibri"/>
          <w:bCs/>
        </w:rPr>
      </w:pPr>
      <w:r w:rsidRPr="002815F4">
        <w:rPr>
          <w:rFonts w:ascii="Calibri" w:hAnsi="Calibri"/>
          <w:i/>
          <w:u w:val="single"/>
        </w:rPr>
        <w:t>Legal framework</w:t>
      </w:r>
      <w:r w:rsidRPr="002815F4">
        <w:rPr>
          <w:rFonts w:ascii="Calibri" w:hAnsi="Calibri"/>
        </w:rPr>
        <w:t xml:space="preserve">: </w:t>
      </w:r>
      <w:r w:rsidR="00604D0C" w:rsidRPr="002815F4">
        <w:rPr>
          <w:rFonts w:ascii="Calibri" w:hAnsi="Calibri"/>
          <w:bCs/>
        </w:rPr>
        <w:t xml:space="preserve">The 2014 EITI Report provides an overview of the government’s policy framework and legal environment both for mining, including links to relevant laws and the model mining contract (2014 EITI Report, p.24), and for oil and gas (2014 EITI Report, pp.40-41). The main laws and regulations are briefly described. </w:t>
      </w:r>
      <w:r w:rsidR="009C60D3" w:rsidRPr="002815F4">
        <w:rPr>
          <w:rFonts w:ascii="Calibri" w:hAnsi="Calibri"/>
          <w:bCs/>
        </w:rPr>
        <w:t xml:space="preserve">The report also includes information on two decrees passed on the artisanal and small-scale mining sector in 2014 (2014 EITI Report, pp.38). </w:t>
      </w:r>
      <w:r w:rsidR="007353CE" w:rsidRPr="002815F4">
        <w:rPr>
          <w:rFonts w:ascii="Calibri" w:hAnsi="Calibri"/>
          <w:bCs/>
        </w:rPr>
        <w:t xml:space="preserve">Legal and contractual provisions related to local content, environmental rehabilitation and mandatory social expenditures are also described for mining (2014 EITI Report, p.36) and oil and gas (2014 EITI Report, pp.54-55). </w:t>
      </w:r>
    </w:p>
    <w:p w14:paraId="2BEA6D02" w14:textId="74794E03" w:rsidR="00921AE2" w:rsidRPr="002815F4" w:rsidRDefault="00F425D1" w:rsidP="00F425D1">
      <w:pPr>
        <w:spacing w:before="120"/>
        <w:rPr>
          <w:rFonts w:ascii="Calibri" w:hAnsi="Calibri"/>
        </w:rPr>
      </w:pPr>
      <w:r w:rsidRPr="002815F4">
        <w:rPr>
          <w:rFonts w:ascii="Calibri" w:hAnsi="Calibri"/>
          <w:i/>
          <w:u w:val="single"/>
        </w:rPr>
        <w:t>Government agencies’ roles</w:t>
      </w:r>
      <w:r w:rsidRPr="002815F4">
        <w:rPr>
          <w:rFonts w:ascii="Calibri" w:hAnsi="Calibri"/>
        </w:rPr>
        <w:t>:</w:t>
      </w:r>
      <w:r w:rsidR="00117523" w:rsidRPr="002815F4">
        <w:rPr>
          <w:rFonts w:ascii="Calibri" w:hAnsi="Calibri"/>
        </w:rPr>
        <w:t xml:space="preserve"> </w:t>
      </w:r>
      <w:r w:rsidR="00117523" w:rsidRPr="002815F4">
        <w:rPr>
          <w:rFonts w:ascii="Calibri" w:hAnsi="Calibri"/>
          <w:bCs/>
        </w:rPr>
        <w:t>The 2014 EITI Report describes the roles and responsibilities of relevant government agencies in both mining (2014 EITI Report, pp.</w:t>
      </w:r>
      <w:r w:rsidR="00117523" w:rsidRPr="002815F4">
        <w:rPr>
          <w:rFonts w:ascii="Calibri" w:hAnsi="Calibri"/>
        </w:rPr>
        <w:t>25-26</w:t>
      </w:r>
      <w:r w:rsidR="00117523" w:rsidRPr="002815F4">
        <w:rPr>
          <w:rFonts w:ascii="Calibri" w:hAnsi="Calibri"/>
          <w:bCs/>
        </w:rPr>
        <w:t>) and oil and gas (2014 EITI Report, pp.</w:t>
      </w:r>
      <w:r w:rsidR="00117523" w:rsidRPr="002815F4">
        <w:rPr>
          <w:rFonts w:ascii="Calibri" w:hAnsi="Calibri"/>
        </w:rPr>
        <w:t>41-42</w:t>
      </w:r>
      <w:r w:rsidR="00117523" w:rsidRPr="002815F4">
        <w:rPr>
          <w:rFonts w:ascii="Calibri" w:hAnsi="Calibri"/>
          <w:bCs/>
        </w:rPr>
        <w:t xml:space="preserve">). </w:t>
      </w:r>
      <w:r w:rsidR="002B08D7" w:rsidRPr="002815F4">
        <w:rPr>
          <w:rFonts w:ascii="Calibri" w:hAnsi="Calibri"/>
          <w:bCs/>
        </w:rPr>
        <w:t>The roles</w:t>
      </w:r>
      <w:r w:rsidR="007353CE" w:rsidRPr="002815F4">
        <w:rPr>
          <w:rFonts w:ascii="Calibri" w:hAnsi="Calibri"/>
          <w:bCs/>
        </w:rPr>
        <w:t xml:space="preserve"> and responsibilities</w:t>
      </w:r>
      <w:r w:rsidR="002B08D7" w:rsidRPr="002815F4">
        <w:rPr>
          <w:rFonts w:ascii="Calibri" w:hAnsi="Calibri"/>
          <w:bCs/>
        </w:rPr>
        <w:t xml:space="preserve"> of the </w:t>
      </w:r>
      <w:r w:rsidR="007353CE" w:rsidRPr="002815F4">
        <w:rPr>
          <w:rFonts w:ascii="Calibri" w:hAnsi="Calibri"/>
          <w:bCs/>
        </w:rPr>
        <w:t xml:space="preserve">Agency for the Management and Cooperation between Guinea-Bissau and Senegal (AGC) in overseeing the joint maritime oil and gas zone shared between the two countries is also covered (2014 EITI Report, pp.48-50). </w:t>
      </w:r>
    </w:p>
    <w:p w14:paraId="6AFCB6F1" w14:textId="346FF530" w:rsidR="00F425D1" w:rsidRPr="002815F4" w:rsidRDefault="00F425D1" w:rsidP="0055005F">
      <w:pPr>
        <w:spacing w:before="120"/>
        <w:rPr>
          <w:rFonts w:ascii="Calibri" w:hAnsi="Calibri"/>
          <w:bCs/>
        </w:rPr>
      </w:pPr>
      <w:r w:rsidRPr="002815F4">
        <w:rPr>
          <w:rFonts w:ascii="Calibri" w:hAnsi="Calibri"/>
          <w:i/>
          <w:u w:val="single"/>
        </w:rPr>
        <w:t>Fiscal regime</w:t>
      </w:r>
      <w:r w:rsidRPr="002815F4">
        <w:rPr>
          <w:rFonts w:ascii="Calibri" w:hAnsi="Calibri"/>
        </w:rPr>
        <w:t xml:space="preserve">: </w:t>
      </w:r>
      <w:r w:rsidR="00117523" w:rsidRPr="002815F4">
        <w:rPr>
          <w:rFonts w:ascii="Calibri" w:hAnsi="Calibri"/>
          <w:bCs/>
        </w:rPr>
        <w:t>The 2014 EITI Report outlines the</w:t>
      </w:r>
      <w:r w:rsidR="006B10CC" w:rsidRPr="002815F4">
        <w:rPr>
          <w:rFonts w:ascii="Calibri" w:hAnsi="Calibri"/>
          <w:bCs/>
        </w:rPr>
        <w:t xml:space="preserve"> statutory</w:t>
      </w:r>
      <w:r w:rsidR="00117523" w:rsidRPr="002815F4">
        <w:rPr>
          <w:rFonts w:ascii="Calibri" w:hAnsi="Calibri"/>
          <w:bCs/>
        </w:rPr>
        <w:t xml:space="preserve"> fiscal regime, including specific rates where applicable, for both mining (2014 EITI Report,</w:t>
      </w:r>
      <w:r w:rsidR="00117523" w:rsidRPr="002815F4">
        <w:t xml:space="preserve"> </w:t>
      </w:r>
      <w:r w:rsidR="00117523" w:rsidRPr="002815F4">
        <w:rPr>
          <w:rFonts w:ascii="Calibri" w:hAnsi="Calibri"/>
          <w:bCs/>
        </w:rPr>
        <w:t>pp.26-27) and oil and gas (2014 EITI Report,</w:t>
      </w:r>
      <w:r w:rsidR="00117523" w:rsidRPr="002815F4">
        <w:t xml:space="preserve"> </w:t>
      </w:r>
      <w:r w:rsidR="00117523" w:rsidRPr="002815F4">
        <w:rPr>
          <w:rFonts w:ascii="Calibri" w:hAnsi="Calibri"/>
          <w:bCs/>
        </w:rPr>
        <w:t xml:space="preserve">pp.42-43). </w:t>
      </w:r>
    </w:p>
    <w:p w14:paraId="7C0327D2" w14:textId="1C7676D6" w:rsidR="00F425D1" w:rsidRPr="002815F4" w:rsidRDefault="00F425D1" w:rsidP="00871BF1">
      <w:pPr>
        <w:spacing w:before="120"/>
        <w:rPr>
          <w:rFonts w:ascii="Calibri" w:hAnsi="Calibri"/>
        </w:rPr>
      </w:pPr>
      <w:r w:rsidRPr="002815F4">
        <w:rPr>
          <w:rFonts w:ascii="Calibri" w:hAnsi="Calibri"/>
          <w:i/>
          <w:u w:val="single"/>
        </w:rPr>
        <w:t>Degree of fiscal devolution</w:t>
      </w:r>
      <w:r w:rsidRPr="002815F4">
        <w:rPr>
          <w:rFonts w:ascii="Calibri" w:hAnsi="Calibri"/>
        </w:rPr>
        <w:t xml:space="preserve">: </w:t>
      </w:r>
      <w:r w:rsidR="000C2FB4" w:rsidRPr="002815F4">
        <w:rPr>
          <w:rFonts w:ascii="Calibri" w:hAnsi="Calibri"/>
          <w:bCs/>
        </w:rPr>
        <w:t>The 2014 EITI Report clarifies that there are no statutory direct subnational payments levied by subnational governments from mining, oil and gas companies (2014 EITI Report,</w:t>
      </w:r>
      <w:r w:rsidR="000C2FB4" w:rsidRPr="002815F4">
        <w:t xml:space="preserve"> </w:t>
      </w:r>
      <w:r w:rsidR="000C2FB4" w:rsidRPr="002815F4">
        <w:rPr>
          <w:rFonts w:ascii="Calibri" w:hAnsi="Calibri"/>
          <w:bCs/>
        </w:rPr>
        <w:t>pp.55,57-58).</w:t>
      </w:r>
      <w:r w:rsidR="00FD036F" w:rsidRPr="002815F4">
        <w:rPr>
          <w:rFonts w:ascii="Calibri" w:hAnsi="Calibri"/>
          <w:bCs/>
        </w:rPr>
        <w:t xml:space="preserve"> While the report notes that there are no statutory subnational transfers between central and subnational governments related to oil and gas (2014 EITI Report,</w:t>
      </w:r>
      <w:r w:rsidR="00FD036F" w:rsidRPr="002815F4">
        <w:t xml:space="preserve"> </w:t>
      </w:r>
      <w:r w:rsidR="00FD036F" w:rsidRPr="002815F4">
        <w:rPr>
          <w:rFonts w:ascii="Calibri" w:hAnsi="Calibri"/>
          <w:bCs/>
        </w:rPr>
        <w:t>p.55), it describes statutory subnational transfers in the mining sector that have never been implemented given the lack of implementing regulations (2014 EITI Report,</w:t>
      </w:r>
      <w:r w:rsidR="00FD036F" w:rsidRPr="002815F4">
        <w:t xml:space="preserve"> </w:t>
      </w:r>
      <w:r w:rsidR="00FD036F" w:rsidRPr="002815F4">
        <w:rPr>
          <w:rFonts w:ascii="Calibri" w:hAnsi="Calibri"/>
          <w:bCs/>
        </w:rPr>
        <w:t>pp.36-37</w:t>
      </w:r>
      <w:r w:rsidR="00CF369B" w:rsidRPr="002815F4">
        <w:rPr>
          <w:rFonts w:ascii="Calibri" w:hAnsi="Calibri"/>
          <w:bCs/>
        </w:rPr>
        <w:t>,57</w:t>
      </w:r>
      <w:r w:rsidR="00FD036F" w:rsidRPr="002815F4">
        <w:rPr>
          <w:rFonts w:ascii="Calibri" w:hAnsi="Calibri"/>
          <w:bCs/>
        </w:rPr>
        <w:t>).</w:t>
      </w:r>
    </w:p>
    <w:p w14:paraId="49A3EE2B" w14:textId="63BEAC72" w:rsidR="00364D64" w:rsidRPr="002815F4" w:rsidRDefault="00F425D1" w:rsidP="0055005F">
      <w:pPr>
        <w:spacing w:before="120"/>
        <w:rPr>
          <w:rFonts w:ascii="Calibri" w:hAnsi="Calibri"/>
          <w:bCs/>
        </w:rPr>
      </w:pPr>
      <w:r w:rsidRPr="002815F4">
        <w:rPr>
          <w:rFonts w:ascii="Calibri" w:hAnsi="Calibri"/>
          <w:i/>
          <w:u w:val="single"/>
        </w:rPr>
        <w:t>Reforms</w:t>
      </w:r>
      <w:r w:rsidRPr="002815F4">
        <w:rPr>
          <w:rFonts w:ascii="Calibri" w:hAnsi="Calibri"/>
        </w:rPr>
        <w:t xml:space="preserve">: </w:t>
      </w:r>
      <w:r w:rsidR="000D177E" w:rsidRPr="002815F4">
        <w:rPr>
          <w:rFonts w:ascii="Calibri" w:hAnsi="Calibri"/>
          <w:bCs/>
        </w:rPr>
        <w:t xml:space="preserve">The 2014 EITI Report </w:t>
      </w:r>
      <w:r w:rsidR="002A79C1" w:rsidRPr="002815F4">
        <w:rPr>
          <w:rFonts w:ascii="Calibri" w:hAnsi="Calibri"/>
          <w:bCs/>
        </w:rPr>
        <w:t>provides brief descriptions of recent and on-going reforms in both mining (2014 EITI Report,</w:t>
      </w:r>
      <w:r w:rsidR="002A79C1" w:rsidRPr="002815F4">
        <w:t xml:space="preserve"> </w:t>
      </w:r>
      <w:r w:rsidR="002A79C1" w:rsidRPr="002815F4">
        <w:rPr>
          <w:rFonts w:ascii="Calibri" w:hAnsi="Calibri"/>
          <w:bCs/>
        </w:rPr>
        <w:t>pp.24,38), including then-proposed revisions to the government’s mining policy and Mining Code (since enacted), and oil and gas (2014 EITI Report,</w:t>
      </w:r>
      <w:r w:rsidR="002A79C1" w:rsidRPr="002815F4">
        <w:t xml:space="preserve"> </w:t>
      </w:r>
      <w:r w:rsidR="002A79C1" w:rsidRPr="002815F4">
        <w:rPr>
          <w:rFonts w:ascii="Calibri" w:hAnsi="Calibri"/>
          <w:bCs/>
        </w:rPr>
        <w:t xml:space="preserve">pp.45,56), including the 2012 Energy </w:t>
      </w:r>
      <w:r w:rsidR="002A79C1" w:rsidRPr="002815F4">
        <w:rPr>
          <w:rFonts w:ascii="Calibri" w:hAnsi="Calibri"/>
          <w:bCs/>
        </w:rPr>
        <w:lastRenderedPageBreak/>
        <w:t xml:space="preserve">Development Policy and planned revisions to the Petroleum Code. </w:t>
      </w:r>
    </w:p>
    <w:p w14:paraId="5ADA67DB" w14:textId="77777777" w:rsidR="002103DA" w:rsidRPr="002815F4" w:rsidRDefault="00F425D1" w:rsidP="009B3E66">
      <w:pPr>
        <w:pStyle w:val="Heading3"/>
      </w:pPr>
      <w:r w:rsidRPr="002815F4">
        <w:t>Stakeholder views</w:t>
      </w:r>
    </w:p>
    <w:p w14:paraId="0A803EDA" w14:textId="065E967D" w:rsidR="002A79C1" w:rsidRPr="002815F4" w:rsidRDefault="00E80094" w:rsidP="007474FE">
      <w:r w:rsidRPr="002815F4">
        <w:t>Industry</w:t>
      </w:r>
      <w:r w:rsidR="0097159C" w:rsidRPr="002815F4">
        <w:t xml:space="preserve">, civil society and government stakeholders </w:t>
      </w:r>
      <w:r w:rsidR="00527A4E" w:rsidRPr="002815F4">
        <w:t>were satisfied with</w:t>
      </w:r>
      <w:r w:rsidR="00BA645A" w:rsidRPr="002815F4">
        <w:t xml:space="preserve"> </w:t>
      </w:r>
      <w:r w:rsidR="0097159C" w:rsidRPr="002815F4">
        <w:t>the contextual</w:t>
      </w:r>
      <w:r w:rsidR="00BA645A" w:rsidRPr="002815F4">
        <w:t xml:space="preserve"> data produced in the 2014 EITI report</w:t>
      </w:r>
      <w:r w:rsidR="00527A4E" w:rsidRPr="002815F4">
        <w:t xml:space="preserve">, noting that the MSG had prepared most of the contextual </w:t>
      </w:r>
      <w:r w:rsidRPr="002815F4">
        <w:t>(non-financial) information</w:t>
      </w:r>
      <w:r w:rsidR="00527A4E" w:rsidRPr="002815F4">
        <w:t xml:space="preserve"> themselves</w:t>
      </w:r>
      <w:r w:rsidR="00BA645A" w:rsidRPr="002815F4">
        <w:t>.</w:t>
      </w:r>
      <w:r w:rsidR="00527A4E" w:rsidRPr="002815F4">
        <w:t xml:space="preserve"> They noted that the MSG had established working groups for each topic </w:t>
      </w:r>
      <w:r w:rsidRPr="002815F4">
        <w:t>covered by the EITI Standard</w:t>
      </w:r>
      <w:r w:rsidR="00527A4E" w:rsidRPr="002815F4">
        <w:t>.</w:t>
      </w:r>
      <w:r w:rsidR="00BA645A" w:rsidRPr="002815F4">
        <w:t xml:space="preserve"> </w:t>
      </w:r>
      <w:r w:rsidR="0097159C" w:rsidRPr="002815F4">
        <w:t xml:space="preserve">Non-MSG civil society members and parliamentarians noted that information on local content and rehabilitation funds </w:t>
      </w:r>
      <w:r w:rsidRPr="002815F4">
        <w:t>(</w:t>
      </w:r>
      <w:r w:rsidR="0097159C" w:rsidRPr="002815F4">
        <w:t>respectively</w:t>
      </w:r>
      <w:r w:rsidRPr="002815F4">
        <w:t>)</w:t>
      </w:r>
      <w:r w:rsidR="0097159C" w:rsidRPr="002815F4">
        <w:t xml:space="preserve"> w</w:t>
      </w:r>
      <w:r w:rsidRPr="002815F4">
        <w:t>as of</w:t>
      </w:r>
      <w:r w:rsidR="0097159C" w:rsidRPr="002815F4">
        <w:t xml:space="preserve"> particular use to them. </w:t>
      </w:r>
      <w:r w:rsidR="002307E6" w:rsidRPr="002815F4">
        <w:rPr>
          <w:rFonts w:ascii="Calibri" w:hAnsi="Calibri"/>
          <w:bCs/>
        </w:rPr>
        <w:t>Civil society noted their interest in the tax ex</w:t>
      </w:r>
      <w:r w:rsidRPr="002815F4">
        <w:rPr>
          <w:rFonts w:ascii="Calibri" w:hAnsi="Calibri"/>
          <w:bCs/>
        </w:rPr>
        <w:t>emp</w:t>
      </w:r>
      <w:r w:rsidR="002307E6" w:rsidRPr="002815F4">
        <w:rPr>
          <w:rFonts w:ascii="Calibri" w:hAnsi="Calibri"/>
          <w:bCs/>
        </w:rPr>
        <w:t>tions allocated to companies at th</w:t>
      </w:r>
      <w:r w:rsidRPr="002815F4">
        <w:rPr>
          <w:rFonts w:ascii="Calibri" w:hAnsi="Calibri"/>
          <w:bCs/>
        </w:rPr>
        <w:t>e exploration</w:t>
      </w:r>
      <w:r w:rsidR="002307E6" w:rsidRPr="002815F4">
        <w:rPr>
          <w:rFonts w:ascii="Calibri" w:hAnsi="Calibri"/>
          <w:bCs/>
        </w:rPr>
        <w:t xml:space="preserve"> phase</w:t>
      </w:r>
      <w:r w:rsidRPr="002815F4">
        <w:rPr>
          <w:rFonts w:ascii="Calibri" w:hAnsi="Calibri"/>
          <w:bCs/>
        </w:rPr>
        <w:t>, which tended to be far higher than the value of mining revenues received by the government</w:t>
      </w:r>
      <w:r w:rsidR="002307E6" w:rsidRPr="002815F4">
        <w:rPr>
          <w:rFonts w:ascii="Calibri" w:hAnsi="Calibri"/>
          <w:bCs/>
        </w:rPr>
        <w:t xml:space="preserve">. Government representatives clarified that </w:t>
      </w:r>
      <w:r w:rsidR="002307E6" w:rsidRPr="002815F4">
        <w:t>during the exploration phase, companies benefit</w:t>
      </w:r>
      <w:r w:rsidRPr="002815F4">
        <w:t>ted</w:t>
      </w:r>
      <w:r w:rsidR="002307E6" w:rsidRPr="002815F4">
        <w:t xml:space="preserve"> from tax exemptions and that during the production phase, companies </w:t>
      </w:r>
      <w:r w:rsidRPr="002815F4">
        <w:t>received a seven-</w:t>
      </w:r>
      <w:r w:rsidR="002307E6" w:rsidRPr="002815F4">
        <w:t>year exemption on imports</w:t>
      </w:r>
      <w:r w:rsidRPr="002815F4">
        <w:t xml:space="preserve"> tariffs</w:t>
      </w:r>
      <w:r w:rsidR="002307E6" w:rsidRPr="002815F4">
        <w:t>.</w:t>
      </w:r>
      <w:r w:rsidR="000E2413">
        <w:t xml:space="preserve"> </w:t>
      </w:r>
      <w:r w:rsidR="00BA645A" w:rsidRPr="002815F4">
        <w:t xml:space="preserve">Although local government units felt satisfied with their participation in the revision of the </w:t>
      </w:r>
      <w:r w:rsidR="0097159C" w:rsidRPr="002815F4">
        <w:t xml:space="preserve">mining code, companies felt that </w:t>
      </w:r>
      <w:r w:rsidR="00527A4E" w:rsidRPr="002815F4">
        <w:t>their views were not</w:t>
      </w:r>
      <w:r w:rsidR="0097159C" w:rsidRPr="002815F4">
        <w:t xml:space="preserve"> taken into account. </w:t>
      </w:r>
      <w:r w:rsidR="002E07CA" w:rsidRPr="002815F4">
        <w:t>Government representatives confirmed th</w:t>
      </w:r>
      <w:r w:rsidR="00BA645A" w:rsidRPr="002815F4">
        <w:t xml:space="preserve">ey had begun the process of </w:t>
      </w:r>
      <w:r w:rsidR="002E07CA" w:rsidRPr="002815F4">
        <w:t>revising the petroleum code</w:t>
      </w:r>
      <w:r w:rsidR="00BA645A" w:rsidRPr="002815F4">
        <w:t xml:space="preserve"> but were unable to </w:t>
      </w:r>
      <w:r w:rsidR="0097159C" w:rsidRPr="002815F4">
        <w:t>confirm</w:t>
      </w:r>
      <w:r w:rsidR="00BA645A" w:rsidRPr="002815F4">
        <w:t xml:space="preserve"> </w:t>
      </w:r>
      <w:r w:rsidR="0097159C" w:rsidRPr="002815F4">
        <w:t xml:space="preserve">when the work </w:t>
      </w:r>
      <w:r w:rsidR="00BA645A" w:rsidRPr="002815F4">
        <w:t>would be completed</w:t>
      </w:r>
      <w:r w:rsidR="002E07CA" w:rsidRPr="002815F4">
        <w:t>.</w:t>
      </w:r>
      <w:r w:rsidR="0097159C" w:rsidRPr="002815F4">
        <w:t xml:space="preserve"> </w:t>
      </w:r>
      <w:r w:rsidR="009B3E66" w:rsidRPr="002815F4">
        <w:t xml:space="preserve">There was also significant interest on the part of civil society, local officials and </w:t>
      </w:r>
      <w:r w:rsidR="002815F4" w:rsidRPr="002815F4">
        <w:t>parliamentarians</w:t>
      </w:r>
      <w:r w:rsidR="009B3E66" w:rsidRPr="002815F4">
        <w:t xml:space="preserve"> on the planned issuance of an inter-ministerial decree executing subnational transfers of mining revenues, expected in October 2017 (</w:t>
      </w:r>
      <w:r w:rsidR="009B3E66" w:rsidRPr="002815F4">
        <w:rPr>
          <w:i/>
        </w:rPr>
        <w:t>see Requirement 5.2</w:t>
      </w:r>
      <w:r w:rsidR="009B3E66" w:rsidRPr="002815F4">
        <w:t xml:space="preserve">). </w:t>
      </w:r>
    </w:p>
    <w:p w14:paraId="672ADE47" w14:textId="739BC6D2" w:rsidR="001E68AF" w:rsidRPr="002815F4" w:rsidRDefault="00F425D1" w:rsidP="009B3E66">
      <w:pPr>
        <w:pStyle w:val="Heading3"/>
      </w:pPr>
      <w:bookmarkStart w:id="145" w:name="_Toc459133098"/>
      <w:bookmarkStart w:id="146" w:name="_Toc461803047"/>
      <w:r w:rsidRPr="002815F4">
        <w:t>Initial assessment</w:t>
      </w:r>
      <w:bookmarkEnd w:id="145"/>
      <w:bookmarkEnd w:id="146"/>
    </w:p>
    <w:p w14:paraId="6A246DEF" w14:textId="5D0FF780" w:rsidR="00A054BC" w:rsidRPr="002815F4" w:rsidRDefault="00F425D1" w:rsidP="005275CE">
      <w:pPr>
        <w:rPr>
          <w:rFonts w:ascii="Calibri" w:hAnsi="Calibri"/>
        </w:rPr>
      </w:pPr>
      <w:r w:rsidRPr="002815F4">
        <w:rPr>
          <w:rFonts w:ascii="Calibri" w:hAnsi="Calibri"/>
        </w:rPr>
        <w:t xml:space="preserve">The International Secretariat’s initial assessment is that </w:t>
      </w:r>
      <w:r w:rsidR="00A054BC" w:rsidRPr="002815F4">
        <w:rPr>
          <w:rFonts w:ascii="Calibri" w:hAnsi="Calibri"/>
          <w:bCs/>
        </w:rPr>
        <w:t>Senegal</w:t>
      </w:r>
      <w:r w:rsidR="00A054BC" w:rsidRPr="002815F4">
        <w:rPr>
          <w:rFonts w:ascii="Calibri" w:hAnsi="Calibri"/>
        </w:rPr>
        <w:t xml:space="preserve"> </w:t>
      </w:r>
      <w:r w:rsidRPr="002815F4">
        <w:rPr>
          <w:rFonts w:ascii="Calibri" w:hAnsi="Calibri"/>
        </w:rPr>
        <w:t xml:space="preserve">has made </w:t>
      </w:r>
      <w:r w:rsidR="00A054BC" w:rsidRPr="002815F4">
        <w:rPr>
          <w:rFonts w:ascii="Calibri" w:hAnsi="Calibri"/>
          <w:bCs/>
        </w:rPr>
        <w:t>satisfactory</w:t>
      </w:r>
      <w:r w:rsidR="00A054BC" w:rsidRPr="002815F4">
        <w:rPr>
          <w:rFonts w:ascii="Calibri" w:hAnsi="Calibri"/>
          <w:b/>
          <w:bCs/>
        </w:rPr>
        <w:t xml:space="preserve"> </w:t>
      </w:r>
      <w:r w:rsidRPr="002815F4">
        <w:rPr>
          <w:rFonts w:ascii="Calibri" w:hAnsi="Calibri"/>
        </w:rPr>
        <w:t>progress in</w:t>
      </w:r>
      <w:bookmarkStart w:id="147" w:name="_Toc459133099"/>
      <w:bookmarkStart w:id="148" w:name="_Toc461803048"/>
      <w:bookmarkStart w:id="149" w:name="_Toc461787326"/>
      <w:bookmarkStart w:id="150" w:name="_Toc461795838"/>
      <w:bookmarkStart w:id="151" w:name="_Toc459133100"/>
      <w:r w:rsidR="00CB3023" w:rsidRPr="002815F4">
        <w:rPr>
          <w:rFonts w:ascii="Calibri" w:hAnsi="Calibri"/>
        </w:rPr>
        <w:t xml:space="preserve"> meeting this </w:t>
      </w:r>
      <w:commentRangeStart w:id="152"/>
      <w:r w:rsidR="00CB3023" w:rsidRPr="002815F4">
        <w:rPr>
          <w:rFonts w:ascii="Calibri" w:hAnsi="Calibri"/>
        </w:rPr>
        <w:t>requirement</w:t>
      </w:r>
      <w:commentRangeEnd w:id="152"/>
      <w:r w:rsidR="00594087">
        <w:rPr>
          <w:rStyle w:val="CommentReference"/>
          <w:szCs w:val="20"/>
        </w:rPr>
        <w:commentReference w:id="152"/>
      </w:r>
      <w:r w:rsidR="00CB3023" w:rsidRPr="002815F4">
        <w:rPr>
          <w:rFonts w:ascii="Calibri" w:hAnsi="Calibri"/>
        </w:rPr>
        <w:t xml:space="preserve">. </w:t>
      </w:r>
      <w:r w:rsidR="00A054BC" w:rsidRPr="002815F4">
        <w:rPr>
          <w:rFonts w:ascii="Calibri" w:hAnsi="Calibri"/>
        </w:rPr>
        <w:t>The 2014 EITI Report provides an overview of relevant laws and regulations, government entities</w:t>
      </w:r>
      <w:r w:rsidR="001E4B55" w:rsidRPr="002815F4">
        <w:rPr>
          <w:rFonts w:ascii="Calibri" w:hAnsi="Calibri"/>
        </w:rPr>
        <w:t xml:space="preserve"> and</w:t>
      </w:r>
      <w:r w:rsidR="00A054BC" w:rsidRPr="002815F4">
        <w:rPr>
          <w:rFonts w:ascii="Calibri" w:hAnsi="Calibri"/>
        </w:rPr>
        <w:t xml:space="preserve"> fiscal terms</w:t>
      </w:r>
      <w:r w:rsidR="001E4B55" w:rsidRPr="002815F4">
        <w:rPr>
          <w:rFonts w:ascii="Calibri" w:hAnsi="Calibri"/>
        </w:rPr>
        <w:t>, including the degree of fiscal devolution,</w:t>
      </w:r>
      <w:r w:rsidR="00A054BC" w:rsidRPr="002815F4">
        <w:rPr>
          <w:rFonts w:ascii="Calibri" w:hAnsi="Calibri"/>
        </w:rPr>
        <w:t xml:space="preserve"> in the mining, oil and gas sector</w:t>
      </w:r>
      <w:r w:rsidR="001E4B55" w:rsidRPr="002815F4">
        <w:rPr>
          <w:rFonts w:ascii="Calibri" w:hAnsi="Calibri"/>
        </w:rPr>
        <w:t>s as well as</w:t>
      </w:r>
      <w:r w:rsidR="00A054BC" w:rsidRPr="002815F4">
        <w:rPr>
          <w:rFonts w:ascii="Calibri" w:hAnsi="Calibri"/>
        </w:rPr>
        <w:t xml:space="preserve"> brief commentary on current reforms.</w:t>
      </w:r>
    </w:p>
    <w:p w14:paraId="5801B72C" w14:textId="088D78FE" w:rsidR="009B3E66" w:rsidRPr="002815F4" w:rsidRDefault="001E4B55" w:rsidP="007474FE">
      <w:r w:rsidRPr="002815F4">
        <w:rPr>
          <w:rFonts w:ascii="Calibri" w:hAnsi="Calibri"/>
        </w:rPr>
        <w:t xml:space="preserve">To further strengthen implementation, the </w:t>
      </w:r>
      <w:r w:rsidR="0097159C" w:rsidRPr="002815F4">
        <w:rPr>
          <w:rFonts w:ascii="Calibri" w:hAnsi="Calibri"/>
        </w:rPr>
        <w:t>government</w:t>
      </w:r>
      <w:r w:rsidR="0097159C" w:rsidRPr="002815F4">
        <w:t xml:space="preserve"> is encouraged to continue its efforts to engage </w:t>
      </w:r>
      <w:r w:rsidR="009B3E66" w:rsidRPr="002815F4">
        <w:t xml:space="preserve">a broad range of </w:t>
      </w:r>
      <w:r w:rsidR="0097159C" w:rsidRPr="002815F4">
        <w:t xml:space="preserve">stakeholders in governance </w:t>
      </w:r>
      <w:r w:rsidR="009B3E66" w:rsidRPr="002815F4">
        <w:t xml:space="preserve">reforms in the mining, oil and gas </w:t>
      </w:r>
      <w:r w:rsidR="0097159C" w:rsidRPr="002815F4">
        <w:t>sector</w:t>
      </w:r>
      <w:r w:rsidR="009B3E66" w:rsidRPr="002815F4">
        <w:t>s, as it has done in revisions to the Mining Code in 2016</w:t>
      </w:r>
      <w:r w:rsidR="0097159C" w:rsidRPr="002815F4">
        <w:t xml:space="preserve">. </w:t>
      </w:r>
    </w:p>
    <w:p w14:paraId="47E6042D" w14:textId="7AC9DC48" w:rsidR="00A441F1" w:rsidRPr="002815F4" w:rsidRDefault="000722F1" w:rsidP="009B3E66">
      <w:pPr>
        <w:pStyle w:val="Heading2"/>
      </w:pPr>
      <w:bookmarkStart w:id="153" w:name="_Toc462149183"/>
      <w:r w:rsidRPr="002815F4">
        <w:t>L</w:t>
      </w:r>
      <w:r w:rsidR="00A441F1" w:rsidRPr="002815F4">
        <w:t>icense allocations (#</w:t>
      </w:r>
      <w:r w:rsidR="00EE25D1" w:rsidRPr="002815F4">
        <w:t>2</w:t>
      </w:r>
      <w:r w:rsidR="00A441F1" w:rsidRPr="002815F4">
        <w:t>.</w:t>
      </w:r>
      <w:r w:rsidR="00EE25D1" w:rsidRPr="002815F4">
        <w:t>2</w:t>
      </w:r>
      <w:r w:rsidR="00A441F1" w:rsidRPr="002815F4">
        <w:t>)</w:t>
      </w:r>
      <w:bookmarkEnd w:id="147"/>
      <w:bookmarkEnd w:id="148"/>
      <w:bookmarkEnd w:id="149"/>
      <w:bookmarkEnd w:id="150"/>
      <w:bookmarkEnd w:id="153"/>
    </w:p>
    <w:bookmarkEnd w:id="151"/>
    <w:p w14:paraId="4397DE19" w14:textId="3578B882" w:rsidR="00511D85" w:rsidRPr="002815F4" w:rsidRDefault="00F425D1" w:rsidP="009B3E66">
      <w:pPr>
        <w:pStyle w:val="Heading3"/>
      </w:pPr>
      <w:r w:rsidRPr="002815F4">
        <w:t>Documentation of progress</w:t>
      </w:r>
      <w:r w:rsidR="002103DA" w:rsidRPr="002815F4">
        <w:t xml:space="preserve"> </w:t>
      </w:r>
    </w:p>
    <w:p w14:paraId="1B227E33" w14:textId="28FCEF1B" w:rsidR="002D2720" w:rsidRPr="002815F4" w:rsidRDefault="00F425D1" w:rsidP="00FC366D">
      <w:pPr>
        <w:spacing w:before="120"/>
        <w:rPr>
          <w:rFonts w:ascii="Calibri" w:hAnsi="Calibri"/>
        </w:rPr>
      </w:pPr>
      <w:r w:rsidRPr="002815F4">
        <w:rPr>
          <w:rFonts w:ascii="Calibri" w:hAnsi="Calibri"/>
          <w:i/>
          <w:u w:val="single"/>
        </w:rPr>
        <w:t>Awards/transfers</w:t>
      </w:r>
      <w:r w:rsidRPr="002815F4">
        <w:rPr>
          <w:rFonts w:ascii="Calibri" w:hAnsi="Calibri"/>
        </w:rPr>
        <w:t xml:space="preserve">: </w:t>
      </w:r>
      <w:r w:rsidR="007844AC" w:rsidRPr="002815F4">
        <w:rPr>
          <w:rFonts w:ascii="Calibri" w:hAnsi="Calibri"/>
        </w:rPr>
        <w:t xml:space="preserve">The 2014 EITI Report clearly highlights the award in 2014 of 19 mining licenses, including 14 artisanal mining, two small-scale mining and three mining exploration licenses (2014 EITI Report, pp.29,150-153), and 21 quarrying licenses, including seven for private quarrying and 14 for temporary quarrying (2014 EITI Report, p.30). </w:t>
      </w:r>
      <w:r w:rsidR="00BC1591" w:rsidRPr="002815F4">
        <w:rPr>
          <w:rFonts w:ascii="Calibri" w:hAnsi="Calibri"/>
        </w:rPr>
        <w:t>There is evidenc</w:t>
      </w:r>
      <w:r w:rsidR="00B4706C" w:rsidRPr="002815F4">
        <w:rPr>
          <w:rFonts w:ascii="Calibri" w:hAnsi="Calibri"/>
        </w:rPr>
        <w:t>e in the list of mining license awards and transfers</w:t>
      </w:r>
      <w:r w:rsidR="00BC1591" w:rsidRPr="002815F4">
        <w:rPr>
          <w:rFonts w:ascii="Calibri" w:hAnsi="Calibri"/>
        </w:rPr>
        <w:t xml:space="preserve"> provided in Annex 16 of two mining license transfers in 2014 (2014 EITI Report, pp.150-153). </w:t>
      </w:r>
    </w:p>
    <w:p w14:paraId="71B29AA9" w14:textId="3EA4B68C" w:rsidR="002D2720" w:rsidRPr="002815F4" w:rsidRDefault="004F501A" w:rsidP="00FC366D">
      <w:pPr>
        <w:spacing w:before="120"/>
        <w:rPr>
          <w:rFonts w:ascii="Calibri" w:hAnsi="Calibri"/>
        </w:rPr>
      </w:pPr>
      <w:r w:rsidRPr="002815F4">
        <w:rPr>
          <w:rFonts w:ascii="Calibri" w:hAnsi="Calibri"/>
        </w:rPr>
        <w:t xml:space="preserve">In oil and gas, there is evidence in the list of licenses provided in Annex 13 of three exploration license awards in 2014 (2014 EITI Report, pp.132-133). The 2014 EITI Report also highlights the award of two exploration licenses in the AGC-administered joint development zone with Guinea-Bissau (2014 EITI Report, pp.47-48). Finally, the report identifies two exploration license transfers in 2014 (2014 EITI </w:t>
      </w:r>
      <w:r w:rsidRPr="002815F4">
        <w:rPr>
          <w:rFonts w:ascii="Calibri" w:hAnsi="Calibri"/>
        </w:rPr>
        <w:lastRenderedPageBreak/>
        <w:t xml:space="preserve">Report, p.53). </w:t>
      </w:r>
    </w:p>
    <w:p w14:paraId="5D556DB9" w14:textId="38C38BE5" w:rsidR="00F425D1" w:rsidRPr="002815F4" w:rsidRDefault="00F425D1" w:rsidP="00FC366D">
      <w:pPr>
        <w:spacing w:before="120"/>
        <w:rPr>
          <w:rFonts w:ascii="Calibri" w:hAnsi="Calibri"/>
          <w:bCs/>
        </w:rPr>
      </w:pPr>
      <w:r w:rsidRPr="002815F4">
        <w:rPr>
          <w:rFonts w:ascii="Calibri" w:hAnsi="Calibri"/>
          <w:i/>
          <w:u w:val="single"/>
        </w:rPr>
        <w:t>Award/transfer process</w:t>
      </w:r>
      <w:r w:rsidRPr="002815F4">
        <w:rPr>
          <w:rFonts w:ascii="Calibri" w:hAnsi="Calibri"/>
        </w:rPr>
        <w:t xml:space="preserve">: </w:t>
      </w:r>
      <w:r w:rsidR="00FF2188" w:rsidRPr="002815F4">
        <w:rPr>
          <w:rFonts w:ascii="Calibri" w:hAnsi="Calibri"/>
        </w:rPr>
        <w:t xml:space="preserve">The 2014 EITI Report describes </w:t>
      </w:r>
      <w:r w:rsidR="009153E7" w:rsidRPr="002815F4">
        <w:rPr>
          <w:rFonts w:ascii="Calibri" w:hAnsi="Calibri"/>
        </w:rPr>
        <w:t xml:space="preserve">the </w:t>
      </w:r>
      <w:r w:rsidR="001A0568" w:rsidRPr="002815F4">
        <w:rPr>
          <w:rFonts w:ascii="Calibri" w:hAnsi="Calibri"/>
        </w:rPr>
        <w:t xml:space="preserve">general </w:t>
      </w:r>
      <w:r w:rsidR="009153E7" w:rsidRPr="002815F4">
        <w:rPr>
          <w:rFonts w:ascii="Calibri" w:hAnsi="Calibri"/>
        </w:rPr>
        <w:t>statutory process for awarding</w:t>
      </w:r>
      <w:r w:rsidR="001A0568" w:rsidRPr="002815F4">
        <w:rPr>
          <w:rFonts w:ascii="Calibri" w:hAnsi="Calibri"/>
        </w:rPr>
        <w:t xml:space="preserve"> and transferring</w:t>
      </w:r>
      <w:r w:rsidR="009153E7" w:rsidRPr="002815F4">
        <w:rPr>
          <w:rFonts w:ascii="Calibri" w:hAnsi="Calibri"/>
        </w:rPr>
        <w:t xml:space="preserve"> different types of licenses in mining</w:t>
      </w:r>
      <w:r w:rsidR="00480E3A">
        <w:rPr>
          <w:rFonts w:ascii="Calibri" w:hAnsi="Calibri"/>
        </w:rPr>
        <w:t>, including quarrying</w:t>
      </w:r>
      <w:r w:rsidR="009153E7" w:rsidRPr="002815F4">
        <w:rPr>
          <w:rFonts w:ascii="Calibri" w:hAnsi="Calibri"/>
        </w:rPr>
        <w:t xml:space="preserve"> (2014 EITI Report, pp.27-31</w:t>
      </w:r>
      <w:r w:rsidR="001A0568" w:rsidRPr="002815F4">
        <w:rPr>
          <w:rFonts w:ascii="Calibri" w:hAnsi="Calibri"/>
        </w:rPr>
        <w:t>,150-153</w:t>
      </w:r>
      <w:r w:rsidR="009153E7" w:rsidRPr="002815F4">
        <w:rPr>
          <w:rFonts w:ascii="Calibri" w:hAnsi="Calibri"/>
        </w:rPr>
        <w:t>)</w:t>
      </w:r>
      <w:r w:rsidR="00480E3A">
        <w:rPr>
          <w:rFonts w:ascii="Calibri" w:hAnsi="Calibri"/>
        </w:rPr>
        <w:t>,</w:t>
      </w:r>
      <w:r w:rsidR="001A0568" w:rsidRPr="002815F4">
        <w:rPr>
          <w:rFonts w:ascii="Calibri" w:hAnsi="Calibri"/>
        </w:rPr>
        <w:t xml:space="preserve"> and in oil and gas (2014 EITI Report, pp.43-45,50-52). </w:t>
      </w:r>
    </w:p>
    <w:p w14:paraId="4DF663BB" w14:textId="5591C406" w:rsidR="009B133F" w:rsidRPr="002815F4" w:rsidRDefault="00F425D1" w:rsidP="00F425D1">
      <w:pPr>
        <w:spacing w:before="120"/>
        <w:rPr>
          <w:rFonts w:ascii="Calibri" w:hAnsi="Calibri"/>
        </w:rPr>
      </w:pPr>
      <w:r w:rsidRPr="002815F4">
        <w:rPr>
          <w:rFonts w:ascii="Calibri" w:hAnsi="Calibri"/>
          <w:i/>
          <w:u w:val="single"/>
        </w:rPr>
        <w:t>Technical and financial criteria</w:t>
      </w:r>
      <w:r w:rsidRPr="002815F4">
        <w:rPr>
          <w:rFonts w:ascii="Calibri" w:hAnsi="Calibri"/>
        </w:rPr>
        <w:t xml:space="preserve">: </w:t>
      </w:r>
      <w:r w:rsidR="001A0568" w:rsidRPr="002815F4">
        <w:rPr>
          <w:rFonts w:ascii="Calibri" w:hAnsi="Calibri"/>
        </w:rPr>
        <w:t>Despite the descriptions of the general procedures for awarding and transferring licenses in mining</w:t>
      </w:r>
      <w:r w:rsidR="00480E3A">
        <w:rPr>
          <w:rFonts w:ascii="Calibri" w:hAnsi="Calibri"/>
        </w:rPr>
        <w:t xml:space="preserve"> (including quarrying)</w:t>
      </w:r>
      <w:r w:rsidR="001A0568" w:rsidRPr="002815F4">
        <w:rPr>
          <w:rFonts w:ascii="Calibri" w:hAnsi="Calibri"/>
        </w:rPr>
        <w:t xml:space="preserve">, oil and gas noted above, </w:t>
      </w:r>
      <w:r w:rsidR="00653FE2" w:rsidRPr="002815F4">
        <w:rPr>
          <w:rFonts w:ascii="Calibri" w:hAnsi="Calibri"/>
        </w:rPr>
        <w:t>the 2014 EITI Report only lists the general types of technical and financial criteria used for assessing license award and transfer applications in mining, not oil and gas. T</w:t>
      </w:r>
      <w:r w:rsidR="001A0568" w:rsidRPr="002815F4">
        <w:rPr>
          <w:rFonts w:ascii="Calibri" w:hAnsi="Calibri"/>
        </w:rPr>
        <w:t xml:space="preserve">he 2014 EITI Report does not describe the specific technical and financial criteria (nor their weightings) assessed as part of the </w:t>
      </w:r>
      <w:r w:rsidR="00653FE2" w:rsidRPr="002815F4">
        <w:rPr>
          <w:rFonts w:ascii="Calibri" w:hAnsi="Calibri"/>
        </w:rPr>
        <w:t xml:space="preserve">license </w:t>
      </w:r>
      <w:r w:rsidR="001A0568" w:rsidRPr="002815F4">
        <w:rPr>
          <w:rFonts w:ascii="Calibri" w:hAnsi="Calibri"/>
        </w:rPr>
        <w:t>award and transfer process</w:t>
      </w:r>
      <w:r w:rsidR="00653FE2" w:rsidRPr="002815F4">
        <w:rPr>
          <w:rFonts w:ascii="Calibri" w:hAnsi="Calibri"/>
        </w:rPr>
        <w:t xml:space="preserve"> in mining, oil and gas</w:t>
      </w:r>
      <w:r w:rsidR="001A0568" w:rsidRPr="002815F4">
        <w:rPr>
          <w:rFonts w:ascii="Calibri" w:hAnsi="Calibri"/>
        </w:rPr>
        <w:t xml:space="preserve">. </w:t>
      </w:r>
    </w:p>
    <w:p w14:paraId="315F4BE4" w14:textId="2CCF1871" w:rsidR="00F425D1" w:rsidRPr="002815F4" w:rsidRDefault="009B133F" w:rsidP="00F425D1">
      <w:pPr>
        <w:spacing w:before="120"/>
        <w:rPr>
          <w:rFonts w:ascii="Calibri" w:hAnsi="Calibri"/>
          <w:bCs/>
        </w:rPr>
      </w:pPr>
      <w:r w:rsidRPr="002815F4">
        <w:rPr>
          <w:rFonts w:ascii="Calibri" w:hAnsi="Calibri"/>
        </w:rPr>
        <w:t>Since publication of the 2014 EITI Report, parliament approved Law 2016-32 on 8 November 2016 covering the new Mining Code and the government issued Presidential Decree 2017-459 on 20 March 2017 as its implementing regulations, which together set out clear procedures, including specific technical and financial criteria, for the allocating and transfer of mining licenses</w:t>
      </w:r>
      <w:sdt>
        <w:sdtPr>
          <w:rPr>
            <w:rFonts w:ascii="Calibri" w:hAnsi="Calibri"/>
          </w:rPr>
          <w:id w:val="-1180125173"/>
          <w:citation/>
        </w:sdtPr>
        <w:sdtEndPr/>
        <w:sdtContent>
          <w:r w:rsidRPr="002815F4">
            <w:rPr>
              <w:rFonts w:ascii="Calibri" w:hAnsi="Calibri"/>
            </w:rPr>
            <w:fldChar w:fldCharType="begin"/>
          </w:r>
          <w:r w:rsidRPr="002815F4">
            <w:rPr>
              <w:rFonts w:ascii="Calibri" w:hAnsi="Calibri"/>
            </w:rPr>
            <w:instrText xml:space="preserve"> CITATION ITI176 \l 1033 </w:instrText>
          </w:r>
          <w:r w:rsidRPr="002815F4">
            <w:rPr>
              <w:rFonts w:ascii="Calibri" w:hAnsi="Calibri"/>
            </w:rPr>
            <w:fldChar w:fldCharType="separate"/>
          </w:r>
          <w:r w:rsidR="003E626E" w:rsidRPr="002815F4">
            <w:rPr>
              <w:rFonts w:ascii="Calibri" w:hAnsi="Calibri"/>
              <w:noProof/>
            </w:rPr>
            <w:t xml:space="preserve"> (ITIE Senegal, 2017)</w:t>
          </w:r>
          <w:r w:rsidRPr="002815F4">
            <w:rPr>
              <w:rFonts w:ascii="Calibri" w:hAnsi="Calibri"/>
            </w:rPr>
            <w:fldChar w:fldCharType="end"/>
          </w:r>
        </w:sdtContent>
      </w:sdt>
      <w:r w:rsidRPr="002815F4">
        <w:rPr>
          <w:rFonts w:ascii="Calibri" w:hAnsi="Calibri"/>
        </w:rPr>
        <w:t xml:space="preserve"> </w:t>
      </w:r>
      <w:sdt>
        <w:sdtPr>
          <w:rPr>
            <w:rFonts w:ascii="Calibri" w:hAnsi="Calibri"/>
          </w:rPr>
          <w:id w:val="-385642755"/>
          <w:citation/>
        </w:sdtPr>
        <w:sdtEndPr/>
        <w:sdtContent>
          <w:r w:rsidRPr="002815F4">
            <w:rPr>
              <w:rFonts w:ascii="Calibri" w:hAnsi="Calibri"/>
            </w:rPr>
            <w:fldChar w:fldCharType="begin"/>
          </w:r>
          <w:r w:rsidRPr="002815F4">
            <w:rPr>
              <w:rFonts w:ascii="Calibri" w:hAnsi="Calibri"/>
            </w:rPr>
            <w:instrText xml:space="preserve"> CITATION Min17 \l 1033 </w:instrText>
          </w:r>
          <w:r w:rsidRPr="002815F4">
            <w:rPr>
              <w:rFonts w:ascii="Calibri" w:hAnsi="Calibri"/>
            </w:rPr>
            <w:fldChar w:fldCharType="separate"/>
          </w:r>
          <w:r w:rsidR="003E626E" w:rsidRPr="002815F4">
            <w:rPr>
              <w:rFonts w:ascii="Calibri" w:hAnsi="Calibri"/>
              <w:noProof/>
            </w:rPr>
            <w:t>(Ministère de l'Industrie et des Mines, 2017)</w:t>
          </w:r>
          <w:r w:rsidRPr="002815F4">
            <w:rPr>
              <w:rFonts w:ascii="Calibri" w:hAnsi="Calibri"/>
            </w:rPr>
            <w:fldChar w:fldCharType="end"/>
          </w:r>
        </w:sdtContent>
      </w:sdt>
      <w:r w:rsidRPr="002815F4">
        <w:rPr>
          <w:rFonts w:ascii="Calibri" w:hAnsi="Calibri"/>
        </w:rPr>
        <w:t>. Meanwhile, the creation of the high-level Strategic Orientation Committee for Oil and Gas (COS-PETROGAZ)</w:t>
      </w:r>
      <w:r w:rsidR="007F14CA" w:rsidRPr="002815F4">
        <w:rPr>
          <w:rFonts w:ascii="Calibri" w:hAnsi="Calibri"/>
        </w:rPr>
        <w:t xml:space="preserve"> in October 2016 is aimed at strengthening transparency in the management of the oil and gas sector, including oversight of license awards and transfers </w:t>
      </w:r>
      <w:sdt>
        <w:sdtPr>
          <w:rPr>
            <w:rFonts w:ascii="Calibri" w:hAnsi="Calibri"/>
          </w:rPr>
          <w:id w:val="1994519174"/>
          <w:citation/>
        </w:sdtPr>
        <w:sdtEndPr/>
        <w:sdtContent>
          <w:r w:rsidR="007F14CA" w:rsidRPr="002815F4">
            <w:rPr>
              <w:rFonts w:ascii="Calibri" w:hAnsi="Calibri"/>
            </w:rPr>
            <w:fldChar w:fldCharType="begin"/>
          </w:r>
          <w:r w:rsidR="007F14CA" w:rsidRPr="002815F4">
            <w:rPr>
              <w:rFonts w:ascii="Calibri" w:hAnsi="Calibri"/>
            </w:rPr>
            <w:instrText xml:space="preserve"> CITATION ITI1649 \l 1033 </w:instrText>
          </w:r>
          <w:r w:rsidR="007F14CA" w:rsidRPr="002815F4">
            <w:rPr>
              <w:rFonts w:ascii="Calibri" w:hAnsi="Calibri"/>
            </w:rPr>
            <w:fldChar w:fldCharType="separate"/>
          </w:r>
          <w:r w:rsidR="003E626E" w:rsidRPr="002815F4">
            <w:rPr>
              <w:rFonts w:ascii="Calibri" w:hAnsi="Calibri"/>
              <w:noProof/>
            </w:rPr>
            <w:t>(ITIE Senegal, 2016)</w:t>
          </w:r>
          <w:r w:rsidR="007F14CA" w:rsidRPr="002815F4">
            <w:rPr>
              <w:rFonts w:ascii="Calibri" w:hAnsi="Calibri"/>
            </w:rPr>
            <w:fldChar w:fldCharType="end"/>
          </w:r>
        </w:sdtContent>
      </w:sdt>
      <w:sdt>
        <w:sdtPr>
          <w:rPr>
            <w:rFonts w:ascii="Calibri" w:hAnsi="Calibri"/>
          </w:rPr>
          <w:id w:val="922229437"/>
          <w:citation/>
        </w:sdtPr>
        <w:sdtEndPr/>
        <w:sdtContent>
          <w:r w:rsidR="007F14CA" w:rsidRPr="002815F4">
            <w:rPr>
              <w:rFonts w:ascii="Calibri" w:hAnsi="Calibri"/>
            </w:rPr>
            <w:fldChar w:fldCharType="begin"/>
          </w:r>
          <w:r w:rsidR="007F14CA" w:rsidRPr="002815F4">
            <w:rPr>
              <w:rFonts w:ascii="Calibri" w:hAnsi="Calibri"/>
            </w:rPr>
            <w:instrText xml:space="preserve"> CITATION Gou162 \l 1033 </w:instrText>
          </w:r>
          <w:r w:rsidR="007F14CA" w:rsidRPr="002815F4">
            <w:rPr>
              <w:rFonts w:ascii="Calibri" w:hAnsi="Calibri"/>
            </w:rPr>
            <w:fldChar w:fldCharType="separate"/>
          </w:r>
          <w:r w:rsidR="003E626E" w:rsidRPr="002815F4">
            <w:rPr>
              <w:rFonts w:ascii="Calibri" w:hAnsi="Calibri"/>
              <w:noProof/>
            </w:rPr>
            <w:t xml:space="preserve"> (Gouvernement du Senegal, 2016)</w:t>
          </w:r>
          <w:r w:rsidR="007F14CA" w:rsidRPr="002815F4">
            <w:rPr>
              <w:rFonts w:ascii="Calibri" w:hAnsi="Calibri"/>
            </w:rPr>
            <w:fldChar w:fldCharType="end"/>
          </w:r>
        </w:sdtContent>
      </w:sdt>
      <w:r w:rsidR="007F14CA" w:rsidRPr="002815F4">
        <w:rPr>
          <w:rFonts w:ascii="Calibri" w:hAnsi="Calibri"/>
        </w:rPr>
        <w:t xml:space="preserve">. </w:t>
      </w:r>
    </w:p>
    <w:p w14:paraId="2FEF4312" w14:textId="59115E62" w:rsidR="00F425D1" w:rsidRPr="002815F4" w:rsidRDefault="00F425D1" w:rsidP="00181BF6">
      <w:pPr>
        <w:spacing w:before="120"/>
        <w:rPr>
          <w:rFonts w:ascii="Calibri" w:hAnsi="Calibri"/>
          <w:bCs/>
        </w:rPr>
      </w:pPr>
      <w:r w:rsidRPr="002815F4">
        <w:rPr>
          <w:rFonts w:ascii="Calibri" w:hAnsi="Calibri"/>
          <w:i/>
          <w:u w:val="single"/>
        </w:rPr>
        <w:t>License awardee information</w:t>
      </w:r>
      <w:r w:rsidRPr="002815F4">
        <w:rPr>
          <w:rFonts w:ascii="Calibri" w:hAnsi="Calibri"/>
        </w:rPr>
        <w:t xml:space="preserve">: </w:t>
      </w:r>
      <w:r w:rsidR="002D3A9A" w:rsidRPr="002815F4">
        <w:rPr>
          <w:rFonts w:ascii="Calibri" w:hAnsi="Calibri"/>
        </w:rPr>
        <w:t>The information on mining license awards and transfers in Annex 16 includes the names of awardees (2014 EITI Report, pp.150-153)</w:t>
      </w:r>
      <w:r w:rsidR="002A02C3" w:rsidRPr="002815F4">
        <w:rPr>
          <w:rFonts w:ascii="Calibri" w:hAnsi="Calibri"/>
        </w:rPr>
        <w:t xml:space="preserve">, </w:t>
      </w:r>
      <w:r w:rsidR="006402EF" w:rsidRPr="002815F4">
        <w:rPr>
          <w:rFonts w:ascii="Calibri" w:hAnsi="Calibri"/>
        </w:rPr>
        <w:t xml:space="preserve">while the list of active quarrying licenses in Annex 15 </w:t>
      </w:r>
      <w:r w:rsidR="002A02C3" w:rsidRPr="002815F4">
        <w:rPr>
          <w:rFonts w:ascii="Calibri" w:hAnsi="Calibri"/>
        </w:rPr>
        <w:t>provide</w:t>
      </w:r>
      <w:r w:rsidR="006402EF" w:rsidRPr="002815F4">
        <w:rPr>
          <w:rFonts w:ascii="Calibri" w:hAnsi="Calibri"/>
        </w:rPr>
        <w:t>s</w:t>
      </w:r>
      <w:r w:rsidR="002A02C3" w:rsidRPr="002815F4">
        <w:rPr>
          <w:rFonts w:ascii="Calibri" w:hAnsi="Calibri"/>
        </w:rPr>
        <w:t xml:space="preserve"> the names of </w:t>
      </w:r>
      <w:r w:rsidR="006402EF" w:rsidRPr="002815F4">
        <w:rPr>
          <w:rFonts w:ascii="Calibri" w:hAnsi="Calibri"/>
        </w:rPr>
        <w:t>the 21 quarrying license awardees</w:t>
      </w:r>
      <w:r w:rsidR="002A02C3" w:rsidRPr="002815F4">
        <w:rPr>
          <w:rFonts w:ascii="Calibri" w:hAnsi="Calibri"/>
        </w:rPr>
        <w:t xml:space="preserve"> in 2014 (2014 EITI Report, pp.</w:t>
      </w:r>
      <w:r w:rsidR="006402EF" w:rsidRPr="002815F4">
        <w:rPr>
          <w:rFonts w:ascii="Calibri" w:hAnsi="Calibri"/>
        </w:rPr>
        <w:t>146-149</w:t>
      </w:r>
      <w:r w:rsidR="002A02C3" w:rsidRPr="002815F4">
        <w:rPr>
          <w:rFonts w:ascii="Calibri" w:hAnsi="Calibri"/>
        </w:rPr>
        <w:t>)</w:t>
      </w:r>
      <w:r w:rsidR="006402EF" w:rsidRPr="002815F4">
        <w:rPr>
          <w:rFonts w:ascii="Calibri" w:hAnsi="Calibri"/>
        </w:rPr>
        <w:t xml:space="preserve">. In oil and gas, the 2014 EITI Report also provides the names of companies receiving the three exploration licenses (2014 EITI Report, pp.132-133) and two exploration licenses in the AGC-administered joint development zone with Guinea-Bissau (2014 EITI Report, pp.47-48) awarded in 2014, as well as the companies receiving the two exploration licenses transferred in 2014 (2014 EITI Report, p.53). </w:t>
      </w:r>
    </w:p>
    <w:p w14:paraId="5A2C4360" w14:textId="1182337B" w:rsidR="005813D3" w:rsidRPr="002815F4" w:rsidRDefault="00F425D1" w:rsidP="00F425D1">
      <w:pPr>
        <w:spacing w:before="120"/>
        <w:rPr>
          <w:rFonts w:ascii="Calibri" w:hAnsi="Calibri"/>
          <w:bCs/>
        </w:rPr>
      </w:pPr>
      <w:r w:rsidRPr="002815F4">
        <w:rPr>
          <w:rFonts w:ascii="Calibri" w:hAnsi="Calibri"/>
          <w:i/>
          <w:u w:val="single"/>
        </w:rPr>
        <w:t>Non-trivial deviations</w:t>
      </w:r>
      <w:r w:rsidRPr="002815F4">
        <w:rPr>
          <w:rFonts w:ascii="Calibri" w:hAnsi="Calibri"/>
        </w:rPr>
        <w:t xml:space="preserve">: </w:t>
      </w:r>
      <w:r w:rsidR="005F0187" w:rsidRPr="002815F4">
        <w:rPr>
          <w:rFonts w:ascii="Calibri" w:hAnsi="Calibri"/>
        </w:rPr>
        <w:t>While the 2014 EITI Report does not explicitly highlight any non-trivial deviations from the statutory license allocation procedures for mining licenses awarded in 2014</w:t>
      </w:r>
      <w:r w:rsidR="003A181D" w:rsidRPr="002815F4">
        <w:rPr>
          <w:rFonts w:ascii="Calibri" w:hAnsi="Calibri"/>
        </w:rPr>
        <w:t xml:space="preserve"> as such</w:t>
      </w:r>
      <w:r w:rsidR="005F0187" w:rsidRPr="002815F4">
        <w:rPr>
          <w:rFonts w:ascii="Calibri" w:hAnsi="Calibri"/>
        </w:rPr>
        <w:t xml:space="preserve">, Annex 16 provides an overview of the actual process followed in practice for awarding three mining exploration licenses and two small-scale mining licenses granted in 2014 as well as the two </w:t>
      </w:r>
      <w:r w:rsidR="00F558D1" w:rsidRPr="002815F4">
        <w:rPr>
          <w:rFonts w:ascii="Calibri" w:hAnsi="Calibri"/>
        </w:rPr>
        <w:t xml:space="preserve">exploration </w:t>
      </w:r>
      <w:r w:rsidR="005F0187" w:rsidRPr="002815F4">
        <w:rPr>
          <w:rFonts w:ascii="Calibri" w:hAnsi="Calibri"/>
        </w:rPr>
        <w:t xml:space="preserve">licenses transferred in 2014 (2014 EITI Report, pp.150-153). </w:t>
      </w:r>
      <w:r w:rsidR="003A181D" w:rsidRPr="002815F4">
        <w:rPr>
          <w:rFonts w:ascii="Calibri" w:hAnsi="Calibri"/>
        </w:rPr>
        <w:t>T</w:t>
      </w:r>
      <w:r w:rsidR="005F0187" w:rsidRPr="002815F4">
        <w:rPr>
          <w:rFonts w:ascii="Calibri" w:hAnsi="Calibri"/>
        </w:rPr>
        <w:t xml:space="preserve">he report does not comment on the actual process followed in practice for awarding the 14 artisanal mining licenses </w:t>
      </w:r>
      <w:r w:rsidR="00480E3A">
        <w:rPr>
          <w:rFonts w:ascii="Calibri" w:hAnsi="Calibri"/>
        </w:rPr>
        <w:t xml:space="preserve">or the 21 quarrying licenses awarded </w:t>
      </w:r>
      <w:r w:rsidR="005F0187" w:rsidRPr="002815F4">
        <w:rPr>
          <w:rFonts w:ascii="Calibri" w:hAnsi="Calibri"/>
        </w:rPr>
        <w:t xml:space="preserve">in 2014 (2014 EITI Report, pp.152-153). </w:t>
      </w:r>
    </w:p>
    <w:p w14:paraId="08ECC9D5" w14:textId="2F8F7EEA" w:rsidR="00F425D1" w:rsidRPr="002815F4" w:rsidRDefault="00EE7584" w:rsidP="00F425D1">
      <w:pPr>
        <w:spacing w:before="120"/>
        <w:rPr>
          <w:rFonts w:ascii="Calibri" w:hAnsi="Calibri"/>
        </w:rPr>
      </w:pPr>
      <w:r w:rsidRPr="002815F4">
        <w:rPr>
          <w:rFonts w:ascii="Calibri" w:hAnsi="Calibri"/>
        </w:rPr>
        <w:t xml:space="preserve">In oil and gas, the 2014 EITI Report </w:t>
      </w:r>
      <w:r w:rsidR="000D3134" w:rsidRPr="002815F4">
        <w:rPr>
          <w:rFonts w:ascii="Calibri" w:hAnsi="Calibri"/>
        </w:rPr>
        <w:t xml:space="preserve">refers to statements from Petrosen’s Internal Commission on Petroleum Contract Negotiations and the Hydrocarbons Department confirming that all PSCs awarded to date were granted through direct negotiations, in line with provisions of the Petroleum Code and its implementing regulations (2014 EITI Report, p.51). </w:t>
      </w:r>
      <w:r w:rsidR="00007308" w:rsidRPr="002815F4">
        <w:rPr>
          <w:rFonts w:ascii="Calibri" w:hAnsi="Calibri"/>
        </w:rPr>
        <w:t xml:space="preserve">With regards to the two licenses transferred in 2014, the 2014 EITI Report refers to specific Ministerial Circulars (Arrêtés) approving the transactions </w:t>
      </w:r>
      <w:r w:rsidR="00A12A12" w:rsidRPr="002815F4">
        <w:rPr>
          <w:rFonts w:ascii="Calibri" w:hAnsi="Calibri"/>
        </w:rPr>
        <w:t xml:space="preserve">and confirms that they were conducted in line with </w:t>
      </w:r>
      <w:r w:rsidR="00007308" w:rsidRPr="002815F4">
        <w:rPr>
          <w:rFonts w:ascii="Calibri" w:hAnsi="Calibri"/>
        </w:rPr>
        <w:t>statutory license transfer procedures</w:t>
      </w:r>
      <w:r w:rsidR="00A12A12" w:rsidRPr="002815F4">
        <w:rPr>
          <w:rFonts w:ascii="Calibri" w:hAnsi="Calibri"/>
        </w:rPr>
        <w:t xml:space="preserve">, thus not paying any </w:t>
      </w:r>
      <w:r w:rsidR="00A12A12" w:rsidRPr="002815F4">
        <w:rPr>
          <w:rFonts w:ascii="Calibri" w:hAnsi="Calibri"/>
        </w:rPr>
        <w:lastRenderedPageBreak/>
        <w:t>payment to the government associated with the two transfers</w:t>
      </w:r>
      <w:r w:rsidR="00007308" w:rsidRPr="002815F4">
        <w:rPr>
          <w:rFonts w:ascii="Calibri" w:hAnsi="Calibri"/>
        </w:rPr>
        <w:t xml:space="preserve"> (2014 EITI Report, p</w:t>
      </w:r>
      <w:r w:rsidR="00B956B8" w:rsidRPr="002815F4">
        <w:rPr>
          <w:rFonts w:ascii="Calibri" w:hAnsi="Calibri"/>
        </w:rPr>
        <w:t>p</w:t>
      </w:r>
      <w:r w:rsidR="00007308" w:rsidRPr="002815F4">
        <w:rPr>
          <w:rFonts w:ascii="Calibri" w:hAnsi="Calibri"/>
        </w:rPr>
        <w:t>.</w:t>
      </w:r>
      <w:r w:rsidR="00B956B8" w:rsidRPr="002815F4">
        <w:rPr>
          <w:rFonts w:ascii="Calibri" w:hAnsi="Calibri"/>
        </w:rPr>
        <w:t>51,</w:t>
      </w:r>
      <w:r w:rsidR="00007308" w:rsidRPr="002815F4">
        <w:rPr>
          <w:rFonts w:ascii="Calibri" w:hAnsi="Calibri"/>
        </w:rPr>
        <w:t xml:space="preserve">53). </w:t>
      </w:r>
    </w:p>
    <w:p w14:paraId="7F079E02" w14:textId="497F3EAC" w:rsidR="00F425D1" w:rsidRPr="002815F4" w:rsidRDefault="00F425D1" w:rsidP="00F425D1">
      <w:pPr>
        <w:spacing w:before="120"/>
        <w:rPr>
          <w:rFonts w:ascii="Calibri" w:hAnsi="Calibri"/>
          <w:bCs/>
        </w:rPr>
      </w:pPr>
      <w:r w:rsidRPr="002815F4">
        <w:rPr>
          <w:rFonts w:ascii="Calibri" w:hAnsi="Calibri"/>
          <w:i/>
          <w:u w:val="single"/>
        </w:rPr>
        <w:t>Comprehensiveness</w:t>
      </w:r>
      <w:r w:rsidRPr="002815F4">
        <w:rPr>
          <w:rFonts w:ascii="Calibri" w:hAnsi="Calibri"/>
        </w:rPr>
        <w:t xml:space="preserve">: </w:t>
      </w:r>
      <w:r w:rsidR="00D11F8A" w:rsidRPr="002815F4">
        <w:rPr>
          <w:rFonts w:ascii="Calibri" w:hAnsi="Calibri"/>
        </w:rPr>
        <w:t>While the 2014 EITI Report does not explicitly describe the process for awarding of transferring mining, oil and gas licenses granted prior to 2014, it states that all oil and gas PSCs awarded to date were granted in line with the Petroleum Code’s provisions on direct negotiations (2014 EITI Report, p.51)</w:t>
      </w:r>
      <w:r w:rsidR="006E7341" w:rsidRPr="002815F4">
        <w:rPr>
          <w:rFonts w:ascii="Calibri" w:hAnsi="Calibri"/>
        </w:rPr>
        <w:t xml:space="preserve">. In addition, the list of active oil and gas, mining and quarrying licenses included in Annexes 13-16 provides the dates of application and award (2014 EITI Report, pp.132-153), allowing readers to draw general conclusions on the timeframe for all license awards to date. </w:t>
      </w:r>
    </w:p>
    <w:p w14:paraId="6245A451" w14:textId="19198C26" w:rsidR="00F425D1" w:rsidRPr="002815F4" w:rsidRDefault="00F425D1" w:rsidP="00F425D1">
      <w:pPr>
        <w:spacing w:before="120"/>
        <w:rPr>
          <w:rFonts w:ascii="Calibri" w:hAnsi="Calibri"/>
          <w:bCs/>
        </w:rPr>
      </w:pPr>
      <w:r w:rsidRPr="002815F4">
        <w:rPr>
          <w:rFonts w:ascii="Calibri" w:hAnsi="Calibri"/>
          <w:i/>
          <w:u w:val="single"/>
        </w:rPr>
        <w:t>Bidding process</w:t>
      </w:r>
      <w:r w:rsidRPr="002815F4">
        <w:rPr>
          <w:rFonts w:ascii="Calibri" w:hAnsi="Calibri"/>
        </w:rPr>
        <w:t xml:space="preserve">: </w:t>
      </w:r>
      <w:r w:rsidR="00CF7C84" w:rsidRPr="002815F4">
        <w:rPr>
          <w:rFonts w:ascii="Calibri" w:hAnsi="Calibri"/>
        </w:rPr>
        <w:t>The 2014 EITI Report confirms that there are no statutory</w:t>
      </w:r>
      <w:r w:rsidR="00636F00" w:rsidRPr="002815F4">
        <w:rPr>
          <w:rFonts w:ascii="Calibri" w:hAnsi="Calibri"/>
        </w:rPr>
        <w:t xml:space="preserve"> procedures for the award of mining licenses through competitive bidding and that no such tender took place in 2014 (2014 EITI Report, p.30), although it does highlight then-proposed (</w:t>
      </w:r>
      <w:r w:rsidR="00764752" w:rsidRPr="002815F4">
        <w:rPr>
          <w:rFonts w:ascii="Calibri" w:hAnsi="Calibri"/>
        </w:rPr>
        <w:t>since</w:t>
      </w:r>
      <w:r w:rsidR="00636F00" w:rsidRPr="002815F4">
        <w:rPr>
          <w:rFonts w:ascii="Calibri" w:hAnsi="Calibri"/>
        </w:rPr>
        <w:t xml:space="preserve">-enacted) changes to the Mining Code providing for competitive bidding for licenses in promotional zones (2014 EITI Report, p.38). The report also describes provisions for awarding oil and gas licenses through competitive bidding at the discretion of the Petroleum Minister but highlights the lack of provisions in the Petroleum Code and its implementing regulations for such bidding, confirming that all oil and gas license awards to date have been conducted through direct negotiations (2014 EITI Report, p.51). </w:t>
      </w:r>
    </w:p>
    <w:p w14:paraId="4A612BD3" w14:textId="04AE813C" w:rsidR="00636F00" w:rsidRPr="002815F4" w:rsidRDefault="00F425D1" w:rsidP="00F425D1">
      <w:pPr>
        <w:spacing w:before="120"/>
        <w:rPr>
          <w:rFonts w:ascii="Calibri" w:hAnsi="Calibri"/>
          <w:bCs/>
        </w:rPr>
      </w:pPr>
      <w:r w:rsidRPr="002815F4">
        <w:rPr>
          <w:rFonts w:ascii="Calibri" w:hAnsi="Calibri"/>
          <w:i/>
          <w:u w:val="single"/>
        </w:rPr>
        <w:t>Commentary on efficiency</w:t>
      </w:r>
      <w:r w:rsidRPr="002815F4">
        <w:rPr>
          <w:rFonts w:ascii="Calibri" w:hAnsi="Calibri"/>
        </w:rPr>
        <w:t xml:space="preserve">: </w:t>
      </w:r>
      <w:r w:rsidR="00046528" w:rsidRPr="002815F4">
        <w:rPr>
          <w:rFonts w:ascii="Calibri" w:hAnsi="Calibri"/>
        </w:rPr>
        <w:t>The 2014 EITI Report does not explicitly comment on the efficiency of the current procedures for awarding or transferring licenses in the mining, oil and gas sectors. However, information on active oil and gas, mining and quarrying licenses in Annexes 13-16 provides dates of application and award (2014 EITI Report, pp.132-153), allowing readers to draw broad conclusions on the general efficiency of license allocation procedures.</w:t>
      </w:r>
    </w:p>
    <w:p w14:paraId="4E9DC1D6" w14:textId="4AFDA1BE" w:rsidR="00636F00" w:rsidRPr="002815F4" w:rsidRDefault="007F14CA" w:rsidP="00F425D1">
      <w:pPr>
        <w:spacing w:before="120"/>
        <w:rPr>
          <w:rFonts w:ascii="Calibri" w:hAnsi="Calibri"/>
          <w:bCs/>
        </w:rPr>
      </w:pPr>
      <w:r w:rsidRPr="002815F4">
        <w:rPr>
          <w:rFonts w:ascii="Calibri" w:hAnsi="Calibri"/>
          <w:bCs/>
        </w:rPr>
        <w:t xml:space="preserve">The 2014 EITI Report marks a significant improvement </w:t>
      </w:r>
      <w:r w:rsidR="009C4798">
        <w:rPr>
          <w:rFonts w:ascii="Calibri" w:hAnsi="Calibri"/>
          <w:bCs/>
        </w:rPr>
        <w:t>i</w:t>
      </w:r>
      <w:r w:rsidRPr="002815F4">
        <w:rPr>
          <w:rFonts w:ascii="Calibri" w:hAnsi="Calibri"/>
          <w:bCs/>
        </w:rPr>
        <w:t xml:space="preserve">n coverage of license allocations and transfers in the 2013 EITI Report, which only included general descriptions of statutory procedures without reference to the specific number of licenses granted or transferred in the year under review (nor the identity of awardees), technical and financial criteria nor any non-trivial deviations from statutory procedures (2013 EITI Report, pp.33-34,46). </w:t>
      </w:r>
    </w:p>
    <w:p w14:paraId="5CEC8AAC" w14:textId="7F2B4EDC" w:rsidR="00247985" w:rsidRPr="002815F4" w:rsidRDefault="00F425D1" w:rsidP="009B3E66">
      <w:pPr>
        <w:pStyle w:val="Heading3"/>
      </w:pPr>
      <w:r w:rsidRPr="002815F4">
        <w:t>Stakeholder views</w:t>
      </w:r>
    </w:p>
    <w:p w14:paraId="18FE0D25" w14:textId="68C63D7F" w:rsidR="00456D81" w:rsidRPr="002815F4" w:rsidRDefault="00574F31" w:rsidP="00527A4E">
      <w:pPr>
        <w:spacing w:before="120"/>
        <w:rPr>
          <w:rFonts w:ascii="Calibri" w:hAnsi="Calibri"/>
          <w:bCs/>
        </w:rPr>
      </w:pPr>
      <w:r w:rsidRPr="002815F4">
        <w:rPr>
          <w:rFonts w:ascii="Calibri" w:hAnsi="Calibri"/>
          <w:bCs/>
        </w:rPr>
        <w:t xml:space="preserve">Government, </w:t>
      </w:r>
      <w:r w:rsidR="00527A4E" w:rsidRPr="002815F4">
        <w:rPr>
          <w:rFonts w:ascii="Calibri" w:hAnsi="Calibri"/>
          <w:bCs/>
        </w:rPr>
        <w:t xml:space="preserve">company </w:t>
      </w:r>
      <w:r w:rsidRPr="002815F4">
        <w:rPr>
          <w:rFonts w:ascii="Calibri" w:hAnsi="Calibri"/>
          <w:bCs/>
        </w:rPr>
        <w:t xml:space="preserve">and civil society </w:t>
      </w:r>
      <w:r w:rsidR="00527A4E" w:rsidRPr="002815F4">
        <w:rPr>
          <w:rFonts w:ascii="Calibri" w:hAnsi="Calibri"/>
          <w:bCs/>
        </w:rPr>
        <w:t>representatives</w:t>
      </w:r>
      <w:r w:rsidR="002139A8" w:rsidRPr="002815F4">
        <w:rPr>
          <w:rFonts w:ascii="Calibri" w:hAnsi="Calibri"/>
          <w:bCs/>
        </w:rPr>
        <w:t xml:space="preserve"> and the </w:t>
      </w:r>
      <w:r w:rsidR="00A12A12" w:rsidRPr="002815F4">
        <w:rPr>
          <w:rFonts w:ascii="Calibri" w:hAnsi="Calibri"/>
          <w:bCs/>
        </w:rPr>
        <w:t xml:space="preserve">IA </w:t>
      </w:r>
      <w:r w:rsidR="00527A4E" w:rsidRPr="002815F4">
        <w:rPr>
          <w:rFonts w:ascii="Calibri" w:hAnsi="Calibri"/>
          <w:bCs/>
        </w:rPr>
        <w:t>confirmed that the regulations</w:t>
      </w:r>
      <w:r w:rsidR="00456D81" w:rsidRPr="002815F4">
        <w:rPr>
          <w:rFonts w:ascii="Calibri" w:hAnsi="Calibri"/>
          <w:bCs/>
        </w:rPr>
        <w:t xml:space="preserve"> did not </w:t>
      </w:r>
      <w:r w:rsidR="00A12A12" w:rsidRPr="002815F4">
        <w:rPr>
          <w:rFonts w:ascii="Calibri" w:hAnsi="Calibri"/>
          <w:bCs/>
        </w:rPr>
        <w:t>provide</w:t>
      </w:r>
      <w:r w:rsidR="00456D81" w:rsidRPr="002815F4">
        <w:rPr>
          <w:rFonts w:ascii="Calibri" w:hAnsi="Calibri"/>
          <w:bCs/>
        </w:rPr>
        <w:t xml:space="preserve"> details o</w:t>
      </w:r>
      <w:r w:rsidR="00A12A12" w:rsidRPr="002815F4">
        <w:rPr>
          <w:rFonts w:ascii="Calibri" w:hAnsi="Calibri"/>
          <w:bCs/>
        </w:rPr>
        <w:t>f</w:t>
      </w:r>
      <w:r w:rsidR="00456D81" w:rsidRPr="002815F4">
        <w:rPr>
          <w:rFonts w:ascii="Calibri" w:hAnsi="Calibri"/>
          <w:bCs/>
        </w:rPr>
        <w:t xml:space="preserve"> the technical and financial criteria used in </w:t>
      </w:r>
      <w:r w:rsidR="00A12A12" w:rsidRPr="002815F4">
        <w:rPr>
          <w:rFonts w:ascii="Calibri" w:hAnsi="Calibri"/>
          <w:bCs/>
        </w:rPr>
        <w:t xml:space="preserve">assessing applications for </w:t>
      </w:r>
      <w:r w:rsidR="00456D81" w:rsidRPr="002815F4">
        <w:rPr>
          <w:rFonts w:ascii="Calibri" w:hAnsi="Calibri"/>
          <w:bCs/>
        </w:rPr>
        <w:t>license allocation</w:t>
      </w:r>
      <w:r w:rsidR="00A12A12" w:rsidRPr="002815F4">
        <w:rPr>
          <w:rFonts w:ascii="Calibri" w:hAnsi="Calibri"/>
          <w:bCs/>
        </w:rPr>
        <w:t>s</w:t>
      </w:r>
      <w:r w:rsidR="00456D81" w:rsidRPr="002815F4">
        <w:rPr>
          <w:rFonts w:ascii="Calibri" w:hAnsi="Calibri"/>
          <w:bCs/>
        </w:rPr>
        <w:t xml:space="preserve"> and transfers.</w:t>
      </w:r>
      <w:r w:rsidR="002139A8" w:rsidRPr="002815F4">
        <w:t xml:space="preserve"> The </w:t>
      </w:r>
      <w:r w:rsidR="00A12A12" w:rsidRPr="002815F4">
        <w:t xml:space="preserve">IA </w:t>
      </w:r>
      <w:r w:rsidR="002139A8" w:rsidRPr="002815F4">
        <w:t>confirmed that in practice, it was neither first-come first-served or direct negotiation, since the evaluation was mostly based on their administrative application</w:t>
      </w:r>
      <w:r w:rsidR="00A12A12" w:rsidRPr="002815F4">
        <w:t>.</w:t>
      </w:r>
      <w:r w:rsidR="002139A8" w:rsidRPr="002815F4">
        <w:t xml:space="preserve"> </w:t>
      </w:r>
      <w:r w:rsidR="00456D81" w:rsidRPr="002815F4">
        <w:rPr>
          <w:rFonts w:ascii="Calibri" w:hAnsi="Calibri"/>
          <w:bCs/>
        </w:rPr>
        <w:t>Government representatives explain</w:t>
      </w:r>
      <w:r w:rsidR="002139A8" w:rsidRPr="002815F4">
        <w:rPr>
          <w:rFonts w:ascii="Calibri" w:hAnsi="Calibri"/>
          <w:bCs/>
        </w:rPr>
        <w:t>ed that the lack of clear criteria</w:t>
      </w:r>
      <w:r w:rsidR="00456D81" w:rsidRPr="002815F4">
        <w:rPr>
          <w:rFonts w:ascii="Calibri" w:hAnsi="Calibri"/>
          <w:bCs/>
        </w:rPr>
        <w:t xml:space="preserve"> was partially due to the relative</w:t>
      </w:r>
      <w:r w:rsidR="00A04B15" w:rsidRPr="002815F4">
        <w:rPr>
          <w:rFonts w:ascii="Calibri" w:hAnsi="Calibri"/>
          <w:bCs/>
        </w:rPr>
        <w:t>ly</w:t>
      </w:r>
      <w:r w:rsidR="00456D81" w:rsidRPr="002815F4">
        <w:rPr>
          <w:rFonts w:ascii="Calibri" w:hAnsi="Calibri"/>
          <w:bCs/>
        </w:rPr>
        <w:t xml:space="preserve"> small contribution of the sector to GDP (approximately 2%) </w:t>
      </w:r>
      <w:r w:rsidR="00A04B15" w:rsidRPr="002815F4">
        <w:rPr>
          <w:rFonts w:ascii="Calibri" w:hAnsi="Calibri"/>
          <w:bCs/>
        </w:rPr>
        <w:t>and a lack of interest by companies</w:t>
      </w:r>
      <w:r w:rsidR="00A12A12" w:rsidRPr="002815F4">
        <w:rPr>
          <w:rFonts w:ascii="Calibri" w:hAnsi="Calibri"/>
          <w:bCs/>
        </w:rPr>
        <w:t>, which meant that government agencies like the DMG needed to attract as many applications as possible</w:t>
      </w:r>
      <w:r w:rsidR="00A04B15" w:rsidRPr="002815F4">
        <w:rPr>
          <w:rFonts w:ascii="Calibri" w:hAnsi="Calibri"/>
          <w:bCs/>
        </w:rPr>
        <w:t xml:space="preserve">. They explained that this </w:t>
      </w:r>
      <w:r w:rsidR="00456D81" w:rsidRPr="002815F4">
        <w:rPr>
          <w:rFonts w:ascii="Calibri" w:hAnsi="Calibri"/>
          <w:bCs/>
        </w:rPr>
        <w:t>gave the respective line ministries</w:t>
      </w:r>
      <w:r w:rsidRPr="002815F4">
        <w:rPr>
          <w:rFonts w:ascii="Calibri" w:hAnsi="Calibri"/>
          <w:bCs/>
        </w:rPr>
        <w:t xml:space="preserve"> the latitude to</w:t>
      </w:r>
      <w:r w:rsidR="00456D81" w:rsidRPr="002815F4">
        <w:rPr>
          <w:rFonts w:ascii="Calibri" w:hAnsi="Calibri"/>
          <w:bCs/>
        </w:rPr>
        <w:t xml:space="preserve"> </w:t>
      </w:r>
      <w:r w:rsidRPr="002815F4">
        <w:rPr>
          <w:rFonts w:ascii="Calibri" w:hAnsi="Calibri"/>
          <w:bCs/>
        </w:rPr>
        <w:t xml:space="preserve">better </w:t>
      </w:r>
      <w:r w:rsidR="00456D81" w:rsidRPr="002815F4">
        <w:rPr>
          <w:rFonts w:ascii="Calibri" w:hAnsi="Calibri"/>
          <w:bCs/>
        </w:rPr>
        <w:t>negotiate with</w:t>
      </w:r>
      <w:r w:rsidRPr="002815F4">
        <w:rPr>
          <w:rFonts w:ascii="Calibri" w:hAnsi="Calibri"/>
          <w:bCs/>
        </w:rPr>
        <w:t xml:space="preserve"> applicants</w:t>
      </w:r>
      <w:r w:rsidR="00A12A12" w:rsidRPr="002815F4">
        <w:rPr>
          <w:rFonts w:ascii="Calibri" w:hAnsi="Calibri"/>
          <w:bCs/>
        </w:rPr>
        <w:t>.</w:t>
      </w:r>
      <w:r w:rsidR="00A04B15" w:rsidRPr="002815F4">
        <w:rPr>
          <w:rFonts w:ascii="Calibri" w:hAnsi="Calibri"/>
          <w:bCs/>
        </w:rPr>
        <w:t xml:space="preserve"> </w:t>
      </w:r>
      <w:r w:rsidR="00A12A12" w:rsidRPr="002815F4">
        <w:rPr>
          <w:rFonts w:ascii="Calibri" w:hAnsi="Calibri"/>
          <w:bCs/>
        </w:rPr>
        <w:t>H</w:t>
      </w:r>
      <w:r w:rsidR="00A04B15" w:rsidRPr="002815F4">
        <w:rPr>
          <w:rFonts w:ascii="Calibri" w:hAnsi="Calibri"/>
          <w:bCs/>
        </w:rPr>
        <w:t>owever</w:t>
      </w:r>
      <w:r w:rsidR="00A12A12" w:rsidRPr="002815F4">
        <w:rPr>
          <w:rFonts w:ascii="Calibri" w:hAnsi="Calibri"/>
          <w:bCs/>
        </w:rPr>
        <w:t>,</w:t>
      </w:r>
      <w:r w:rsidR="00A04B15" w:rsidRPr="002815F4">
        <w:rPr>
          <w:rFonts w:ascii="Calibri" w:hAnsi="Calibri"/>
          <w:bCs/>
        </w:rPr>
        <w:t xml:space="preserve"> c</w:t>
      </w:r>
      <w:r w:rsidRPr="002815F4">
        <w:rPr>
          <w:rFonts w:ascii="Calibri" w:hAnsi="Calibri"/>
          <w:bCs/>
        </w:rPr>
        <w:t xml:space="preserve">ivil society </w:t>
      </w:r>
      <w:r w:rsidR="00A12A12" w:rsidRPr="002815F4">
        <w:rPr>
          <w:rFonts w:ascii="Calibri" w:hAnsi="Calibri"/>
          <w:bCs/>
        </w:rPr>
        <w:t xml:space="preserve">considered </w:t>
      </w:r>
      <w:r w:rsidRPr="002815F4">
        <w:rPr>
          <w:rFonts w:ascii="Calibri" w:hAnsi="Calibri"/>
          <w:bCs/>
        </w:rPr>
        <w:t>that the lack of clear criteria encouraged speculation in the sector.</w:t>
      </w:r>
      <w:r w:rsidR="005C7BF6" w:rsidRPr="002815F4">
        <w:rPr>
          <w:rFonts w:ascii="Calibri" w:hAnsi="Calibri"/>
          <w:bCs/>
        </w:rPr>
        <w:t xml:space="preserve"> The IA considered that the 2014 EITI Report met the minimum of Requirement 2.2, noting that annexes had described the actual practice of license allocations while the report had highlighted the ambiguities in the </w:t>
      </w:r>
      <w:r w:rsidR="00B956B8" w:rsidRPr="002815F4">
        <w:rPr>
          <w:rFonts w:ascii="Calibri" w:hAnsi="Calibri"/>
          <w:bCs/>
        </w:rPr>
        <w:t xml:space="preserve">existing legislation in 2014 (i.e. the 2003 Mining Code and the 1998 Petroleum Code). The IA highlighted the challenges of highlighting non-trivial deviations from statutory procedures when the legal framework itself was not clear, and considered that the extractives licenses awarded and transferred in 2014 were </w:t>
      </w:r>
      <w:r w:rsidR="00B956B8" w:rsidRPr="002815F4">
        <w:rPr>
          <w:rFonts w:ascii="Calibri" w:hAnsi="Calibri"/>
          <w:bCs/>
        </w:rPr>
        <w:lastRenderedPageBreak/>
        <w:t xml:space="preserve">compliant with the general regulations in place. </w:t>
      </w:r>
    </w:p>
    <w:p w14:paraId="1CCAF8D9" w14:textId="479645A8" w:rsidR="00574F31" w:rsidRPr="002815F4" w:rsidRDefault="00456D81" w:rsidP="007474FE">
      <w:r w:rsidRPr="002815F4">
        <w:rPr>
          <w:rFonts w:ascii="Calibri" w:hAnsi="Calibri"/>
          <w:bCs/>
        </w:rPr>
        <w:t>With respect to the oil and gas sector, g</w:t>
      </w:r>
      <w:r w:rsidR="00527A4E" w:rsidRPr="002815F4">
        <w:rPr>
          <w:rFonts w:ascii="Calibri" w:hAnsi="Calibri"/>
          <w:bCs/>
        </w:rPr>
        <w:t>overnment</w:t>
      </w:r>
      <w:r w:rsidRPr="002815F4">
        <w:rPr>
          <w:rFonts w:ascii="Calibri" w:hAnsi="Calibri"/>
          <w:bCs/>
        </w:rPr>
        <w:t xml:space="preserve"> and company representatives stated that applications we</w:t>
      </w:r>
      <w:r w:rsidR="00574F31" w:rsidRPr="002815F4">
        <w:rPr>
          <w:rFonts w:ascii="Calibri" w:hAnsi="Calibri"/>
          <w:bCs/>
        </w:rPr>
        <w:t>re evaluated by P</w:t>
      </w:r>
      <w:r w:rsidR="00A12A12" w:rsidRPr="002815F4">
        <w:rPr>
          <w:rFonts w:ascii="Calibri" w:hAnsi="Calibri"/>
          <w:bCs/>
        </w:rPr>
        <w:t>etrosen</w:t>
      </w:r>
      <w:r w:rsidR="00574F31" w:rsidRPr="002815F4">
        <w:rPr>
          <w:rFonts w:ascii="Calibri" w:hAnsi="Calibri"/>
          <w:bCs/>
        </w:rPr>
        <w:t xml:space="preserve">, which had the </w:t>
      </w:r>
      <w:r w:rsidR="00527A4E" w:rsidRPr="002815F4">
        <w:rPr>
          <w:rFonts w:ascii="Calibri" w:hAnsi="Calibri"/>
          <w:bCs/>
        </w:rPr>
        <w:t xml:space="preserve">expertise </w:t>
      </w:r>
      <w:r w:rsidR="00574F31" w:rsidRPr="002815F4">
        <w:rPr>
          <w:rFonts w:ascii="Calibri" w:hAnsi="Calibri"/>
          <w:bCs/>
        </w:rPr>
        <w:t>in the negotiation of contracts. Representatives of P</w:t>
      </w:r>
      <w:r w:rsidR="00A12A12" w:rsidRPr="002815F4">
        <w:rPr>
          <w:rFonts w:ascii="Calibri" w:hAnsi="Calibri"/>
          <w:bCs/>
        </w:rPr>
        <w:t xml:space="preserve">etrosen </w:t>
      </w:r>
      <w:r w:rsidR="00574F31" w:rsidRPr="002815F4">
        <w:rPr>
          <w:rFonts w:ascii="Calibri" w:hAnsi="Calibri"/>
          <w:bCs/>
        </w:rPr>
        <w:t xml:space="preserve">explained that the criteria used included guarantees given by the company, as well as its experience, </w:t>
      </w:r>
      <w:r w:rsidR="00527A4E" w:rsidRPr="002815F4">
        <w:rPr>
          <w:rFonts w:ascii="Calibri" w:hAnsi="Calibri"/>
          <w:bCs/>
        </w:rPr>
        <w:t>reputation</w:t>
      </w:r>
      <w:r w:rsidR="00574F31" w:rsidRPr="002815F4">
        <w:rPr>
          <w:rFonts w:ascii="Calibri" w:hAnsi="Calibri"/>
          <w:bCs/>
        </w:rPr>
        <w:t xml:space="preserve">, composition of the </w:t>
      </w:r>
      <w:r w:rsidR="00527A4E" w:rsidRPr="002815F4">
        <w:rPr>
          <w:rFonts w:ascii="Calibri" w:hAnsi="Calibri"/>
          <w:bCs/>
        </w:rPr>
        <w:t>team</w:t>
      </w:r>
      <w:r w:rsidR="00574F31" w:rsidRPr="002815F4">
        <w:rPr>
          <w:rFonts w:ascii="Calibri" w:hAnsi="Calibri"/>
          <w:bCs/>
        </w:rPr>
        <w:t xml:space="preserve"> and financial statements</w:t>
      </w:r>
      <w:r w:rsidR="00527A4E" w:rsidRPr="002815F4">
        <w:rPr>
          <w:rFonts w:ascii="Calibri" w:hAnsi="Calibri"/>
          <w:bCs/>
        </w:rPr>
        <w:t xml:space="preserve">. </w:t>
      </w:r>
      <w:r w:rsidR="00574F31" w:rsidRPr="002815F4">
        <w:rPr>
          <w:rFonts w:ascii="Calibri" w:hAnsi="Calibri"/>
          <w:bCs/>
        </w:rPr>
        <w:t>They</w:t>
      </w:r>
      <w:r w:rsidR="00527A4E" w:rsidRPr="002815F4">
        <w:rPr>
          <w:rFonts w:ascii="Calibri" w:hAnsi="Calibri"/>
          <w:bCs/>
        </w:rPr>
        <w:t xml:space="preserve"> confirmed that not all applicants were allocated licenses in 2014 </w:t>
      </w:r>
      <w:r w:rsidR="00574F31" w:rsidRPr="002815F4">
        <w:rPr>
          <w:rFonts w:ascii="Calibri" w:hAnsi="Calibri"/>
          <w:bCs/>
        </w:rPr>
        <w:t>and that this information was not available online</w:t>
      </w:r>
      <w:r w:rsidR="00527A4E" w:rsidRPr="002815F4">
        <w:rPr>
          <w:rFonts w:ascii="Calibri" w:hAnsi="Calibri"/>
          <w:bCs/>
        </w:rPr>
        <w:t>.</w:t>
      </w:r>
      <w:r w:rsidR="00574F31" w:rsidRPr="002815F4">
        <w:rPr>
          <w:rFonts w:ascii="Calibri" w:hAnsi="Calibri"/>
          <w:bCs/>
        </w:rPr>
        <w:t xml:space="preserve"> </w:t>
      </w:r>
      <w:r w:rsidR="00A04B15" w:rsidRPr="002815F4">
        <w:rPr>
          <w:rFonts w:ascii="Calibri" w:hAnsi="Calibri"/>
          <w:bCs/>
        </w:rPr>
        <w:t>Representatives of the press stated that information</w:t>
      </w:r>
      <w:r w:rsidR="005B0F7A" w:rsidRPr="002815F4">
        <w:rPr>
          <w:rFonts w:ascii="Calibri" w:hAnsi="Calibri"/>
          <w:bCs/>
        </w:rPr>
        <w:t xml:space="preserve"> on transfers</w:t>
      </w:r>
      <w:r w:rsidR="00A04B15" w:rsidRPr="002815F4">
        <w:rPr>
          <w:rFonts w:ascii="Calibri" w:hAnsi="Calibri"/>
          <w:bCs/>
        </w:rPr>
        <w:t xml:space="preserve"> remained unclear</w:t>
      </w:r>
      <w:r w:rsidR="005B0F7A" w:rsidRPr="002815F4">
        <w:rPr>
          <w:rFonts w:ascii="Calibri" w:hAnsi="Calibri"/>
          <w:bCs/>
        </w:rPr>
        <w:t xml:space="preserve">, with the government having received </w:t>
      </w:r>
      <w:r w:rsidR="00A12A12" w:rsidRPr="002815F4">
        <w:rPr>
          <w:rFonts w:ascii="Calibri" w:hAnsi="Calibri"/>
          <w:bCs/>
        </w:rPr>
        <w:t xml:space="preserve">no </w:t>
      </w:r>
      <w:r w:rsidR="005B0F7A" w:rsidRPr="002815F4">
        <w:rPr>
          <w:rFonts w:ascii="Calibri" w:hAnsi="Calibri"/>
          <w:bCs/>
        </w:rPr>
        <w:t xml:space="preserve">funds for the transfer </w:t>
      </w:r>
      <w:r w:rsidR="005B0F7A" w:rsidRPr="002815F4">
        <w:t xml:space="preserve">of the license by PetroTim to Kosmos. Independent analysts confirmed that there were no capital gains tax or license fees on transfers. </w:t>
      </w:r>
      <w:r w:rsidR="00574F31" w:rsidRPr="002815F4">
        <w:rPr>
          <w:rFonts w:ascii="Calibri" w:hAnsi="Calibri"/>
          <w:bCs/>
        </w:rPr>
        <w:t>Government ha</w:t>
      </w:r>
      <w:r w:rsidR="00A12A12" w:rsidRPr="002815F4">
        <w:rPr>
          <w:rFonts w:ascii="Calibri" w:hAnsi="Calibri"/>
          <w:bCs/>
        </w:rPr>
        <w:t>d</w:t>
      </w:r>
      <w:r w:rsidR="00574F31" w:rsidRPr="002815F4">
        <w:rPr>
          <w:rFonts w:ascii="Calibri" w:hAnsi="Calibri"/>
          <w:bCs/>
        </w:rPr>
        <w:t xml:space="preserve"> been actively following up on this issue and upon launching the 2014 EITI Report in October 2016, Prof. Fall has publicly called for the clarification of the Petroleum Code’s provisions related to oil and gas license allocation and transfer procedures, in light of the public controversy over license awards and transfers involving Petro-Tim and Timis Corp. </w:t>
      </w:r>
      <w:sdt>
        <w:sdtPr>
          <w:rPr>
            <w:rFonts w:ascii="Calibri" w:hAnsi="Calibri"/>
            <w:bCs/>
          </w:rPr>
          <w:id w:val="1383828507"/>
          <w:citation/>
        </w:sdtPr>
        <w:sdtEndPr/>
        <w:sdtContent>
          <w:r w:rsidR="00574F31" w:rsidRPr="002815F4">
            <w:rPr>
              <w:rFonts w:ascii="Calibri" w:hAnsi="Calibri"/>
              <w:bCs/>
            </w:rPr>
            <w:fldChar w:fldCharType="begin"/>
          </w:r>
          <w:r w:rsidR="00574F31" w:rsidRPr="002815F4">
            <w:rPr>
              <w:rFonts w:ascii="Calibri" w:hAnsi="Calibri"/>
              <w:bCs/>
            </w:rPr>
            <w:instrText xml:space="preserve"> CITATION LeS16 \l 1033 </w:instrText>
          </w:r>
          <w:r w:rsidR="00574F31" w:rsidRPr="002815F4">
            <w:rPr>
              <w:rFonts w:ascii="Calibri" w:hAnsi="Calibri"/>
              <w:bCs/>
            </w:rPr>
            <w:fldChar w:fldCharType="separate"/>
          </w:r>
          <w:r w:rsidR="00574F31" w:rsidRPr="002815F4">
            <w:rPr>
              <w:rFonts w:ascii="Calibri" w:hAnsi="Calibri"/>
              <w:noProof/>
            </w:rPr>
            <w:t>(Le Soleil, 2016)</w:t>
          </w:r>
          <w:r w:rsidR="00574F31" w:rsidRPr="002815F4">
            <w:rPr>
              <w:rFonts w:ascii="Calibri" w:hAnsi="Calibri"/>
              <w:bCs/>
            </w:rPr>
            <w:fldChar w:fldCharType="end"/>
          </w:r>
        </w:sdtContent>
      </w:sdt>
      <w:r w:rsidR="00574F31" w:rsidRPr="002815F4">
        <w:rPr>
          <w:rFonts w:ascii="Calibri" w:hAnsi="Calibri"/>
          <w:bCs/>
        </w:rPr>
        <w:t>.</w:t>
      </w:r>
    </w:p>
    <w:p w14:paraId="0DC564BA" w14:textId="0B90DB6D" w:rsidR="00A04B15" w:rsidRPr="002815F4" w:rsidRDefault="00574F31" w:rsidP="007474FE">
      <w:r w:rsidRPr="002815F4">
        <w:rPr>
          <w:rFonts w:ascii="Calibri" w:hAnsi="Calibri"/>
          <w:bCs/>
        </w:rPr>
        <w:t>With respect to the mining</w:t>
      </w:r>
      <w:r w:rsidR="00527A4E" w:rsidRPr="002815F4">
        <w:rPr>
          <w:rFonts w:ascii="Calibri" w:hAnsi="Calibri"/>
          <w:bCs/>
        </w:rPr>
        <w:t xml:space="preserve"> sector, </w:t>
      </w:r>
      <w:r w:rsidRPr="002815F4">
        <w:rPr>
          <w:rFonts w:ascii="Calibri" w:hAnsi="Calibri"/>
          <w:bCs/>
        </w:rPr>
        <w:t xml:space="preserve">company </w:t>
      </w:r>
      <w:r w:rsidR="002815F4" w:rsidRPr="002815F4">
        <w:rPr>
          <w:rFonts w:ascii="Calibri" w:hAnsi="Calibri"/>
          <w:bCs/>
        </w:rPr>
        <w:t>representatives</w:t>
      </w:r>
      <w:r w:rsidRPr="002815F4">
        <w:rPr>
          <w:rFonts w:ascii="Calibri" w:hAnsi="Calibri"/>
          <w:bCs/>
        </w:rPr>
        <w:t xml:space="preserve"> noted that </w:t>
      </w:r>
      <w:r w:rsidR="00A04B15" w:rsidRPr="002815F4">
        <w:rPr>
          <w:rFonts w:ascii="Calibri" w:hAnsi="Calibri"/>
          <w:bCs/>
        </w:rPr>
        <w:t xml:space="preserve">the </w:t>
      </w:r>
      <w:r w:rsidRPr="002815F4">
        <w:rPr>
          <w:rFonts w:ascii="Calibri" w:hAnsi="Calibri"/>
          <w:bCs/>
        </w:rPr>
        <w:t>2016</w:t>
      </w:r>
      <w:r w:rsidR="00A04B15" w:rsidRPr="002815F4">
        <w:rPr>
          <w:rFonts w:ascii="Calibri" w:hAnsi="Calibri"/>
          <w:bCs/>
        </w:rPr>
        <w:t xml:space="preserve"> mining</w:t>
      </w:r>
      <w:r w:rsidRPr="002815F4">
        <w:rPr>
          <w:rFonts w:ascii="Calibri" w:hAnsi="Calibri"/>
          <w:bCs/>
        </w:rPr>
        <w:t xml:space="preserve"> </w:t>
      </w:r>
      <w:r w:rsidR="00A04B15" w:rsidRPr="002815F4">
        <w:rPr>
          <w:rFonts w:ascii="Calibri" w:hAnsi="Calibri"/>
          <w:bCs/>
        </w:rPr>
        <w:t xml:space="preserve">code </w:t>
      </w:r>
      <w:r w:rsidR="00527A4E" w:rsidRPr="002815F4">
        <w:rPr>
          <w:rFonts w:ascii="Calibri" w:hAnsi="Calibri"/>
          <w:bCs/>
        </w:rPr>
        <w:t>clarified</w:t>
      </w:r>
      <w:r w:rsidR="00A04B15" w:rsidRPr="002815F4">
        <w:rPr>
          <w:rFonts w:ascii="Calibri" w:hAnsi="Calibri"/>
          <w:bCs/>
        </w:rPr>
        <w:t xml:space="preserve"> the technical and financial criteria</w:t>
      </w:r>
      <w:r w:rsidR="00527A4E" w:rsidRPr="002815F4">
        <w:rPr>
          <w:rFonts w:ascii="Calibri" w:hAnsi="Calibri"/>
          <w:bCs/>
        </w:rPr>
        <w:t xml:space="preserve">. </w:t>
      </w:r>
      <w:r w:rsidR="00A04B15" w:rsidRPr="002815F4">
        <w:rPr>
          <w:rFonts w:ascii="Calibri" w:hAnsi="Calibri"/>
          <w:bCs/>
        </w:rPr>
        <w:t xml:space="preserve">They noted that </w:t>
      </w:r>
      <w:r w:rsidR="00527A4E" w:rsidRPr="002815F4">
        <w:rPr>
          <w:rFonts w:ascii="Calibri" w:hAnsi="Calibri"/>
          <w:bCs/>
        </w:rPr>
        <w:t xml:space="preserve">applicants </w:t>
      </w:r>
      <w:r w:rsidR="005C7BF6" w:rsidRPr="002815F4">
        <w:rPr>
          <w:rFonts w:ascii="Calibri" w:hAnsi="Calibri"/>
          <w:bCs/>
        </w:rPr>
        <w:t xml:space="preserve">were not all successful in </w:t>
      </w:r>
      <w:r w:rsidR="00527A4E" w:rsidRPr="002815F4">
        <w:rPr>
          <w:rFonts w:ascii="Calibri" w:hAnsi="Calibri"/>
          <w:bCs/>
        </w:rPr>
        <w:t>receiv</w:t>
      </w:r>
      <w:r w:rsidR="005C7BF6" w:rsidRPr="002815F4">
        <w:rPr>
          <w:rFonts w:ascii="Calibri" w:hAnsi="Calibri"/>
          <w:bCs/>
        </w:rPr>
        <w:t>ing</w:t>
      </w:r>
      <w:r w:rsidR="00527A4E" w:rsidRPr="002815F4">
        <w:rPr>
          <w:rFonts w:ascii="Calibri" w:hAnsi="Calibri"/>
          <w:bCs/>
        </w:rPr>
        <w:t xml:space="preserve"> a license</w:t>
      </w:r>
      <w:r w:rsidR="00A04B15" w:rsidRPr="002815F4">
        <w:rPr>
          <w:rFonts w:ascii="Calibri" w:hAnsi="Calibri"/>
          <w:bCs/>
        </w:rPr>
        <w:t xml:space="preserve"> and that this information was available upon request but not publicly available online</w:t>
      </w:r>
      <w:r w:rsidR="00527A4E" w:rsidRPr="002815F4">
        <w:rPr>
          <w:rFonts w:ascii="Calibri" w:hAnsi="Calibri"/>
          <w:bCs/>
        </w:rPr>
        <w:t xml:space="preserve">. </w:t>
      </w:r>
      <w:r w:rsidR="00A04B15" w:rsidRPr="002815F4">
        <w:rPr>
          <w:rFonts w:ascii="Calibri" w:hAnsi="Calibri"/>
          <w:bCs/>
        </w:rPr>
        <w:t xml:space="preserve">Companies </w:t>
      </w:r>
      <w:r w:rsidR="00A12A12" w:rsidRPr="002815F4">
        <w:rPr>
          <w:rFonts w:ascii="Calibri" w:hAnsi="Calibri"/>
          <w:bCs/>
        </w:rPr>
        <w:t>considered</w:t>
      </w:r>
      <w:r w:rsidR="00A04B15" w:rsidRPr="002815F4">
        <w:rPr>
          <w:rFonts w:ascii="Calibri" w:hAnsi="Calibri"/>
          <w:bCs/>
        </w:rPr>
        <w:t xml:space="preserve"> that </w:t>
      </w:r>
      <w:r w:rsidR="00D359E8">
        <w:rPr>
          <w:rFonts w:ascii="Calibri" w:hAnsi="Calibri"/>
          <w:bCs/>
        </w:rPr>
        <w:t xml:space="preserve">some </w:t>
      </w:r>
      <w:r w:rsidR="00A04B15" w:rsidRPr="002815F4">
        <w:rPr>
          <w:rFonts w:ascii="Calibri" w:hAnsi="Calibri"/>
          <w:bCs/>
        </w:rPr>
        <w:t>licenses</w:t>
      </w:r>
      <w:r w:rsidR="00D359E8">
        <w:rPr>
          <w:rFonts w:ascii="Calibri" w:hAnsi="Calibri"/>
          <w:bCs/>
        </w:rPr>
        <w:t xml:space="preserve"> were allocated</w:t>
      </w:r>
      <w:r w:rsidR="00A04B15" w:rsidRPr="002815F4">
        <w:rPr>
          <w:rFonts w:ascii="Calibri" w:hAnsi="Calibri"/>
          <w:bCs/>
        </w:rPr>
        <w:t xml:space="preserve"> to partners they felt were not competent to carry out this work and </w:t>
      </w:r>
      <w:r w:rsidR="005C7BF6" w:rsidRPr="002815F4">
        <w:rPr>
          <w:rFonts w:ascii="Calibri" w:hAnsi="Calibri"/>
          <w:bCs/>
        </w:rPr>
        <w:t xml:space="preserve">called for allocation of licenses through </w:t>
      </w:r>
      <w:r w:rsidR="00A04B15" w:rsidRPr="002815F4">
        <w:rPr>
          <w:rFonts w:ascii="Calibri" w:hAnsi="Calibri"/>
          <w:bCs/>
        </w:rPr>
        <w:t>a system of competitive bidding</w:t>
      </w:r>
      <w:r w:rsidR="005C7BF6" w:rsidRPr="002815F4">
        <w:rPr>
          <w:rFonts w:ascii="Calibri" w:hAnsi="Calibri"/>
          <w:bCs/>
        </w:rPr>
        <w:t xml:space="preserve"> to improve efficiency</w:t>
      </w:r>
      <w:r w:rsidR="00A04B15" w:rsidRPr="002815F4">
        <w:rPr>
          <w:rFonts w:ascii="Calibri" w:hAnsi="Calibri"/>
          <w:bCs/>
        </w:rPr>
        <w:t xml:space="preserve">. </w:t>
      </w:r>
      <w:r w:rsidR="00A171EA">
        <w:rPr>
          <w:rFonts w:ascii="Calibri" w:hAnsi="Calibri"/>
          <w:bCs/>
        </w:rPr>
        <w:t>T</w:t>
      </w:r>
      <w:r w:rsidR="00A04B15" w:rsidRPr="002815F4">
        <w:rPr>
          <w:rFonts w:ascii="Calibri" w:hAnsi="Calibri"/>
          <w:bCs/>
        </w:rPr>
        <w:t>he government reiterated its commitment to improve the license allocation system</w:t>
      </w:r>
      <w:r w:rsidR="005C7BF6" w:rsidRPr="002815F4">
        <w:rPr>
          <w:rFonts w:ascii="Calibri" w:hAnsi="Calibri"/>
          <w:bCs/>
        </w:rPr>
        <w:t>, noting that regulatory texts did not clearly describe the technical and financial criteria assessed during applications</w:t>
      </w:r>
      <w:r w:rsidR="00A04B15" w:rsidRPr="002815F4">
        <w:rPr>
          <w:rFonts w:ascii="Calibri" w:hAnsi="Calibri"/>
          <w:bCs/>
        </w:rPr>
        <w:t>.</w:t>
      </w:r>
      <w:r w:rsidR="002139A8" w:rsidRPr="002815F4">
        <w:rPr>
          <w:rFonts w:ascii="Calibri" w:hAnsi="Calibri"/>
          <w:bCs/>
        </w:rPr>
        <w:t xml:space="preserve"> Representatives of </w:t>
      </w:r>
      <w:r w:rsidR="005C7BF6" w:rsidRPr="002815F4">
        <w:rPr>
          <w:rFonts w:ascii="Calibri" w:hAnsi="Calibri"/>
          <w:bCs/>
        </w:rPr>
        <w:t xml:space="preserve">the government’s </w:t>
      </w:r>
      <w:r w:rsidR="002139A8" w:rsidRPr="002815F4">
        <w:rPr>
          <w:rFonts w:ascii="Calibri" w:hAnsi="Calibri"/>
          <w:bCs/>
        </w:rPr>
        <w:t>audit</w:t>
      </w:r>
      <w:r w:rsidR="005C7BF6" w:rsidRPr="002815F4">
        <w:rPr>
          <w:rFonts w:ascii="Calibri" w:hAnsi="Calibri"/>
          <w:bCs/>
        </w:rPr>
        <w:t>or</w:t>
      </w:r>
      <w:r w:rsidR="002139A8" w:rsidRPr="002815F4">
        <w:rPr>
          <w:rFonts w:ascii="Calibri" w:hAnsi="Calibri"/>
          <w:bCs/>
        </w:rPr>
        <w:t xml:space="preserve"> noted that there had been</w:t>
      </w:r>
      <w:r w:rsidR="005B0F7A" w:rsidRPr="002815F4">
        <w:t xml:space="preserve"> several studies including the audit </w:t>
      </w:r>
      <w:r w:rsidR="005C7BF6" w:rsidRPr="002815F4">
        <w:t xml:space="preserve">by the Inspector-General of State (IGE) </w:t>
      </w:r>
      <w:r w:rsidR="005B0F7A" w:rsidRPr="002815F4">
        <w:t>of the DMG</w:t>
      </w:r>
      <w:r w:rsidR="005C7BF6" w:rsidRPr="002815F4">
        <w:t>’s</w:t>
      </w:r>
      <w:r w:rsidR="005B0F7A" w:rsidRPr="002815F4">
        <w:t xml:space="preserve"> license allocations </w:t>
      </w:r>
      <w:r w:rsidR="005C7BF6" w:rsidRPr="002815F4">
        <w:t>in</w:t>
      </w:r>
      <w:r w:rsidR="005B0F7A" w:rsidRPr="002815F4">
        <w:t xml:space="preserve"> 2012-2014 and the audit</w:t>
      </w:r>
      <w:r w:rsidR="005C7BF6" w:rsidRPr="002815F4">
        <w:t xml:space="preserve">or’s own performance audit </w:t>
      </w:r>
      <w:r w:rsidR="005B0F7A" w:rsidRPr="002815F4">
        <w:t xml:space="preserve">of </w:t>
      </w:r>
      <w:r w:rsidR="005C7BF6" w:rsidRPr="002815F4">
        <w:t xml:space="preserve">the DMG for </w:t>
      </w:r>
      <w:r w:rsidR="005B0F7A" w:rsidRPr="002815F4">
        <w:t xml:space="preserve">the 2010-2016 </w:t>
      </w:r>
      <w:r w:rsidR="005C7BF6" w:rsidRPr="002815F4">
        <w:t>period</w:t>
      </w:r>
      <w:r w:rsidR="005B0F7A" w:rsidRPr="002815F4">
        <w:t xml:space="preserve">. </w:t>
      </w:r>
      <w:r w:rsidR="002139A8" w:rsidRPr="002815F4">
        <w:rPr>
          <w:rFonts w:ascii="Calibri" w:hAnsi="Calibri"/>
          <w:bCs/>
        </w:rPr>
        <w:t xml:space="preserve">The national secretariat noted that the MSG had commissioned a study on license allocation but this was not yet available </w:t>
      </w:r>
      <w:r w:rsidR="005C7BF6" w:rsidRPr="002815F4">
        <w:rPr>
          <w:rFonts w:ascii="Calibri" w:hAnsi="Calibri"/>
          <w:bCs/>
        </w:rPr>
        <w:t>at the start of Validation</w:t>
      </w:r>
      <w:r w:rsidR="002139A8" w:rsidRPr="002815F4">
        <w:rPr>
          <w:rFonts w:ascii="Calibri" w:hAnsi="Calibri"/>
          <w:bCs/>
        </w:rPr>
        <w:t xml:space="preserve">. </w:t>
      </w:r>
    </w:p>
    <w:p w14:paraId="32B46C14" w14:textId="24B4AA18" w:rsidR="00527A4E" w:rsidRPr="002815F4" w:rsidRDefault="00527A4E" w:rsidP="007474FE">
      <w:pPr>
        <w:rPr>
          <w:rFonts w:ascii="Calibri" w:hAnsi="Calibri"/>
          <w:bCs/>
        </w:rPr>
      </w:pPr>
      <w:r w:rsidRPr="002815F4">
        <w:rPr>
          <w:rFonts w:ascii="Calibri" w:hAnsi="Calibri"/>
          <w:bCs/>
        </w:rPr>
        <w:t xml:space="preserve">Civil society </w:t>
      </w:r>
      <w:r w:rsidR="00381453">
        <w:rPr>
          <w:rFonts w:ascii="Calibri" w:hAnsi="Calibri"/>
          <w:bCs/>
        </w:rPr>
        <w:t>highlighted their use of the</w:t>
      </w:r>
      <w:r w:rsidRPr="002815F4">
        <w:rPr>
          <w:rFonts w:ascii="Calibri" w:hAnsi="Calibri"/>
          <w:bCs/>
        </w:rPr>
        <w:t xml:space="preserve"> </w:t>
      </w:r>
      <w:r w:rsidR="00A04B15" w:rsidRPr="002815F4">
        <w:rPr>
          <w:rFonts w:ascii="Calibri" w:hAnsi="Calibri"/>
          <w:bCs/>
        </w:rPr>
        <w:t>2014 EITI R</w:t>
      </w:r>
      <w:r w:rsidRPr="002815F4">
        <w:rPr>
          <w:rFonts w:ascii="Calibri" w:hAnsi="Calibri"/>
          <w:bCs/>
        </w:rPr>
        <w:t xml:space="preserve">eport to </w:t>
      </w:r>
      <w:r w:rsidR="00A04B15" w:rsidRPr="002815F4">
        <w:rPr>
          <w:rFonts w:ascii="Calibri" w:hAnsi="Calibri"/>
          <w:bCs/>
        </w:rPr>
        <w:t xml:space="preserve">build journalists’ capacity to understand </w:t>
      </w:r>
      <w:r w:rsidR="00381453">
        <w:rPr>
          <w:rFonts w:ascii="Calibri" w:hAnsi="Calibri"/>
          <w:bCs/>
        </w:rPr>
        <w:t>the licence allocation system</w:t>
      </w:r>
      <w:r w:rsidRPr="002815F4">
        <w:rPr>
          <w:rFonts w:ascii="Calibri" w:hAnsi="Calibri"/>
          <w:bCs/>
        </w:rPr>
        <w:t>. Representatives of the national assembly noted that the public debate</w:t>
      </w:r>
      <w:r w:rsidR="005C7BF6" w:rsidRPr="002815F4">
        <w:rPr>
          <w:rFonts w:ascii="Calibri" w:hAnsi="Calibri"/>
          <w:bCs/>
        </w:rPr>
        <w:t xml:space="preserve"> over transfers of oil and gas licenses (and the lack of statutory payments to the government)</w:t>
      </w:r>
      <w:r w:rsidRPr="002815F4">
        <w:rPr>
          <w:rFonts w:ascii="Calibri" w:hAnsi="Calibri"/>
          <w:bCs/>
        </w:rPr>
        <w:t xml:space="preserve"> had</w:t>
      </w:r>
      <w:r w:rsidR="002139A8" w:rsidRPr="002815F4">
        <w:rPr>
          <w:rFonts w:ascii="Calibri" w:hAnsi="Calibri"/>
          <w:bCs/>
        </w:rPr>
        <w:t xml:space="preserve"> caused further reflection on their role in license allocation</w:t>
      </w:r>
      <w:r w:rsidR="005C7BF6" w:rsidRPr="002815F4">
        <w:rPr>
          <w:rFonts w:ascii="Calibri" w:hAnsi="Calibri"/>
          <w:bCs/>
        </w:rPr>
        <w:t xml:space="preserve"> and they called for greater parliamentary oversight of license allocations and transfers.</w:t>
      </w:r>
      <w:r w:rsidR="002139A8" w:rsidRPr="002815F4">
        <w:rPr>
          <w:rFonts w:ascii="Calibri" w:hAnsi="Calibri"/>
          <w:bCs/>
        </w:rPr>
        <w:t xml:space="preserve"> </w:t>
      </w:r>
      <w:r w:rsidR="005C7BF6" w:rsidRPr="002815F4">
        <w:rPr>
          <w:rFonts w:ascii="Calibri" w:hAnsi="Calibri"/>
          <w:bCs/>
        </w:rPr>
        <w:t xml:space="preserve">A senior government official explained that Parliament had statutory oversight of the government’s activities, </w:t>
      </w:r>
      <w:r w:rsidR="00381453">
        <w:rPr>
          <w:rFonts w:ascii="Calibri" w:hAnsi="Calibri"/>
          <w:bCs/>
        </w:rPr>
        <w:t>including over</w:t>
      </w:r>
      <w:r w:rsidR="005C7BF6" w:rsidRPr="002815F4">
        <w:rPr>
          <w:rFonts w:ascii="Calibri" w:hAnsi="Calibri"/>
          <w:bCs/>
        </w:rPr>
        <w:t xml:space="preserve"> license allocations, and that performance audits had accounted for the practice of license allocations. C</w:t>
      </w:r>
      <w:r w:rsidR="002139A8" w:rsidRPr="002815F4">
        <w:rPr>
          <w:rFonts w:ascii="Calibri" w:hAnsi="Calibri"/>
          <w:bCs/>
        </w:rPr>
        <w:t xml:space="preserve">ivil society representatives </w:t>
      </w:r>
      <w:r w:rsidR="005C7BF6" w:rsidRPr="002815F4">
        <w:rPr>
          <w:rFonts w:ascii="Calibri" w:hAnsi="Calibri"/>
          <w:bCs/>
        </w:rPr>
        <w:t xml:space="preserve">called for </w:t>
      </w:r>
      <w:r w:rsidR="002139A8" w:rsidRPr="002815F4">
        <w:rPr>
          <w:rFonts w:ascii="Calibri" w:hAnsi="Calibri"/>
          <w:bCs/>
        </w:rPr>
        <w:t xml:space="preserve">greater involvement of local communities </w:t>
      </w:r>
      <w:r w:rsidR="00381453">
        <w:rPr>
          <w:rFonts w:ascii="Calibri" w:hAnsi="Calibri"/>
          <w:bCs/>
        </w:rPr>
        <w:t>in licence allocation</w:t>
      </w:r>
      <w:r w:rsidR="002139A8" w:rsidRPr="002815F4">
        <w:rPr>
          <w:rFonts w:ascii="Calibri" w:hAnsi="Calibri"/>
          <w:bCs/>
        </w:rPr>
        <w:t xml:space="preserve">. </w:t>
      </w:r>
      <w:r w:rsidR="00A47533" w:rsidRPr="002815F4">
        <w:rPr>
          <w:rFonts w:ascii="Calibri" w:hAnsi="Calibri"/>
          <w:bCs/>
        </w:rPr>
        <w:t xml:space="preserve">Parliamentarians noted that they did not have a sub-commission on the extractive sector, which was problematic in the case of litigation. </w:t>
      </w:r>
      <w:r w:rsidR="00381453">
        <w:rPr>
          <w:rFonts w:ascii="Calibri" w:hAnsi="Calibri"/>
          <w:bCs/>
        </w:rPr>
        <w:t xml:space="preserve">CSO </w:t>
      </w:r>
      <w:r w:rsidR="005C7BF6" w:rsidRPr="002815F4">
        <w:rPr>
          <w:rFonts w:ascii="Calibri" w:hAnsi="Calibri"/>
          <w:bCs/>
        </w:rPr>
        <w:t xml:space="preserve">representatives </w:t>
      </w:r>
      <w:r w:rsidR="002139A8" w:rsidRPr="002815F4">
        <w:rPr>
          <w:rFonts w:ascii="Calibri" w:hAnsi="Calibri"/>
          <w:bCs/>
        </w:rPr>
        <w:t xml:space="preserve">cited </w:t>
      </w:r>
      <w:r w:rsidR="005C7BF6" w:rsidRPr="002815F4">
        <w:rPr>
          <w:rFonts w:ascii="Calibri" w:hAnsi="Calibri"/>
          <w:bCs/>
        </w:rPr>
        <w:t xml:space="preserve">social protests around certain license allocations, such as that covering </w:t>
      </w:r>
      <w:r w:rsidR="002139A8" w:rsidRPr="002815F4">
        <w:t xml:space="preserve">zircon </w:t>
      </w:r>
      <w:r w:rsidR="005C7BF6" w:rsidRPr="002815F4">
        <w:t xml:space="preserve">development </w:t>
      </w:r>
      <w:r w:rsidR="002139A8" w:rsidRPr="002815F4">
        <w:t xml:space="preserve">in Ziguinchor, where host communities were </w:t>
      </w:r>
      <w:r w:rsidR="005C7BF6" w:rsidRPr="002815F4">
        <w:t xml:space="preserve">concerned over </w:t>
      </w:r>
      <w:r w:rsidR="002139A8" w:rsidRPr="002815F4">
        <w:t xml:space="preserve">the </w:t>
      </w:r>
      <w:r w:rsidR="005C7BF6" w:rsidRPr="002815F4">
        <w:t xml:space="preserve">environmental </w:t>
      </w:r>
      <w:r w:rsidR="002139A8" w:rsidRPr="002815F4">
        <w:t xml:space="preserve">impact. </w:t>
      </w:r>
    </w:p>
    <w:p w14:paraId="19E4DBB2" w14:textId="7D4360D5" w:rsidR="00E85CDC" w:rsidRPr="002815F4" w:rsidRDefault="002139A8" w:rsidP="00B956B8">
      <w:pPr>
        <w:spacing w:before="120"/>
        <w:rPr>
          <w:rFonts w:ascii="Calibri" w:hAnsi="Calibri"/>
          <w:bCs/>
        </w:rPr>
      </w:pPr>
      <w:r w:rsidRPr="002815F4">
        <w:rPr>
          <w:rFonts w:ascii="Calibri" w:hAnsi="Calibri"/>
          <w:bCs/>
        </w:rPr>
        <w:t xml:space="preserve">Companies, government and civil society noted that </w:t>
      </w:r>
      <w:r w:rsidR="005C7BF6" w:rsidRPr="002815F4">
        <w:rPr>
          <w:rFonts w:ascii="Calibri" w:hAnsi="Calibri"/>
          <w:bCs/>
        </w:rPr>
        <w:t xml:space="preserve">no mining, oil and gas license had been awarded through </w:t>
      </w:r>
      <w:r w:rsidRPr="002815F4">
        <w:rPr>
          <w:rFonts w:ascii="Calibri" w:hAnsi="Calibri"/>
          <w:bCs/>
        </w:rPr>
        <w:t>competitive bidding in 2014.</w:t>
      </w:r>
      <w:r w:rsidR="005C7BF6" w:rsidRPr="002815F4">
        <w:rPr>
          <w:rFonts w:ascii="Calibri" w:hAnsi="Calibri"/>
          <w:bCs/>
        </w:rPr>
        <w:t xml:space="preserve"> </w:t>
      </w:r>
    </w:p>
    <w:p w14:paraId="5BE659C1" w14:textId="5BFB0938" w:rsidR="001E68AF" w:rsidRPr="002815F4" w:rsidRDefault="00F425D1" w:rsidP="009B3E66">
      <w:pPr>
        <w:pStyle w:val="Heading3"/>
      </w:pPr>
      <w:bookmarkStart w:id="154" w:name="_Toc459133102"/>
      <w:bookmarkStart w:id="155" w:name="_Toc461803051"/>
      <w:r w:rsidRPr="002815F4">
        <w:t>Initial assessment</w:t>
      </w:r>
      <w:bookmarkEnd w:id="154"/>
      <w:bookmarkEnd w:id="155"/>
    </w:p>
    <w:p w14:paraId="602165CD" w14:textId="6ADB298E" w:rsidR="00C015BE" w:rsidRPr="002815F4" w:rsidRDefault="00F425D1" w:rsidP="007D0428">
      <w:pPr>
        <w:spacing w:before="120"/>
        <w:rPr>
          <w:rFonts w:ascii="Calibri" w:hAnsi="Calibri"/>
          <w:color w:val="000000" w:themeColor="text1"/>
          <w:lang w:eastAsia="x-none"/>
        </w:rPr>
      </w:pPr>
      <w:r w:rsidRPr="002815F4">
        <w:rPr>
          <w:rFonts w:ascii="Calibri" w:hAnsi="Calibri"/>
          <w:color w:val="000000" w:themeColor="text1"/>
          <w:lang w:eastAsia="x-none"/>
        </w:rPr>
        <w:t xml:space="preserve">The International Secretariat’s initial assessment is that </w:t>
      </w:r>
      <w:r w:rsidR="003C43F5" w:rsidRPr="002815F4">
        <w:rPr>
          <w:rFonts w:ascii="Calibri" w:hAnsi="Calibri"/>
          <w:bCs/>
        </w:rPr>
        <w:t>Senegal</w:t>
      </w:r>
      <w:r w:rsidR="003C43F5" w:rsidRPr="002815F4">
        <w:rPr>
          <w:rFonts w:ascii="Calibri" w:hAnsi="Calibri"/>
          <w:color w:val="000000" w:themeColor="text1"/>
          <w:lang w:eastAsia="x-none"/>
        </w:rPr>
        <w:t xml:space="preserve"> </w:t>
      </w:r>
      <w:r w:rsidRPr="002815F4">
        <w:rPr>
          <w:rFonts w:ascii="Calibri" w:hAnsi="Calibri"/>
          <w:color w:val="000000" w:themeColor="text1"/>
          <w:lang w:eastAsia="x-none"/>
        </w:rPr>
        <w:t xml:space="preserve">has made </w:t>
      </w:r>
      <w:r w:rsidR="00B52833">
        <w:rPr>
          <w:rFonts w:ascii="Calibri" w:hAnsi="Calibri"/>
          <w:color w:val="000000" w:themeColor="text1"/>
          <w:lang w:eastAsia="x-none"/>
        </w:rPr>
        <w:t>satisfactory</w:t>
      </w:r>
      <w:r w:rsidR="00B52833" w:rsidRPr="002815F4">
        <w:rPr>
          <w:rFonts w:ascii="Calibri" w:hAnsi="Calibri"/>
          <w:b/>
          <w:bCs/>
        </w:rPr>
        <w:t xml:space="preserve"> </w:t>
      </w:r>
      <w:r w:rsidRPr="002815F4">
        <w:rPr>
          <w:rFonts w:ascii="Calibri" w:hAnsi="Calibri"/>
          <w:color w:val="000000" w:themeColor="text1"/>
          <w:lang w:eastAsia="x-none"/>
        </w:rPr>
        <w:t xml:space="preserve">progress towards </w:t>
      </w:r>
      <w:r w:rsidRPr="002815F4">
        <w:rPr>
          <w:rFonts w:ascii="Calibri" w:hAnsi="Calibri"/>
          <w:color w:val="000000" w:themeColor="text1"/>
          <w:lang w:eastAsia="x-none"/>
        </w:rPr>
        <w:lastRenderedPageBreak/>
        <w:t xml:space="preserve">meeting this requirement. </w:t>
      </w:r>
      <w:commentRangeStart w:id="156"/>
      <w:r w:rsidR="00B956B8" w:rsidRPr="002815F4">
        <w:rPr>
          <w:rFonts w:ascii="Calibri" w:hAnsi="Calibri"/>
          <w:color w:val="000000" w:themeColor="text1"/>
          <w:lang w:eastAsia="x-none"/>
        </w:rPr>
        <w:t>T</w:t>
      </w:r>
      <w:r w:rsidR="003C43F5" w:rsidRPr="002815F4">
        <w:rPr>
          <w:rFonts w:ascii="Calibri" w:hAnsi="Calibri"/>
          <w:color w:val="000000" w:themeColor="text1"/>
          <w:lang w:eastAsia="x-none"/>
        </w:rPr>
        <w:t>he</w:t>
      </w:r>
      <w:commentRangeEnd w:id="156"/>
      <w:r w:rsidR="00594087">
        <w:rPr>
          <w:rStyle w:val="CommentReference"/>
          <w:szCs w:val="20"/>
        </w:rPr>
        <w:commentReference w:id="156"/>
      </w:r>
      <w:r w:rsidR="003C43F5" w:rsidRPr="002815F4">
        <w:rPr>
          <w:rFonts w:ascii="Calibri" w:hAnsi="Calibri"/>
          <w:color w:val="000000" w:themeColor="text1"/>
          <w:lang w:eastAsia="x-none"/>
        </w:rPr>
        <w:t xml:space="preserve"> 2014 EITI Report highlights the mining, oil and gas licenses awarded and transferred in 2014 and describes the general statutory procedures for awarding and transferring such licenses, </w:t>
      </w:r>
      <w:r w:rsidR="00B956B8" w:rsidRPr="002815F4">
        <w:rPr>
          <w:rFonts w:ascii="Calibri" w:hAnsi="Calibri"/>
          <w:color w:val="000000" w:themeColor="text1"/>
          <w:lang w:eastAsia="x-none"/>
        </w:rPr>
        <w:t>which is vague in terms of the specific technical and financial criteria assessed. I</w:t>
      </w:r>
      <w:r w:rsidR="003C43F5" w:rsidRPr="002815F4">
        <w:rPr>
          <w:rFonts w:ascii="Calibri" w:hAnsi="Calibri"/>
          <w:color w:val="000000" w:themeColor="text1"/>
          <w:lang w:eastAsia="x-none"/>
        </w:rPr>
        <w:t xml:space="preserve">t </w:t>
      </w:r>
      <w:r w:rsidR="00B956B8" w:rsidRPr="002815F4">
        <w:rPr>
          <w:rFonts w:ascii="Calibri" w:hAnsi="Calibri"/>
          <w:color w:val="000000" w:themeColor="text1"/>
          <w:lang w:eastAsia="x-none"/>
        </w:rPr>
        <w:t xml:space="preserve">provides a description of </w:t>
      </w:r>
      <w:r w:rsidR="003C43F5" w:rsidRPr="002815F4">
        <w:rPr>
          <w:rFonts w:ascii="Calibri" w:hAnsi="Calibri"/>
          <w:color w:val="000000" w:themeColor="text1"/>
          <w:lang w:eastAsia="x-none"/>
        </w:rPr>
        <w:t xml:space="preserve">the </w:t>
      </w:r>
      <w:r w:rsidR="00B956B8" w:rsidRPr="002815F4">
        <w:rPr>
          <w:rFonts w:ascii="Calibri" w:hAnsi="Calibri"/>
          <w:color w:val="000000" w:themeColor="text1"/>
          <w:lang w:eastAsia="x-none"/>
        </w:rPr>
        <w:t xml:space="preserve">actual procedures followed for awarding and transferring the licenses in 2014, including some </w:t>
      </w:r>
      <w:r w:rsidR="003C43F5" w:rsidRPr="002815F4">
        <w:rPr>
          <w:rFonts w:ascii="Calibri" w:hAnsi="Calibri"/>
          <w:color w:val="000000" w:themeColor="text1"/>
          <w:lang w:eastAsia="x-none"/>
        </w:rPr>
        <w:t>technical and financial criteria assessed</w:t>
      </w:r>
      <w:r w:rsidR="00B956B8" w:rsidRPr="002815F4">
        <w:rPr>
          <w:rFonts w:ascii="Calibri" w:hAnsi="Calibri"/>
          <w:color w:val="000000" w:themeColor="text1"/>
          <w:lang w:eastAsia="x-none"/>
        </w:rPr>
        <w:t>.</w:t>
      </w:r>
      <w:r w:rsidR="003C43F5" w:rsidRPr="002815F4">
        <w:rPr>
          <w:rFonts w:ascii="Calibri" w:hAnsi="Calibri"/>
          <w:color w:val="000000" w:themeColor="text1"/>
          <w:lang w:eastAsia="x-none"/>
        </w:rPr>
        <w:t xml:space="preserve"> </w:t>
      </w:r>
      <w:r w:rsidR="00B956B8" w:rsidRPr="002815F4">
        <w:rPr>
          <w:rFonts w:ascii="Calibri" w:hAnsi="Calibri"/>
          <w:color w:val="000000" w:themeColor="text1"/>
          <w:lang w:eastAsia="x-none"/>
        </w:rPr>
        <w:t xml:space="preserve">Given the lack of specificity in the regulations, the IA considers that the transfer of oil and gas licenses was in line with statutory procedures. The descriptions provided of the mining license awards in 2014 appear in line with statutory procedures, even if this is not explicitly stated in the 2014 EITI Report. </w:t>
      </w:r>
      <w:r w:rsidR="00480E3A">
        <w:rPr>
          <w:rFonts w:ascii="Calibri" w:hAnsi="Calibri"/>
          <w:color w:val="000000" w:themeColor="text1"/>
          <w:lang w:eastAsia="x-none"/>
        </w:rPr>
        <w:t xml:space="preserve">However, the 2014 EITI Report does not comment on any non-trivial deviations in the award of 14 artisanal mining licenses and 21 quarrying licenses awarded in 2014. </w:t>
      </w:r>
      <w:r w:rsidR="00C23B05" w:rsidRPr="002815F4">
        <w:rPr>
          <w:rFonts w:ascii="Calibri" w:hAnsi="Calibri"/>
          <w:color w:val="000000" w:themeColor="text1"/>
          <w:lang w:eastAsia="x-none"/>
        </w:rPr>
        <w:t>The MSG has contracted a dedicated study into mining, oil and gas license allocations and transfers in the 2014-16 period</w:t>
      </w:r>
      <w:r w:rsidR="00F86CDA" w:rsidRPr="002815F4">
        <w:rPr>
          <w:rFonts w:ascii="Calibri" w:hAnsi="Calibri"/>
          <w:color w:val="000000" w:themeColor="text1"/>
          <w:lang w:eastAsia="x-none"/>
        </w:rPr>
        <w:t xml:space="preserve"> to support concrete policy reform proposals</w:t>
      </w:r>
      <w:r w:rsidR="00C23B05" w:rsidRPr="002815F4">
        <w:rPr>
          <w:rFonts w:ascii="Calibri" w:hAnsi="Calibri"/>
          <w:color w:val="000000" w:themeColor="text1"/>
          <w:lang w:eastAsia="x-none"/>
        </w:rPr>
        <w:t xml:space="preserve">, which it expects to publish in the final quarter of 2017. </w:t>
      </w:r>
    </w:p>
    <w:p w14:paraId="235903A9" w14:textId="3CD80304" w:rsidR="00B956B8" w:rsidRPr="002815F4" w:rsidRDefault="00E72A69" w:rsidP="007474FE">
      <w:r>
        <w:t>To further strengthen implementation</w:t>
      </w:r>
      <w:r w:rsidR="00C015BE" w:rsidRPr="002815F4">
        <w:t xml:space="preserve">, the MSG </w:t>
      </w:r>
      <w:r>
        <w:t>is encouraged to</w:t>
      </w:r>
      <w:r w:rsidRPr="002815F4">
        <w:t xml:space="preserve"> </w:t>
      </w:r>
      <w:r>
        <w:t xml:space="preserve">highlight </w:t>
      </w:r>
      <w:r w:rsidR="00815680" w:rsidRPr="002815F4">
        <w:t>any non-trivial deviations from the applicable legal and regulatory framework governing license transfers and awards</w:t>
      </w:r>
      <w:r>
        <w:t xml:space="preserve"> </w:t>
      </w:r>
      <w:r w:rsidRPr="002815F4">
        <w:t>in the allocation of licenses in the oil, gas and mining sectors</w:t>
      </w:r>
      <w:r>
        <w:t xml:space="preserve"> in the year(s) under review</w:t>
      </w:r>
      <w:r w:rsidR="00815680" w:rsidRPr="002815F4">
        <w:t xml:space="preserve">. The government is encouraged to continue its efforts to standardize the technical and financial criteria for the allocation of licenses. </w:t>
      </w:r>
    </w:p>
    <w:p w14:paraId="6BE69D43" w14:textId="28554F70" w:rsidR="00F425D1" w:rsidRPr="002815F4" w:rsidRDefault="00F425D1" w:rsidP="009B3E66">
      <w:pPr>
        <w:pStyle w:val="Heading2"/>
      </w:pPr>
      <w:bookmarkStart w:id="157" w:name="_Toc459133103"/>
      <w:bookmarkStart w:id="158" w:name="_Toc461803052"/>
      <w:bookmarkStart w:id="159" w:name="_Toc461787327"/>
      <w:bookmarkStart w:id="160" w:name="_Toc461795839"/>
      <w:r w:rsidRPr="002815F4">
        <w:t>License registers (#2.3)</w:t>
      </w:r>
      <w:bookmarkEnd w:id="157"/>
      <w:bookmarkEnd w:id="158"/>
      <w:bookmarkEnd w:id="159"/>
      <w:bookmarkEnd w:id="160"/>
    </w:p>
    <w:p w14:paraId="11D7194F" w14:textId="77777777" w:rsidR="0017680B" w:rsidRPr="002815F4" w:rsidRDefault="00F425D1" w:rsidP="009B3E66">
      <w:pPr>
        <w:pStyle w:val="Heading3"/>
      </w:pPr>
      <w:r w:rsidRPr="002815F4">
        <w:t>Documentation of progress</w:t>
      </w:r>
    </w:p>
    <w:p w14:paraId="34D56B73" w14:textId="22E8E3B6" w:rsidR="00F425D1" w:rsidRPr="002815F4" w:rsidRDefault="00F425D1" w:rsidP="00151988">
      <w:pPr>
        <w:spacing w:before="120"/>
        <w:rPr>
          <w:rFonts w:ascii="Calibri" w:hAnsi="Calibri"/>
          <w:bCs/>
        </w:rPr>
      </w:pPr>
      <w:r w:rsidRPr="002815F4">
        <w:rPr>
          <w:rFonts w:ascii="Calibri" w:hAnsi="Calibri"/>
          <w:i/>
          <w:u w:val="single"/>
        </w:rPr>
        <w:t>Licenses held by material companies</w:t>
      </w:r>
      <w:r w:rsidRPr="002815F4">
        <w:rPr>
          <w:rFonts w:ascii="Calibri" w:hAnsi="Calibri"/>
        </w:rPr>
        <w:t xml:space="preserve">: </w:t>
      </w:r>
      <w:r w:rsidR="00393D4D" w:rsidRPr="002815F4">
        <w:rPr>
          <w:rFonts w:ascii="Calibri" w:hAnsi="Calibri"/>
        </w:rPr>
        <w:t>The 2014 EITI Report provides information on all licenses active in 2014 in mining (</w:t>
      </w:r>
      <w:r w:rsidR="00EA4190" w:rsidRPr="002815F4">
        <w:rPr>
          <w:rFonts w:ascii="Calibri" w:hAnsi="Calibri"/>
        </w:rPr>
        <w:t>2014 EITI Report, pp.137-145</w:t>
      </w:r>
      <w:r w:rsidR="00393D4D" w:rsidRPr="002815F4">
        <w:rPr>
          <w:rFonts w:ascii="Calibri" w:hAnsi="Calibri"/>
        </w:rPr>
        <w:t>), quarrying (</w:t>
      </w:r>
      <w:r w:rsidR="00EA4190" w:rsidRPr="002815F4">
        <w:rPr>
          <w:rFonts w:ascii="Calibri" w:hAnsi="Calibri"/>
        </w:rPr>
        <w:t>2014 EITI Report, pp.146-149</w:t>
      </w:r>
      <w:r w:rsidR="00393D4D" w:rsidRPr="002815F4">
        <w:rPr>
          <w:rFonts w:ascii="Calibri" w:hAnsi="Calibri"/>
        </w:rPr>
        <w:t>)</w:t>
      </w:r>
      <w:r w:rsidR="00EA4190" w:rsidRPr="002815F4">
        <w:rPr>
          <w:rFonts w:ascii="Calibri" w:hAnsi="Calibri"/>
        </w:rPr>
        <w:t xml:space="preserve"> and oil and gas (2014 EITI Report, pp.132-136), including all licenses held by material companies. </w:t>
      </w:r>
    </w:p>
    <w:p w14:paraId="7A87E1A8" w14:textId="228B09C8" w:rsidR="00F425D1" w:rsidRPr="002815F4" w:rsidRDefault="00F425D1" w:rsidP="00F425D1">
      <w:pPr>
        <w:spacing w:before="120"/>
        <w:rPr>
          <w:rFonts w:ascii="Calibri" w:hAnsi="Calibri"/>
          <w:bCs/>
        </w:rPr>
      </w:pPr>
      <w:r w:rsidRPr="002815F4">
        <w:rPr>
          <w:rFonts w:ascii="Calibri" w:hAnsi="Calibri"/>
          <w:i/>
          <w:u w:val="single"/>
        </w:rPr>
        <w:t>License-holder names</w:t>
      </w:r>
      <w:r w:rsidRPr="002815F4">
        <w:rPr>
          <w:rFonts w:ascii="Calibri" w:hAnsi="Calibri"/>
        </w:rPr>
        <w:t xml:space="preserve">: </w:t>
      </w:r>
      <w:r w:rsidR="004A731E" w:rsidRPr="002815F4">
        <w:rPr>
          <w:rFonts w:ascii="Calibri" w:hAnsi="Calibri"/>
        </w:rPr>
        <w:t xml:space="preserve">Annexes </w:t>
      </w:r>
      <w:r w:rsidR="00853CFE" w:rsidRPr="002815F4">
        <w:rPr>
          <w:rFonts w:ascii="Calibri" w:hAnsi="Calibri"/>
        </w:rPr>
        <w:t xml:space="preserve">13-15 provide the names of companies holding all active mining, quarrying, oil and gas licenses in 2014 (2014 EITI Report, pp.132-149). </w:t>
      </w:r>
    </w:p>
    <w:p w14:paraId="49E8E3CA" w14:textId="4E2B1185" w:rsidR="00F425D1" w:rsidRPr="002815F4" w:rsidRDefault="00F425D1" w:rsidP="00F425D1">
      <w:pPr>
        <w:spacing w:before="120"/>
        <w:rPr>
          <w:rFonts w:ascii="Calibri" w:hAnsi="Calibri"/>
          <w:color w:val="000000" w:themeColor="text1"/>
        </w:rPr>
      </w:pPr>
      <w:r w:rsidRPr="002815F4">
        <w:rPr>
          <w:rFonts w:ascii="Calibri" w:hAnsi="Calibri"/>
          <w:i/>
          <w:color w:val="000000" w:themeColor="text1"/>
          <w:u w:val="single"/>
        </w:rPr>
        <w:t>License coordinates</w:t>
      </w:r>
      <w:r w:rsidRPr="002815F4">
        <w:rPr>
          <w:rFonts w:ascii="Calibri" w:hAnsi="Calibri"/>
          <w:color w:val="000000" w:themeColor="text1"/>
        </w:rPr>
        <w:t xml:space="preserve">: </w:t>
      </w:r>
      <w:r w:rsidR="00947145" w:rsidRPr="002815F4">
        <w:rPr>
          <w:rFonts w:ascii="Calibri" w:hAnsi="Calibri"/>
          <w:color w:val="000000" w:themeColor="text1"/>
        </w:rPr>
        <w:t xml:space="preserve">For mining, the 2014 EITI Report provides guidance and specific links to individual decrees approving all mining production licenses active in 2014, confirming that license coordinates are included in each decree (2014 EITI Report, pp.31-32). However, </w:t>
      </w:r>
      <w:r w:rsidR="00824034" w:rsidRPr="002815F4">
        <w:rPr>
          <w:rFonts w:ascii="Calibri" w:hAnsi="Calibri"/>
          <w:color w:val="000000" w:themeColor="text1"/>
        </w:rPr>
        <w:t xml:space="preserve">while </w:t>
      </w:r>
      <w:r w:rsidR="00947145" w:rsidRPr="002815F4">
        <w:rPr>
          <w:rFonts w:ascii="Calibri" w:hAnsi="Calibri"/>
          <w:color w:val="000000" w:themeColor="text1"/>
        </w:rPr>
        <w:t>the report</w:t>
      </w:r>
      <w:r w:rsidR="0038088B" w:rsidRPr="002815F4">
        <w:rPr>
          <w:rFonts w:ascii="Calibri" w:hAnsi="Calibri"/>
          <w:color w:val="000000" w:themeColor="text1"/>
        </w:rPr>
        <w:t xml:space="preserve"> does not provide </w:t>
      </w:r>
      <w:r w:rsidR="00824034" w:rsidRPr="002815F4">
        <w:rPr>
          <w:rFonts w:ascii="Calibri" w:hAnsi="Calibri"/>
          <w:color w:val="000000" w:themeColor="text1"/>
        </w:rPr>
        <w:t xml:space="preserve">the </w:t>
      </w:r>
      <w:r w:rsidR="0038088B" w:rsidRPr="002815F4">
        <w:rPr>
          <w:rFonts w:ascii="Calibri" w:hAnsi="Calibri"/>
          <w:color w:val="000000" w:themeColor="text1"/>
        </w:rPr>
        <w:t xml:space="preserve">coordinates of mining exploration and quarrying licenses, </w:t>
      </w:r>
      <w:r w:rsidR="00824034" w:rsidRPr="002815F4">
        <w:rPr>
          <w:rFonts w:ascii="Calibri" w:hAnsi="Calibri"/>
          <w:color w:val="000000" w:themeColor="text1"/>
        </w:rPr>
        <w:t xml:space="preserve">it provides guidance to readers on accessing </w:t>
      </w:r>
      <w:r w:rsidR="006D35DD" w:rsidRPr="002815F4">
        <w:rPr>
          <w:rFonts w:ascii="Calibri" w:hAnsi="Calibri"/>
          <w:color w:val="000000" w:themeColor="text1"/>
        </w:rPr>
        <w:t xml:space="preserve">these </w:t>
      </w:r>
      <w:r w:rsidR="00824034" w:rsidRPr="002815F4">
        <w:rPr>
          <w:rFonts w:ascii="Calibri" w:hAnsi="Calibri"/>
          <w:color w:val="000000" w:themeColor="text1"/>
        </w:rPr>
        <w:t xml:space="preserve">coordinates by stating that all decrees granting licenses since 2001 are available on the official gazette (Journal official) website, while those passed prior to 2001 are available from the Secretary General to the Government of the national printer, for a minor fee </w:t>
      </w:r>
      <w:r w:rsidR="0051209C" w:rsidRPr="002815F4">
        <w:rPr>
          <w:rFonts w:ascii="Calibri" w:hAnsi="Calibri"/>
          <w:color w:val="000000" w:themeColor="text1"/>
        </w:rPr>
        <w:t>covering the cost of</w:t>
      </w:r>
      <w:r w:rsidR="00824034" w:rsidRPr="002815F4">
        <w:rPr>
          <w:rFonts w:ascii="Calibri" w:hAnsi="Calibri"/>
          <w:color w:val="000000" w:themeColor="text1"/>
        </w:rPr>
        <w:t xml:space="preserve"> printing the specific edition of the official gazette (2014 EITI Report, p.30). The report also provides</w:t>
      </w:r>
      <w:r w:rsidR="0038088B" w:rsidRPr="002815F4">
        <w:rPr>
          <w:rFonts w:ascii="Calibri" w:hAnsi="Calibri"/>
          <w:color w:val="000000" w:themeColor="text1"/>
        </w:rPr>
        <w:t xml:space="preserve"> a link to the Mining and Geology Department’s static map of active mining licenses (with a definition of up to 1km) (2014 EITI Report, pp.</w:t>
      </w:r>
      <w:r w:rsidR="00824034" w:rsidRPr="002815F4">
        <w:rPr>
          <w:rFonts w:ascii="Calibri" w:hAnsi="Calibri"/>
          <w:color w:val="000000" w:themeColor="text1"/>
        </w:rPr>
        <w:t>30,145,</w:t>
      </w:r>
      <w:r w:rsidR="0038088B" w:rsidRPr="002815F4">
        <w:rPr>
          <w:rFonts w:ascii="Calibri" w:hAnsi="Calibri"/>
          <w:color w:val="000000" w:themeColor="text1"/>
        </w:rPr>
        <w:t xml:space="preserve">149). </w:t>
      </w:r>
      <w:r w:rsidR="00824034" w:rsidRPr="002815F4">
        <w:rPr>
          <w:rFonts w:ascii="Calibri" w:hAnsi="Calibri"/>
          <w:color w:val="000000" w:themeColor="text1"/>
        </w:rPr>
        <w:t xml:space="preserve">For oil and gas, Annex 13 provides the coordinates for seven oil and gas licenses and specific links to the decrees approving the other eight oil and gas licenses active in 2014 (2014 EITI Report, pp.132-136). </w:t>
      </w:r>
    </w:p>
    <w:p w14:paraId="06779CAB" w14:textId="6B300DD2" w:rsidR="00F425D1" w:rsidRPr="002815F4" w:rsidRDefault="00F425D1" w:rsidP="00F425D1">
      <w:pPr>
        <w:spacing w:before="120"/>
        <w:rPr>
          <w:rFonts w:ascii="Calibri" w:hAnsi="Calibri"/>
          <w:bCs/>
        </w:rPr>
      </w:pPr>
      <w:r w:rsidRPr="002815F4">
        <w:rPr>
          <w:rFonts w:ascii="Calibri" w:hAnsi="Calibri"/>
          <w:i/>
          <w:u w:val="single"/>
        </w:rPr>
        <w:t>Dates</w:t>
      </w:r>
      <w:r w:rsidRPr="002815F4">
        <w:rPr>
          <w:rFonts w:ascii="Calibri" w:hAnsi="Calibri"/>
        </w:rPr>
        <w:t xml:space="preserve">: </w:t>
      </w:r>
      <w:r w:rsidR="00CE478F" w:rsidRPr="002815F4">
        <w:rPr>
          <w:rFonts w:ascii="Calibri" w:hAnsi="Calibri"/>
        </w:rPr>
        <w:t xml:space="preserve">For oil and gas, Annex 13 provides the dates of application, award and expiry for all 15 licenses active in 2014 (2014 EITI Report, pp.132-136). For mining, </w:t>
      </w:r>
      <w:r w:rsidR="00D94F3D" w:rsidRPr="002815F4">
        <w:rPr>
          <w:rFonts w:ascii="Calibri" w:hAnsi="Calibri"/>
        </w:rPr>
        <w:t>Annex 14 provides the dates of application, award</w:t>
      </w:r>
      <w:r w:rsidR="00E85577" w:rsidRPr="002815F4">
        <w:rPr>
          <w:rFonts w:ascii="Calibri" w:hAnsi="Calibri"/>
        </w:rPr>
        <w:t xml:space="preserve"> and expiry for all 164 mining licenses active in 2014 (2014 EITI Report, pp.137-145). </w:t>
      </w:r>
      <w:r w:rsidR="006F1DF7" w:rsidRPr="002815F4">
        <w:rPr>
          <w:rFonts w:ascii="Calibri" w:hAnsi="Calibri"/>
        </w:rPr>
        <w:t>T</w:t>
      </w:r>
      <w:r w:rsidR="00E85577" w:rsidRPr="002815F4">
        <w:rPr>
          <w:rFonts w:ascii="Calibri" w:hAnsi="Calibri"/>
        </w:rPr>
        <w:t>he date of expiry is missing for one mining exploration license (A02472)</w:t>
      </w:r>
      <w:r w:rsidR="00CE478F" w:rsidRPr="002815F4">
        <w:rPr>
          <w:rFonts w:ascii="Calibri" w:hAnsi="Calibri"/>
        </w:rPr>
        <w:t xml:space="preserve">, awarded on 10 February 2014 to the </w:t>
      </w:r>
      <w:r w:rsidR="00CE478F" w:rsidRPr="002815F4">
        <w:rPr>
          <w:rFonts w:ascii="Calibri" w:hAnsi="Calibri"/>
        </w:rPr>
        <w:lastRenderedPageBreak/>
        <w:t>Government of Senegal as a “artisanal mining corridor”</w:t>
      </w:r>
      <w:r w:rsidR="00E85577" w:rsidRPr="002815F4">
        <w:rPr>
          <w:rFonts w:ascii="Calibri" w:hAnsi="Calibri"/>
        </w:rPr>
        <w:t xml:space="preserve">. </w:t>
      </w:r>
      <w:r w:rsidR="002175D8" w:rsidRPr="002815F4">
        <w:rPr>
          <w:rFonts w:ascii="Calibri" w:hAnsi="Calibri"/>
        </w:rPr>
        <w:t xml:space="preserve">Annex 15 provides the dates of application for all 89 quarrying licenses active in 2014, but only provides dates of award for 88 licenses and the dates of expiry for 83 licenses, out of 89 quarrying licenses active in 2014 (2014 EITI Report, pp.146-149). However, for five of the six missing dates of expiry, the report highlights challenges in securing this information by noting that the dates of expiry for these </w:t>
      </w:r>
      <w:r w:rsidR="00987C8C" w:rsidRPr="002815F4">
        <w:rPr>
          <w:rFonts w:ascii="Calibri" w:hAnsi="Calibri"/>
        </w:rPr>
        <w:t xml:space="preserve">five quarrying </w:t>
      </w:r>
      <w:r w:rsidR="002175D8" w:rsidRPr="002815F4">
        <w:rPr>
          <w:rFonts w:ascii="Calibri" w:hAnsi="Calibri"/>
        </w:rPr>
        <w:t xml:space="preserve">licenses was not specified in the Circular (Arrêté) awarding </w:t>
      </w:r>
      <w:r w:rsidR="00987C8C" w:rsidRPr="002815F4">
        <w:rPr>
          <w:rFonts w:ascii="Calibri" w:hAnsi="Calibri"/>
        </w:rPr>
        <w:t xml:space="preserve">them </w:t>
      </w:r>
      <w:r w:rsidR="002175D8" w:rsidRPr="002815F4">
        <w:rPr>
          <w:rFonts w:ascii="Calibri" w:hAnsi="Calibri"/>
        </w:rPr>
        <w:t xml:space="preserve">(2014 EITI Report, pp.148-149). </w:t>
      </w:r>
      <w:r w:rsidR="00CE478F" w:rsidRPr="002815F4">
        <w:rPr>
          <w:rFonts w:ascii="Calibri" w:hAnsi="Calibri"/>
        </w:rPr>
        <w:t>None of the six licenses for which dates are missing are held by material companies</w:t>
      </w:r>
      <w:r w:rsidR="00CE478F" w:rsidRPr="002815F4">
        <w:rPr>
          <w:rStyle w:val="FootnoteReference"/>
          <w:rFonts w:ascii="Calibri" w:hAnsi="Calibri"/>
        </w:rPr>
        <w:footnoteReference w:id="36"/>
      </w:r>
      <w:r w:rsidR="00CE478F" w:rsidRPr="002815F4">
        <w:rPr>
          <w:rFonts w:ascii="Calibri" w:hAnsi="Calibri"/>
        </w:rPr>
        <w:t xml:space="preserve">, meaning that the 2014 EITI Report provides all necessary dates for all licenses held by material companies. </w:t>
      </w:r>
    </w:p>
    <w:p w14:paraId="35C20F42" w14:textId="031DF45A" w:rsidR="00F425D1" w:rsidRPr="002815F4" w:rsidRDefault="00F425D1" w:rsidP="00F425D1">
      <w:pPr>
        <w:spacing w:before="120"/>
        <w:rPr>
          <w:rFonts w:ascii="Calibri" w:hAnsi="Calibri"/>
          <w:bCs/>
        </w:rPr>
      </w:pPr>
      <w:r w:rsidRPr="002815F4">
        <w:rPr>
          <w:rFonts w:ascii="Calibri" w:hAnsi="Calibri"/>
          <w:i/>
          <w:u w:val="single"/>
        </w:rPr>
        <w:t>Commodity</w:t>
      </w:r>
      <w:r w:rsidRPr="002815F4">
        <w:rPr>
          <w:rFonts w:ascii="Calibri" w:hAnsi="Calibri"/>
        </w:rPr>
        <w:t xml:space="preserve">: </w:t>
      </w:r>
      <w:r w:rsidR="00987C8C" w:rsidRPr="002815F4">
        <w:rPr>
          <w:rFonts w:ascii="Calibri" w:hAnsi="Calibri"/>
        </w:rPr>
        <w:t xml:space="preserve">The 2014 EITI Report confirms the commodity covered by licenses in mining (2014 EITI Report, pp.137-145) and quarrying (2014 EITI Report, pp.146-149). While the information on oil and gas licenses in Annex 13 does not explicitly state that these licenses cover both crude oil and natural gas (2014 EITI Report, pp.132-136), the description of the four types of licenses earlier in the report confirms that they cover hydrocarbons, i.e. both oil and gas (2014 EITI Report, pp.43-45). </w:t>
      </w:r>
    </w:p>
    <w:p w14:paraId="1B2683E6" w14:textId="745956E5" w:rsidR="00A379D8" w:rsidRPr="002815F4" w:rsidRDefault="00F425D1" w:rsidP="00A961ED">
      <w:pPr>
        <w:spacing w:before="120"/>
        <w:rPr>
          <w:rFonts w:ascii="Calibri" w:hAnsi="Calibri"/>
          <w:bCs/>
        </w:rPr>
      </w:pPr>
      <w:r w:rsidRPr="002815F4">
        <w:rPr>
          <w:rFonts w:ascii="Calibri" w:hAnsi="Calibri"/>
          <w:i/>
          <w:u w:val="single"/>
        </w:rPr>
        <w:t>Licenses held by non-material companies:</w:t>
      </w:r>
      <w:r w:rsidRPr="002815F4">
        <w:rPr>
          <w:rFonts w:ascii="Calibri" w:hAnsi="Calibri"/>
        </w:rPr>
        <w:t xml:space="preserve"> </w:t>
      </w:r>
      <w:r w:rsidR="00947145" w:rsidRPr="002815F4">
        <w:rPr>
          <w:rFonts w:ascii="Calibri" w:hAnsi="Calibri"/>
        </w:rPr>
        <w:t>A</w:t>
      </w:r>
      <w:r w:rsidR="00372AF6" w:rsidRPr="002815F4">
        <w:rPr>
          <w:rFonts w:ascii="Calibri" w:hAnsi="Calibri"/>
        </w:rPr>
        <w:t>s noted above, the 2014 EITI Report provides information on all licenses active in 2014 in mining</w:t>
      </w:r>
      <w:r w:rsidR="0077624D" w:rsidRPr="002815F4">
        <w:rPr>
          <w:rFonts w:ascii="Calibri" w:hAnsi="Calibri"/>
        </w:rPr>
        <w:t xml:space="preserve"> (2014 EITI Report, pp.137-145)</w:t>
      </w:r>
      <w:r w:rsidR="00372AF6" w:rsidRPr="002815F4">
        <w:rPr>
          <w:rFonts w:ascii="Calibri" w:hAnsi="Calibri"/>
        </w:rPr>
        <w:t xml:space="preserve"> and </w:t>
      </w:r>
      <w:r w:rsidR="0077624D" w:rsidRPr="002815F4">
        <w:rPr>
          <w:rFonts w:ascii="Calibri" w:hAnsi="Calibri"/>
        </w:rPr>
        <w:t xml:space="preserve">in </w:t>
      </w:r>
      <w:r w:rsidR="00372AF6" w:rsidRPr="002815F4">
        <w:rPr>
          <w:rFonts w:ascii="Calibri" w:hAnsi="Calibri"/>
        </w:rPr>
        <w:t>oil and gas (2014 EITI Report, pp.132-136)</w:t>
      </w:r>
      <w:r w:rsidR="0077624D" w:rsidRPr="002815F4">
        <w:rPr>
          <w:rFonts w:ascii="Calibri" w:hAnsi="Calibri"/>
        </w:rPr>
        <w:t xml:space="preserve"> as well as in quarrying (2014 EITI Report, pp.146-149)</w:t>
      </w:r>
      <w:r w:rsidR="00372AF6" w:rsidRPr="002815F4">
        <w:rPr>
          <w:rFonts w:ascii="Calibri" w:hAnsi="Calibri"/>
        </w:rPr>
        <w:t xml:space="preserve">. </w:t>
      </w:r>
      <w:r w:rsidR="00322CCF" w:rsidRPr="002815F4">
        <w:rPr>
          <w:rFonts w:ascii="Calibri" w:hAnsi="Calibri"/>
          <w:bCs/>
        </w:rPr>
        <w:t xml:space="preserve"> </w:t>
      </w:r>
    </w:p>
    <w:p w14:paraId="5D038602" w14:textId="7EFA67F0" w:rsidR="00DF3D00" w:rsidRPr="002815F4" w:rsidRDefault="00F425D1" w:rsidP="00F425D1">
      <w:pPr>
        <w:spacing w:before="120"/>
        <w:rPr>
          <w:rFonts w:ascii="Calibri" w:hAnsi="Calibri"/>
        </w:rPr>
      </w:pPr>
      <w:r w:rsidRPr="002815F4">
        <w:rPr>
          <w:rFonts w:ascii="Calibri" w:hAnsi="Calibri"/>
          <w:i/>
          <w:u w:val="single"/>
        </w:rPr>
        <w:t>Public cadastre</w:t>
      </w:r>
      <w:r w:rsidRPr="002815F4">
        <w:rPr>
          <w:rFonts w:ascii="Calibri" w:hAnsi="Calibri"/>
          <w:u w:val="single"/>
        </w:rPr>
        <w:t>/register</w:t>
      </w:r>
      <w:r w:rsidRPr="002815F4">
        <w:rPr>
          <w:rFonts w:ascii="Calibri" w:hAnsi="Calibri"/>
        </w:rPr>
        <w:t xml:space="preserve">: </w:t>
      </w:r>
      <w:r w:rsidR="00F12690" w:rsidRPr="002815F4">
        <w:rPr>
          <w:rFonts w:ascii="Calibri" w:hAnsi="Calibri"/>
        </w:rPr>
        <w:t xml:space="preserve">The 2014 EITI Report describes the Mining and Geology Department’s mining cadastre, outlining the publicly-accessible information provided, and provides guidance on accessing the full text of decrees awarding mining licenses through the official gazette (2014 EITI Report, p.30). Links are provided to both sources of cadastral information. </w:t>
      </w:r>
      <w:r w:rsidR="00987C8C" w:rsidRPr="002815F4">
        <w:rPr>
          <w:rFonts w:ascii="Calibri" w:hAnsi="Calibri"/>
          <w:bCs/>
        </w:rPr>
        <w:t>The EITI Senegal website also provides low-definition maps of exploration licenses active in 2014 for “heavy minerals”</w:t>
      </w:r>
      <w:r w:rsidR="00987C8C" w:rsidRPr="002815F4">
        <w:rPr>
          <w:rStyle w:val="FootnoteReference"/>
          <w:rFonts w:ascii="Calibri" w:hAnsi="Calibri"/>
          <w:bCs/>
        </w:rPr>
        <w:footnoteReference w:id="37"/>
      </w:r>
      <w:r w:rsidR="00987C8C" w:rsidRPr="002815F4">
        <w:rPr>
          <w:rFonts w:ascii="Calibri" w:hAnsi="Calibri"/>
          <w:bCs/>
        </w:rPr>
        <w:t>, iron ore</w:t>
      </w:r>
      <w:r w:rsidR="00987C8C" w:rsidRPr="002815F4">
        <w:rPr>
          <w:rStyle w:val="FootnoteReference"/>
          <w:rFonts w:ascii="Calibri" w:hAnsi="Calibri"/>
          <w:bCs/>
        </w:rPr>
        <w:footnoteReference w:id="38"/>
      </w:r>
      <w:r w:rsidR="00987C8C" w:rsidRPr="002815F4">
        <w:rPr>
          <w:rFonts w:ascii="Calibri" w:hAnsi="Calibri"/>
          <w:bCs/>
        </w:rPr>
        <w:t>, phosphates</w:t>
      </w:r>
      <w:r w:rsidR="00987C8C" w:rsidRPr="002815F4">
        <w:rPr>
          <w:rStyle w:val="FootnoteReference"/>
          <w:rFonts w:ascii="Calibri" w:hAnsi="Calibri"/>
          <w:bCs/>
        </w:rPr>
        <w:footnoteReference w:id="39"/>
      </w:r>
      <w:r w:rsidR="00987C8C" w:rsidRPr="002815F4">
        <w:rPr>
          <w:rFonts w:ascii="Calibri" w:hAnsi="Calibri"/>
          <w:bCs/>
        </w:rPr>
        <w:t xml:space="preserve"> and gold</w:t>
      </w:r>
      <w:r w:rsidR="00987C8C" w:rsidRPr="002815F4">
        <w:rPr>
          <w:rStyle w:val="FootnoteReference"/>
          <w:rFonts w:ascii="Calibri" w:hAnsi="Calibri"/>
          <w:bCs/>
        </w:rPr>
        <w:footnoteReference w:id="40"/>
      </w:r>
      <w:r w:rsidR="00987C8C" w:rsidRPr="002815F4">
        <w:rPr>
          <w:rFonts w:ascii="Calibri" w:hAnsi="Calibri"/>
          <w:bCs/>
        </w:rPr>
        <w:t>. The website provides machine-readable lists, albeit only updated to 2012, of licenses for mining (concessions</w:t>
      </w:r>
      <w:r w:rsidR="00987C8C" w:rsidRPr="002815F4">
        <w:rPr>
          <w:rStyle w:val="FootnoteReference"/>
          <w:rFonts w:ascii="Calibri" w:hAnsi="Calibri"/>
          <w:bCs/>
        </w:rPr>
        <w:footnoteReference w:id="41"/>
      </w:r>
      <w:r w:rsidR="00987C8C" w:rsidRPr="002815F4">
        <w:rPr>
          <w:rFonts w:ascii="Calibri" w:hAnsi="Calibri"/>
          <w:bCs/>
        </w:rPr>
        <w:t>, small mines</w:t>
      </w:r>
      <w:r w:rsidR="00987C8C" w:rsidRPr="002815F4">
        <w:rPr>
          <w:rStyle w:val="FootnoteReference"/>
          <w:rFonts w:ascii="Calibri" w:hAnsi="Calibri"/>
          <w:bCs/>
        </w:rPr>
        <w:footnoteReference w:id="42"/>
      </w:r>
      <w:r w:rsidR="00987C8C" w:rsidRPr="002815F4">
        <w:rPr>
          <w:rFonts w:ascii="Calibri" w:hAnsi="Calibri"/>
          <w:bCs/>
        </w:rPr>
        <w:t xml:space="preserve"> and artisanal mining</w:t>
      </w:r>
      <w:r w:rsidR="00987C8C" w:rsidRPr="002815F4">
        <w:rPr>
          <w:rStyle w:val="FootnoteReference"/>
          <w:rFonts w:ascii="Calibri" w:hAnsi="Calibri"/>
          <w:bCs/>
        </w:rPr>
        <w:footnoteReference w:id="43"/>
      </w:r>
      <w:r w:rsidR="00987C8C" w:rsidRPr="002815F4">
        <w:rPr>
          <w:rFonts w:ascii="Calibri" w:hAnsi="Calibri"/>
          <w:bCs/>
        </w:rPr>
        <w:t>) and quarrying (private</w:t>
      </w:r>
      <w:r w:rsidR="00987C8C" w:rsidRPr="002815F4">
        <w:rPr>
          <w:rStyle w:val="FootnoteReference"/>
          <w:rFonts w:ascii="Calibri" w:hAnsi="Calibri"/>
          <w:bCs/>
        </w:rPr>
        <w:footnoteReference w:id="44"/>
      </w:r>
      <w:r w:rsidR="00987C8C" w:rsidRPr="002815F4">
        <w:rPr>
          <w:rFonts w:ascii="Calibri" w:hAnsi="Calibri"/>
          <w:bCs/>
        </w:rPr>
        <w:t>, public</w:t>
      </w:r>
      <w:r w:rsidR="00987C8C" w:rsidRPr="002815F4">
        <w:rPr>
          <w:rStyle w:val="FootnoteReference"/>
          <w:rFonts w:ascii="Calibri" w:hAnsi="Calibri"/>
          <w:bCs/>
        </w:rPr>
        <w:footnoteReference w:id="45"/>
      </w:r>
      <w:r w:rsidR="00987C8C" w:rsidRPr="002815F4">
        <w:rPr>
          <w:rFonts w:ascii="Calibri" w:hAnsi="Calibri"/>
          <w:bCs/>
        </w:rPr>
        <w:t xml:space="preserve"> and temporary licenses</w:t>
      </w:r>
      <w:r w:rsidR="00987C8C" w:rsidRPr="002815F4">
        <w:rPr>
          <w:rStyle w:val="FootnoteReference"/>
          <w:rFonts w:ascii="Calibri" w:hAnsi="Calibri"/>
          <w:bCs/>
        </w:rPr>
        <w:footnoteReference w:id="46"/>
      </w:r>
      <w:r w:rsidR="00987C8C" w:rsidRPr="002815F4">
        <w:rPr>
          <w:rFonts w:ascii="Calibri" w:hAnsi="Calibri"/>
          <w:bCs/>
        </w:rPr>
        <w:t>).</w:t>
      </w:r>
      <w:r w:rsidR="00987C8C" w:rsidRPr="002815F4">
        <w:rPr>
          <w:rFonts w:ascii="Calibri" w:hAnsi="Calibri"/>
        </w:rPr>
        <w:t xml:space="preserve"> </w:t>
      </w:r>
    </w:p>
    <w:p w14:paraId="29D212F8" w14:textId="366BB251" w:rsidR="00DF3D00" w:rsidRPr="002815F4" w:rsidRDefault="00DF3D00" w:rsidP="00F425D1">
      <w:pPr>
        <w:spacing w:before="120"/>
        <w:rPr>
          <w:rFonts w:ascii="Calibri" w:hAnsi="Calibri"/>
          <w:bCs/>
        </w:rPr>
      </w:pPr>
      <w:r w:rsidRPr="002815F4">
        <w:rPr>
          <w:rFonts w:ascii="Calibri" w:hAnsi="Calibri"/>
        </w:rPr>
        <w:t>While the 2014 EITI Report highlights the lack of an oil and gas cadastre (2014 EITI Report, p.53), it notes that Petrosen maintains a register of oil and gas licenses and provides a link thereto (2014 EITI Report, pp.39-40,53). It also provides a link to the AGC’s website, where information on oil and gas licenses in the joint maritime zone with Guin</w:t>
      </w:r>
      <w:r w:rsidR="002815F4">
        <w:rPr>
          <w:rFonts w:ascii="Calibri" w:hAnsi="Calibri"/>
        </w:rPr>
        <w:t>e</w:t>
      </w:r>
      <w:r w:rsidRPr="002815F4">
        <w:rPr>
          <w:rFonts w:ascii="Calibri" w:hAnsi="Calibri"/>
        </w:rPr>
        <w:t xml:space="preserve">a-Bissau are accessible (2014 EITI Report, pp.47-48). </w:t>
      </w:r>
      <w:r w:rsidR="00987C8C" w:rsidRPr="002815F4">
        <w:rPr>
          <w:rFonts w:ascii="Calibri" w:hAnsi="Calibri"/>
          <w:bCs/>
        </w:rPr>
        <w:t xml:space="preserve">The EITI Senegal website provides a low-definition map of oil and gas blocks and a machine-readable register of oil and gas </w:t>
      </w:r>
      <w:r w:rsidR="00987C8C" w:rsidRPr="002815F4">
        <w:rPr>
          <w:rFonts w:ascii="Calibri" w:hAnsi="Calibri"/>
          <w:bCs/>
        </w:rPr>
        <w:lastRenderedPageBreak/>
        <w:t>licenses updated to 2014</w:t>
      </w:r>
      <w:r w:rsidR="00987C8C" w:rsidRPr="002815F4">
        <w:rPr>
          <w:rStyle w:val="FootnoteReference"/>
          <w:rFonts w:ascii="Calibri" w:hAnsi="Calibri"/>
          <w:bCs/>
        </w:rPr>
        <w:footnoteReference w:id="47"/>
      </w:r>
      <w:r w:rsidR="00987C8C" w:rsidRPr="002815F4">
        <w:rPr>
          <w:rFonts w:ascii="Calibri" w:hAnsi="Calibri"/>
          <w:bCs/>
        </w:rPr>
        <w:t xml:space="preserve">, which includes license coordinates (or reference to their location in the </w:t>
      </w:r>
      <w:r w:rsidR="00987C8C" w:rsidRPr="002815F4">
        <w:rPr>
          <w:rFonts w:ascii="Calibri" w:hAnsi="Calibri"/>
          <w:bCs/>
          <w:i/>
        </w:rPr>
        <w:t>journal officiel</w:t>
      </w:r>
      <w:r w:rsidR="00987C8C" w:rsidRPr="002815F4">
        <w:rPr>
          <w:rFonts w:ascii="Calibri" w:hAnsi="Calibri"/>
          <w:bCs/>
        </w:rPr>
        <w:t>), license-holder name, equity partners and split in participation, dates of application, award and expiry. While the online register of licenses does not specify that licenses cover both crude oil and natural gas, the extract from the 2014 EITI Report on licensing</w:t>
      </w:r>
      <w:r w:rsidR="00987C8C" w:rsidRPr="002815F4">
        <w:rPr>
          <w:rStyle w:val="FootnoteReference"/>
          <w:rFonts w:ascii="Calibri" w:hAnsi="Calibri"/>
          <w:bCs/>
        </w:rPr>
        <w:footnoteReference w:id="48"/>
      </w:r>
      <w:r w:rsidR="00987C8C" w:rsidRPr="002815F4">
        <w:rPr>
          <w:rFonts w:ascii="Calibri" w:hAnsi="Calibri"/>
          <w:bCs/>
        </w:rPr>
        <w:t xml:space="preserve"> published separately on the website clarifies that all licenses cover both commodities.</w:t>
      </w:r>
    </w:p>
    <w:p w14:paraId="7C7DA426" w14:textId="78205C71" w:rsidR="00F425D1" w:rsidRPr="002815F4" w:rsidRDefault="00E84DB0" w:rsidP="00F425D1">
      <w:pPr>
        <w:spacing w:before="120"/>
        <w:rPr>
          <w:rFonts w:ascii="Calibri" w:hAnsi="Calibri"/>
        </w:rPr>
      </w:pPr>
      <w:r w:rsidRPr="002815F4">
        <w:rPr>
          <w:rFonts w:ascii="Calibri" w:hAnsi="Calibri"/>
        </w:rPr>
        <w:t xml:space="preserve">The 2014 EITI Report marks a significant improvement on coverage of license information in the 2013 EITI Report, which only provided license-holder names but none of the other information mandated under Requirement 2.3 (2013 EITI Report, pp.43,49,80-94). </w:t>
      </w:r>
    </w:p>
    <w:p w14:paraId="1CFA3F6A" w14:textId="6A07A3B0" w:rsidR="0017680B" w:rsidRPr="002815F4" w:rsidRDefault="00F425D1" w:rsidP="009B3E66">
      <w:pPr>
        <w:pStyle w:val="Heading3"/>
      </w:pPr>
      <w:r w:rsidRPr="002815F4">
        <w:t>Stakeholder views</w:t>
      </w:r>
    </w:p>
    <w:p w14:paraId="57D39FFE" w14:textId="751783D7" w:rsidR="002307E6" w:rsidRPr="002815F4" w:rsidRDefault="006F1DF7" w:rsidP="00A35C55">
      <w:r w:rsidRPr="002815F4">
        <w:rPr>
          <w:rFonts w:ascii="Calibri" w:hAnsi="Calibri"/>
        </w:rPr>
        <w:t>Government representatives explained that the date of expiry was missing for one mining exploration license (A02472)</w:t>
      </w:r>
      <w:r w:rsidR="003A0FDA" w:rsidRPr="002815F4">
        <w:rPr>
          <w:rFonts w:ascii="Calibri" w:hAnsi="Calibri"/>
        </w:rPr>
        <w:t xml:space="preserve">, since it related to a </w:t>
      </w:r>
      <w:r w:rsidR="00A35C55" w:rsidRPr="002815F4">
        <w:t>June 2013</w:t>
      </w:r>
      <w:r w:rsidR="002307E6" w:rsidRPr="002815F4">
        <w:t xml:space="preserve"> decr</w:t>
      </w:r>
      <w:r w:rsidR="003A0FDA" w:rsidRPr="002815F4">
        <w:t>ee creating</w:t>
      </w:r>
      <w:r w:rsidR="00A35C55" w:rsidRPr="002815F4">
        <w:t xml:space="preserve"> the</w:t>
      </w:r>
      <w:r w:rsidR="00611D27" w:rsidRPr="002815F4">
        <w:t xml:space="preserve"> artisanal gold mining corridors which did not have an expiry date. </w:t>
      </w:r>
      <w:r w:rsidR="00517674" w:rsidRPr="002815F4">
        <w:t>They noted that the next corridor would</w:t>
      </w:r>
      <w:r w:rsidR="002307E6" w:rsidRPr="002815F4">
        <w:t xml:space="preserve"> cover 255 sq km and</w:t>
      </w:r>
      <w:r w:rsidR="00517674" w:rsidRPr="002815F4">
        <w:t xml:space="preserve"> have a definitive duration of five year</w:t>
      </w:r>
      <w:r w:rsidR="002307E6" w:rsidRPr="002815F4">
        <w:t xml:space="preserve">s, per the </w:t>
      </w:r>
      <w:r w:rsidR="00635965" w:rsidRPr="002815F4">
        <w:t>new 2016</w:t>
      </w:r>
      <w:r w:rsidR="002307E6" w:rsidRPr="002815F4">
        <w:t xml:space="preserve"> </w:t>
      </w:r>
      <w:r w:rsidR="00635965" w:rsidRPr="002815F4">
        <w:t>M</w:t>
      </w:r>
      <w:r w:rsidR="002307E6" w:rsidRPr="002815F4">
        <w:t xml:space="preserve">ining </w:t>
      </w:r>
      <w:r w:rsidR="00635965" w:rsidRPr="002815F4">
        <w:t>C</w:t>
      </w:r>
      <w:r w:rsidR="002307E6" w:rsidRPr="002815F4">
        <w:t>ode</w:t>
      </w:r>
      <w:r w:rsidR="00517674" w:rsidRPr="002815F4">
        <w:t xml:space="preserve">. The </w:t>
      </w:r>
      <w:r w:rsidR="00635965" w:rsidRPr="002815F4">
        <w:t>D</w:t>
      </w:r>
      <w:r w:rsidR="00517674" w:rsidRPr="002815F4">
        <w:t xml:space="preserve">ecree covered several areas and required negotiation with the industrial companies </w:t>
      </w:r>
      <w:r w:rsidR="00A35C55" w:rsidRPr="002815F4">
        <w:t>in the area</w:t>
      </w:r>
      <w:r w:rsidR="00517674" w:rsidRPr="002815F4">
        <w:t xml:space="preserve">, which explained the </w:t>
      </w:r>
      <w:r w:rsidR="00A35C55" w:rsidRPr="002815F4">
        <w:t>difference between the date of demand and date of allocation</w:t>
      </w:r>
      <w:r w:rsidR="00517674" w:rsidRPr="002815F4">
        <w:t xml:space="preserve"> of the decree</w:t>
      </w:r>
      <w:r w:rsidR="00A35C55" w:rsidRPr="002815F4">
        <w:t xml:space="preserve">. </w:t>
      </w:r>
      <w:r w:rsidR="00635965" w:rsidRPr="002815F4">
        <w:t xml:space="preserve">The officials confirmed that there was no effective date of expiry for this license </w:t>
      </w:r>
      <w:r w:rsidR="00635965" w:rsidRPr="002815F4">
        <w:rPr>
          <w:rFonts w:ascii="Calibri" w:hAnsi="Calibri"/>
        </w:rPr>
        <w:t xml:space="preserve">(A02472) in 2014, since it was only set at five years in 2015. </w:t>
      </w:r>
    </w:p>
    <w:p w14:paraId="25C2A8F0" w14:textId="31AB4B97" w:rsidR="00A35C55" w:rsidRPr="002815F4" w:rsidRDefault="002307E6" w:rsidP="00326B32">
      <w:r w:rsidRPr="002815F4">
        <w:rPr>
          <w:rFonts w:ascii="Calibri" w:hAnsi="Calibri"/>
        </w:rPr>
        <w:t xml:space="preserve">With respect to the missing expiry data and date of award for quarrying sector, civil society confirmed that quarrying was included in the scope of EITI reporting. </w:t>
      </w:r>
      <w:r w:rsidR="00326B32" w:rsidRPr="002815F4">
        <w:rPr>
          <w:rFonts w:ascii="Calibri" w:hAnsi="Calibri"/>
        </w:rPr>
        <w:t>Government representatives</w:t>
      </w:r>
      <w:r w:rsidRPr="002815F4">
        <w:rPr>
          <w:rFonts w:ascii="Calibri" w:hAnsi="Calibri"/>
        </w:rPr>
        <w:t xml:space="preserve"> were unable to provide further information on the application date</w:t>
      </w:r>
      <w:r w:rsidR="00326B32" w:rsidRPr="002815F4">
        <w:rPr>
          <w:rFonts w:ascii="Calibri" w:hAnsi="Calibri"/>
        </w:rPr>
        <w:t>s</w:t>
      </w:r>
      <w:r w:rsidRPr="002815F4">
        <w:rPr>
          <w:rFonts w:ascii="Calibri" w:hAnsi="Calibri"/>
        </w:rPr>
        <w:t xml:space="preserve"> for permit</w:t>
      </w:r>
      <w:r w:rsidR="00326B32" w:rsidRPr="002815F4">
        <w:rPr>
          <w:rFonts w:ascii="Calibri" w:hAnsi="Calibri"/>
        </w:rPr>
        <w:t>s</w:t>
      </w:r>
      <w:r w:rsidRPr="002815F4">
        <w:rPr>
          <w:rFonts w:ascii="Calibri" w:hAnsi="Calibri"/>
        </w:rPr>
        <w:t xml:space="preserve"> </w:t>
      </w:r>
      <w:r w:rsidRPr="002815F4">
        <w:t>A008230 (Perimetre de Ndayane)</w:t>
      </w:r>
      <w:r w:rsidR="00326B32" w:rsidRPr="002815F4">
        <w:t xml:space="preserve"> and</w:t>
      </w:r>
      <w:r w:rsidRPr="002815F4">
        <w:rPr>
          <w:rFonts w:ascii="Calibri" w:hAnsi="Calibri"/>
        </w:rPr>
        <w:t xml:space="preserve"> </w:t>
      </w:r>
      <w:r w:rsidRPr="002815F4">
        <w:t>A00276 (Y</w:t>
      </w:r>
      <w:r w:rsidR="00326B32" w:rsidRPr="002815F4">
        <w:t xml:space="preserve">ang Yang), and expiration date for the latter. The </w:t>
      </w:r>
      <w:r w:rsidR="00B53726">
        <w:t>IA</w:t>
      </w:r>
      <w:r w:rsidR="00326B32" w:rsidRPr="002815F4">
        <w:t xml:space="preserve">, Moore Stephens, confirmed that mining exploration licenses were valid for a period of 2 years only and noted that the government had </w:t>
      </w:r>
      <w:r w:rsidR="00381453">
        <w:t>said</w:t>
      </w:r>
      <w:r w:rsidR="00381453" w:rsidRPr="002815F4">
        <w:t xml:space="preserve"> </w:t>
      </w:r>
      <w:r w:rsidR="00326B32" w:rsidRPr="002815F4">
        <w:t xml:space="preserve">that </w:t>
      </w:r>
      <w:r w:rsidR="00381453" w:rsidRPr="002815F4">
        <w:t>th</w:t>
      </w:r>
      <w:r w:rsidR="00381453">
        <w:t>is</w:t>
      </w:r>
      <w:r w:rsidR="00381453" w:rsidRPr="002815F4">
        <w:t xml:space="preserve"> </w:t>
      </w:r>
      <w:r w:rsidR="00326B32" w:rsidRPr="002815F4">
        <w:t>information was not available. However, c</w:t>
      </w:r>
      <w:r w:rsidR="00A35C55" w:rsidRPr="002815F4">
        <w:t>ivil society did not express any reservations on the quality of data in the report</w:t>
      </w:r>
      <w:r w:rsidR="00326B32" w:rsidRPr="002815F4">
        <w:t>,</w:t>
      </w:r>
      <w:r w:rsidR="00A35C55" w:rsidRPr="002815F4">
        <w:t xml:space="preserve"> including the license registers for the </w:t>
      </w:r>
      <w:r w:rsidR="00326B32" w:rsidRPr="002815F4">
        <w:t xml:space="preserve">mining and oil and gas sectors. </w:t>
      </w:r>
      <w:r w:rsidR="00635965" w:rsidRPr="002815F4">
        <w:t xml:space="preserve">Stakeholders confirmed that the licenses for which dates were missing were not held by material companies. </w:t>
      </w:r>
    </w:p>
    <w:p w14:paraId="4CBE49EB" w14:textId="30F87F59" w:rsidR="001E68AF" w:rsidRPr="002815F4" w:rsidRDefault="00F425D1" w:rsidP="009B3E66">
      <w:pPr>
        <w:pStyle w:val="Heading3"/>
      </w:pPr>
      <w:bookmarkStart w:id="161" w:name="_Toc459133106"/>
      <w:bookmarkStart w:id="162" w:name="_Toc461803055"/>
      <w:r w:rsidRPr="002815F4">
        <w:t>Initial assessment</w:t>
      </w:r>
      <w:bookmarkEnd w:id="161"/>
      <w:bookmarkEnd w:id="162"/>
    </w:p>
    <w:p w14:paraId="4596CAF1" w14:textId="03B0B49A" w:rsidR="00F425D1" w:rsidRPr="002815F4" w:rsidRDefault="00F425D1" w:rsidP="00F425D1">
      <w:pPr>
        <w:spacing w:before="120"/>
        <w:rPr>
          <w:rFonts w:ascii="Calibri" w:hAnsi="Calibri"/>
        </w:rPr>
      </w:pPr>
      <w:r w:rsidRPr="002815F4">
        <w:rPr>
          <w:rFonts w:ascii="Calibri" w:hAnsi="Calibri"/>
        </w:rPr>
        <w:t>The</w:t>
      </w:r>
      <w:r w:rsidRPr="002815F4">
        <w:rPr>
          <w:rFonts w:ascii="Calibri" w:hAnsi="Calibri"/>
          <w:b/>
        </w:rPr>
        <w:t xml:space="preserve"> </w:t>
      </w:r>
      <w:r w:rsidRPr="002815F4">
        <w:rPr>
          <w:rFonts w:ascii="Calibri" w:hAnsi="Calibri"/>
        </w:rPr>
        <w:t xml:space="preserve">International Secretariat’s initial assessment is that </w:t>
      </w:r>
      <w:r w:rsidR="00322CCF" w:rsidRPr="002815F4">
        <w:rPr>
          <w:rFonts w:ascii="Calibri" w:hAnsi="Calibri"/>
          <w:bCs/>
        </w:rPr>
        <w:t>Senegal</w:t>
      </w:r>
      <w:r w:rsidR="00322CCF" w:rsidRPr="002815F4">
        <w:rPr>
          <w:rFonts w:ascii="Calibri" w:hAnsi="Calibri"/>
        </w:rPr>
        <w:t xml:space="preserve"> </w:t>
      </w:r>
      <w:r w:rsidRPr="002815F4">
        <w:rPr>
          <w:rFonts w:ascii="Calibri" w:hAnsi="Calibri"/>
        </w:rPr>
        <w:t xml:space="preserve">has made </w:t>
      </w:r>
      <w:r w:rsidR="00635965" w:rsidRPr="002815F4">
        <w:rPr>
          <w:rFonts w:ascii="Calibri" w:hAnsi="Calibri"/>
          <w:bCs/>
        </w:rPr>
        <w:t>satisfactory</w:t>
      </w:r>
      <w:r w:rsidR="00635965" w:rsidRPr="002815F4">
        <w:rPr>
          <w:rFonts w:ascii="Calibri" w:hAnsi="Calibri"/>
        </w:rPr>
        <w:t xml:space="preserve"> </w:t>
      </w:r>
      <w:r w:rsidRPr="002815F4">
        <w:rPr>
          <w:rFonts w:ascii="Calibri" w:hAnsi="Calibri"/>
        </w:rPr>
        <w:t xml:space="preserve">progress </w:t>
      </w:r>
      <w:r w:rsidR="00635965" w:rsidRPr="002815F4">
        <w:rPr>
          <w:rFonts w:ascii="Calibri" w:hAnsi="Calibri"/>
        </w:rPr>
        <w:t xml:space="preserve">in </w:t>
      </w:r>
      <w:r w:rsidRPr="002815F4">
        <w:rPr>
          <w:rFonts w:ascii="Calibri" w:hAnsi="Calibri"/>
        </w:rPr>
        <w:t xml:space="preserve">meeting this </w:t>
      </w:r>
      <w:commentRangeStart w:id="163"/>
      <w:r w:rsidRPr="002815F4">
        <w:rPr>
          <w:rFonts w:ascii="Calibri" w:hAnsi="Calibri"/>
        </w:rPr>
        <w:t>requirement</w:t>
      </w:r>
      <w:commentRangeEnd w:id="163"/>
      <w:r w:rsidR="00D27A59">
        <w:rPr>
          <w:rStyle w:val="CommentReference"/>
          <w:szCs w:val="20"/>
        </w:rPr>
        <w:commentReference w:id="163"/>
      </w:r>
      <w:r w:rsidRPr="002815F4">
        <w:rPr>
          <w:rFonts w:ascii="Calibri" w:hAnsi="Calibri"/>
        </w:rPr>
        <w:t xml:space="preserve">. </w:t>
      </w:r>
      <w:r w:rsidR="006D3E83" w:rsidRPr="002815F4">
        <w:rPr>
          <w:rFonts w:ascii="Calibri" w:hAnsi="Calibri"/>
        </w:rPr>
        <w:t xml:space="preserve">While the 2014 EITI Report and EITI Senegal website provide </w:t>
      </w:r>
      <w:r w:rsidR="00326B32" w:rsidRPr="002815F4">
        <w:rPr>
          <w:rFonts w:ascii="Calibri" w:hAnsi="Calibri"/>
        </w:rPr>
        <w:t>most of the</w:t>
      </w:r>
      <w:r w:rsidR="006D3E83" w:rsidRPr="002815F4">
        <w:rPr>
          <w:rFonts w:ascii="Calibri" w:hAnsi="Calibri"/>
        </w:rPr>
        <w:t xml:space="preserve"> information on mining, oil and gas licenses held by material companies, the date of expiry of one mining exploration license is missing. </w:t>
      </w:r>
      <w:r w:rsidR="00B27468" w:rsidRPr="002815F4">
        <w:rPr>
          <w:rFonts w:ascii="Calibri" w:hAnsi="Calibri"/>
        </w:rPr>
        <w:t>However,</w:t>
      </w:r>
      <w:r w:rsidR="00326B32" w:rsidRPr="002815F4">
        <w:rPr>
          <w:rFonts w:ascii="Calibri" w:hAnsi="Calibri"/>
        </w:rPr>
        <w:t xml:space="preserve"> stakeholders confirmed that </w:t>
      </w:r>
      <w:r w:rsidR="00635965" w:rsidRPr="002815F4">
        <w:rPr>
          <w:rFonts w:ascii="Calibri" w:hAnsi="Calibri"/>
        </w:rPr>
        <w:t xml:space="preserve">this license, held by the government as an artisanal gold mining corridor, did not have a date of expiry in 2014. While dates of award and/or expiry are missing for a handful of quarrying licenses, none of these is held by a material company included in the scope of reporting for the 2014 EITI Report. </w:t>
      </w:r>
    </w:p>
    <w:p w14:paraId="27A06FBB" w14:textId="1501B0AA" w:rsidR="00B27468" w:rsidRPr="002815F4" w:rsidRDefault="00B27468" w:rsidP="00F425D1">
      <w:pPr>
        <w:spacing w:before="120"/>
        <w:rPr>
          <w:rFonts w:ascii="Calibri" w:hAnsi="Calibri"/>
        </w:rPr>
      </w:pPr>
      <w:r w:rsidRPr="002815F4">
        <w:rPr>
          <w:rFonts w:ascii="Calibri" w:hAnsi="Calibri"/>
        </w:rPr>
        <w:t xml:space="preserve">To strengthen implementation, the MSG </w:t>
      </w:r>
      <w:r w:rsidR="00635965" w:rsidRPr="002815F4">
        <w:rPr>
          <w:rFonts w:ascii="Calibri" w:hAnsi="Calibri"/>
        </w:rPr>
        <w:t xml:space="preserve">may wish to </w:t>
      </w:r>
      <w:r w:rsidR="00326B32" w:rsidRPr="002815F4">
        <w:rPr>
          <w:rFonts w:ascii="Calibri" w:hAnsi="Calibri"/>
        </w:rPr>
        <w:t>maintain a publicly available register or cadastr</w:t>
      </w:r>
      <w:r w:rsidR="00635965" w:rsidRPr="002815F4">
        <w:rPr>
          <w:rFonts w:ascii="Calibri" w:hAnsi="Calibri"/>
        </w:rPr>
        <w:t>al</w:t>
      </w:r>
      <w:r w:rsidR="00326B32" w:rsidRPr="002815F4">
        <w:rPr>
          <w:rFonts w:ascii="Calibri" w:hAnsi="Calibri"/>
        </w:rPr>
        <w:t xml:space="preserve"> system(s) with timely and comprehensive information </w:t>
      </w:r>
      <w:r w:rsidR="00635965" w:rsidRPr="002815F4">
        <w:rPr>
          <w:rFonts w:ascii="Calibri" w:hAnsi="Calibri"/>
        </w:rPr>
        <w:t xml:space="preserve">on </w:t>
      </w:r>
      <w:r w:rsidR="00326B32" w:rsidRPr="002815F4">
        <w:rPr>
          <w:rFonts w:ascii="Calibri" w:hAnsi="Calibri"/>
        </w:rPr>
        <w:t xml:space="preserve">each of the </w:t>
      </w:r>
      <w:r w:rsidR="00635965" w:rsidRPr="002815F4">
        <w:rPr>
          <w:rFonts w:ascii="Calibri" w:hAnsi="Calibri"/>
        </w:rPr>
        <w:t xml:space="preserve">mining, oil and gas </w:t>
      </w:r>
      <w:r w:rsidR="00326B32" w:rsidRPr="002815F4">
        <w:rPr>
          <w:rFonts w:ascii="Calibri" w:hAnsi="Calibri"/>
        </w:rPr>
        <w:t xml:space="preserve">licenses, </w:t>
      </w:r>
      <w:r w:rsidR="00326B32" w:rsidRPr="002815F4">
        <w:rPr>
          <w:rFonts w:ascii="Calibri" w:hAnsi="Calibri"/>
        </w:rPr>
        <w:lastRenderedPageBreak/>
        <w:t xml:space="preserve">including </w:t>
      </w:r>
      <w:r w:rsidR="00635965" w:rsidRPr="002815F4">
        <w:rPr>
          <w:rFonts w:ascii="Calibri" w:hAnsi="Calibri"/>
        </w:rPr>
        <w:t xml:space="preserve">their </w:t>
      </w:r>
      <w:r w:rsidR="00326B32" w:rsidRPr="002815F4">
        <w:rPr>
          <w:rFonts w:ascii="Calibri" w:hAnsi="Calibri"/>
        </w:rPr>
        <w:t xml:space="preserve">coordinates. </w:t>
      </w:r>
    </w:p>
    <w:p w14:paraId="21404976" w14:textId="58C794F5" w:rsidR="00F425D1" w:rsidRPr="002815F4" w:rsidRDefault="00F425D1" w:rsidP="009B3E66">
      <w:pPr>
        <w:pStyle w:val="Heading2"/>
      </w:pPr>
      <w:bookmarkStart w:id="164" w:name="_Toc459133107"/>
      <w:bookmarkStart w:id="165" w:name="_Toc461803056"/>
      <w:bookmarkStart w:id="166" w:name="_Toc461787328"/>
      <w:bookmarkStart w:id="167" w:name="_Toc461795840"/>
      <w:bookmarkStart w:id="168" w:name="_Toc462149184"/>
      <w:r w:rsidRPr="002815F4">
        <w:t>Contract disclosures (#2.4)</w:t>
      </w:r>
      <w:bookmarkEnd w:id="164"/>
      <w:bookmarkEnd w:id="165"/>
      <w:bookmarkEnd w:id="166"/>
      <w:bookmarkEnd w:id="167"/>
      <w:bookmarkEnd w:id="168"/>
    </w:p>
    <w:p w14:paraId="5E4D5867" w14:textId="4AE05153" w:rsidR="00247985" w:rsidRPr="002815F4" w:rsidRDefault="00F425D1" w:rsidP="009B3E66">
      <w:pPr>
        <w:pStyle w:val="Heading3"/>
      </w:pPr>
      <w:r w:rsidRPr="002815F4">
        <w:t>Documentation of progress</w:t>
      </w:r>
    </w:p>
    <w:p w14:paraId="221F069E" w14:textId="3EC06F72" w:rsidR="0057659F" w:rsidRPr="002815F4" w:rsidRDefault="00023287" w:rsidP="00405360">
      <w:pPr>
        <w:spacing w:before="120"/>
        <w:rPr>
          <w:rFonts w:ascii="Calibri" w:hAnsi="Calibri"/>
        </w:rPr>
      </w:pPr>
      <w:r w:rsidRPr="002815F4">
        <w:rPr>
          <w:rFonts w:ascii="Calibri" w:hAnsi="Calibri"/>
          <w:i/>
          <w:u w:val="single"/>
        </w:rPr>
        <w:t>Government policy</w:t>
      </w:r>
      <w:r w:rsidRPr="002815F4">
        <w:rPr>
          <w:rFonts w:ascii="Calibri" w:hAnsi="Calibri"/>
        </w:rPr>
        <w:t xml:space="preserve">: </w:t>
      </w:r>
      <w:r w:rsidR="0057659F" w:rsidRPr="002815F4">
        <w:rPr>
          <w:rFonts w:ascii="Calibri" w:hAnsi="Calibri"/>
        </w:rPr>
        <w:t xml:space="preserve">From the start of Senegal’s EITI implementation in 2013, President Macky Sall has explicitly linked progress with EITI to publication of all extractives contracts </w:t>
      </w:r>
      <w:sdt>
        <w:sdtPr>
          <w:rPr>
            <w:rFonts w:ascii="Calibri" w:hAnsi="Calibri"/>
          </w:rPr>
          <w:id w:val="-1391952608"/>
          <w:citation/>
        </w:sdtPr>
        <w:sdtEndPr/>
        <w:sdtContent>
          <w:r w:rsidR="00565B92" w:rsidRPr="002815F4">
            <w:rPr>
              <w:rFonts w:ascii="Calibri" w:hAnsi="Calibri"/>
            </w:rPr>
            <w:fldChar w:fldCharType="begin"/>
          </w:r>
          <w:r w:rsidR="00565B92" w:rsidRPr="002815F4">
            <w:rPr>
              <w:rFonts w:ascii="Calibri" w:hAnsi="Calibri"/>
            </w:rPr>
            <w:instrText xml:space="preserve"> CITATION EIT132 \l 1033 </w:instrText>
          </w:r>
          <w:r w:rsidR="00565B92" w:rsidRPr="002815F4">
            <w:rPr>
              <w:rFonts w:ascii="Calibri" w:hAnsi="Calibri"/>
            </w:rPr>
            <w:fldChar w:fldCharType="separate"/>
          </w:r>
          <w:r w:rsidR="003E626E" w:rsidRPr="002815F4">
            <w:rPr>
              <w:rFonts w:ascii="Calibri" w:hAnsi="Calibri"/>
              <w:noProof/>
            </w:rPr>
            <w:t>(EITI, 2013)</w:t>
          </w:r>
          <w:r w:rsidR="00565B92" w:rsidRPr="002815F4">
            <w:rPr>
              <w:rFonts w:ascii="Calibri" w:hAnsi="Calibri"/>
            </w:rPr>
            <w:fldChar w:fldCharType="end"/>
          </w:r>
        </w:sdtContent>
      </w:sdt>
      <w:r w:rsidR="00565B92" w:rsidRPr="002815F4">
        <w:rPr>
          <w:rFonts w:ascii="Calibri" w:hAnsi="Calibri"/>
        </w:rPr>
        <w:t xml:space="preserve">. President Sall’s 2013 statement that “as part of the EITI process, Senegal will publish all mining contracts” clarified the government’s policy on contract disclosure at an early stage of implementation </w:t>
      </w:r>
      <w:sdt>
        <w:sdtPr>
          <w:rPr>
            <w:rFonts w:ascii="Calibri" w:hAnsi="Calibri"/>
          </w:rPr>
          <w:id w:val="-158388116"/>
          <w:citation/>
        </w:sdtPr>
        <w:sdtEndPr/>
        <w:sdtContent>
          <w:r w:rsidR="00565B92" w:rsidRPr="002815F4">
            <w:rPr>
              <w:rFonts w:ascii="Calibri" w:hAnsi="Calibri"/>
            </w:rPr>
            <w:fldChar w:fldCharType="begin"/>
          </w:r>
          <w:r w:rsidR="00565B92" w:rsidRPr="002815F4">
            <w:rPr>
              <w:rFonts w:ascii="Calibri" w:hAnsi="Calibri"/>
            </w:rPr>
            <w:instrText xml:space="preserve"> CITATION EIT132 \l 1033 </w:instrText>
          </w:r>
          <w:r w:rsidR="00565B92" w:rsidRPr="002815F4">
            <w:rPr>
              <w:rFonts w:ascii="Calibri" w:hAnsi="Calibri"/>
            </w:rPr>
            <w:fldChar w:fldCharType="separate"/>
          </w:r>
          <w:r w:rsidR="003E626E" w:rsidRPr="002815F4">
            <w:rPr>
              <w:rFonts w:ascii="Calibri" w:hAnsi="Calibri"/>
              <w:noProof/>
            </w:rPr>
            <w:t>(EITI, 2013)</w:t>
          </w:r>
          <w:r w:rsidR="00565B92" w:rsidRPr="002815F4">
            <w:rPr>
              <w:rFonts w:ascii="Calibri" w:hAnsi="Calibri"/>
            </w:rPr>
            <w:fldChar w:fldCharType="end"/>
          </w:r>
        </w:sdtContent>
      </w:sdt>
      <w:r w:rsidR="00565B92" w:rsidRPr="002815F4">
        <w:rPr>
          <w:rFonts w:ascii="Calibri" w:hAnsi="Calibri"/>
        </w:rPr>
        <w:t>.</w:t>
      </w:r>
      <w:r w:rsidR="002C18E9" w:rsidRPr="002815F4">
        <w:rPr>
          <w:rFonts w:ascii="Calibri" w:hAnsi="Calibri"/>
        </w:rPr>
        <w:t xml:space="preserve"> </w:t>
      </w:r>
      <w:r w:rsidR="002C18E9" w:rsidRPr="002815F4">
        <w:rPr>
          <w:rFonts w:ascii="Calibri" w:hAnsi="Calibri"/>
          <w:color w:val="000000" w:themeColor="text1"/>
        </w:rPr>
        <w:t xml:space="preserve">Prime Minister Dionne explicitly linked the government’s publication of mining, oil and gas contracts in October 2016 to the government’s strong commitment to the EITI </w:t>
      </w:r>
      <w:sdt>
        <w:sdtPr>
          <w:rPr>
            <w:rFonts w:ascii="Calibri" w:hAnsi="Calibri"/>
            <w:color w:val="000000" w:themeColor="text1"/>
          </w:rPr>
          <w:id w:val="2063199568"/>
          <w:citation/>
        </w:sdtPr>
        <w:sdtEndPr/>
        <w:sdtContent>
          <w:r w:rsidR="002C18E9" w:rsidRPr="002815F4">
            <w:rPr>
              <w:rFonts w:ascii="Calibri" w:hAnsi="Calibri"/>
              <w:color w:val="000000" w:themeColor="text1"/>
            </w:rPr>
            <w:fldChar w:fldCharType="begin"/>
          </w:r>
          <w:r w:rsidR="002C18E9" w:rsidRPr="002815F4">
            <w:rPr>
              <w:rFonts w:ascii="Calibri" w:hAnsi="Calibri"/>
              <w:color w:val="000000" w:themeColor="text1"/>
            </w:rPr>
            <w:instrText xml:space="preserve"> CITATION Gou161 \l 1033 </w:instrText>
          </w:r>
          <w:r w:rsidR="002C18E9" w:rsidRPr="002815F4">
            <w:rPr>
              <w:rFonts w:ascii="Calibri" w:hAnsi="Calibri"/>
              <w:color w:val="000000" w:themeColor="text1"/>
            </w:rPr>
            <w:fldChar w:fldCharType="separate"/>
          </w:r>
          <w:r w:rsidR="003E626E" w:rsidRPr="002815F4">
            <w:rPr>
              <w:rFonts w:ascii="Calibri" w:hAnsi="Calibri"/>
              <w:noProof/>
              <w:color w:val="000000" w:themeColor="text1"/>
            </w:rPr>
            <w:t>(Gouvernement du Senegal, 2016)</w:t>
          </w:r>
          <w:r w:rsidR="002C18E9" w:rsidRPr="002815F4">
            <w:rPr>
              <w:rFonts w:ascii="Calibri" w:hAnsi="Calibri"/>
              <w:color w:val="000000" w:themeColor="text1"/>
            </w:rPr>
            <w:fldChar w:fldCharType="end"/>
          </w:r>
        </w:sdtContent>
      </w:sdt>
      <w:r w:rsidR="002C18E9" w:rsidRPr="002815F4">
        <w:rPr>
          <w:rFonts w:ascii="Calibri" w:hAnsi="Calibri"/>
          <w:color w:val="000000" w:themeColor="text1"/>
        </w:rPr>
        <w:t>.</w:t>
      </w:r>
    </w:p>
    <w:p w14:paraId="4CFAEB9D" w14:textId="1A5DCD2E" w:rsidR="001B5032" w:rsidRPr="002815F4" w:rsidRDefault="0011071D" w:rsidP="00405360">
      <w:pPr>
        <w:spacing w:before="120"/>
        <w:rPr>
          <w:rFonts w:ascii="Calibri" w:hAnsi="Calibri"/>
          <w:bCs/>
        </w:rPr>
      </w:pPr>
      <w:r w:rsidRPr="002815F4">
        <w:rPr>
          <w:rFonts w:ascii="Calibri" w:hAnsi="Calibri"/>
          <w:bCs/>
        </w:rPr>
        <w:t>In mining, t</w:t>
      </w:r>
      <w:r w:rsidR="00DC7808" w:rsidRPr="002815F4">
        <w:rPr>
          <w:rFonts w:ascii="Calibri" w:hAnsi="Calibri"/>
          <w:bCs/>
        </w:rPr>
        <w:t xml:space="preserve">he 2014 EITI Report provides a comprehensive explanation of reforms to government policy on contract disclosure (2014 EITI Report, p.32). </w:t>
      </w:r>
      <w:r w:rsidR="000D5D3F" w:rsidRPr="002815F4">
        <w:rPr>
          <w:rFonts w:ascii="Calibri" w:hAnsi="Calibri"/>
          <w:bCs/>
        </w:rPr>
        <w:t xml:space="preserve">While the report notes </w:t>
      </w:r>
      <w:r w:rsidR="00E209EE" w:rsidRPr="002815F4">
        <w:rPr>
          <w:rFonts w:ascii="Calibri" w:hAnsi="Calibri"/>
          <w:bCs/>
        </w:rPr>
        <w:t xml:space="preserve">the 2003 Mining Code’s </w:t>
      </w:r>
      <w:r w:rsidR="000D5D3F" w:rsidRPr="002815F4">
        <w:rPr>
          <w:rFonts w:ascii="Calibri" w:hAnsi="Calibri"/>
          <w:bCs/>
        </w:rPr>
        <w:t xml:space="preserve">lack of provisions </w:t>
      </w:r>
      <w:r w:rsidR="00E209EE" w:rsidRPr="002815F4">
        <w:rPr>
          <w:rFonts w:ascii="Calibri" w:hAnsi="Calibri"/>
          <w:bCs/>
        </w:rPr>
        <w:t xml:space="preserve">on </w:t>
      </w:r>
      <w:r w:rsidR="00753CE7" w:rsidRPr="002815F4">
        <w:rPr>
          <w:rFonts w:ascii="Calibri" w:hAnsi="Calibri"/>
          <w:bCs/>
        </w:rPr>
        <w:t xml:space="preserve">contract disclosure </w:t>
      </w:r>
      <w:r w:rsidR="00E209EE" w:rsidRPr="002815F4">
        <w:rPr>
          <w:rFonts w:ascii="Calibri" w:hAnsi="Calibri"/>
          <w:bCs/>
        </w:rPr>
        <w:t>and its confidentiality provisions</w:t>
      </w:r>
      <w:r w:rsidR="00B57665" w:rsidRPr="002815F4">
        <w:rPr>
          <w:rFonts w:ascii="Calibri" w:hAnsi="Calibri"/>
          <w:bCs/>
        </w:rPr>
        <w:t xml:space="preserve"> (as well as confidentiality provisions of the model mining contract)</w:t>
      </w:r>
      <w:r w:rsidR="00E209EE" w:rsidRPr="002815F4">
        <w:rPr>
          <w:rFonts w:ascii="Calibri" w:hAnsi="Calibri"/>
          <w:bCs/>
        </w:rPr>
        <w:t xml:space="preserve">, it also describes provisions of the </w:t>
      </w:r>
      <w:r w:rsidR="00DF0CEE" w:rsidRPr="002815F4">
        <w:rPr>
          <w:rFonts w:ascii="Calibri" w:hAnsi="Calibri"/>
          <w:bCs/>
        </w:rPr>
        <w:t xml:space="preserve">Code on Transparency in Public Financial Management </w:t>
      </w:r>
      <w:r w:rsidR="00E209EE" w:rsidRPr="002815F4">
        <w:rPr>
          <w:rFonts w:ascii="Calibri" w:hAnsi="Calibri"/>
          <w:bCs/>
        </w:rPr>
        <w:t>(</w:t>
      </w:r>
      <w:r w:rsidR="00DF0CEE" w:rsidRPr="002815F4">
        <w:rPr>
          <w:rFonts w:ascii="Calibri" w:hAnsi="Calibri"/>
          <w:bCs/>
        </w:rPr>
        <w:t>Law 2012-22 of 27 December 2012</w:t>
      </w:r>
      <w:r w:rsidR="00E209EE" w:rsidRPr="002815F4">
        <w:rPr>
          <w:rFonts w:ascii="Calibri" w:hAnsi="Calibri"/>
          <w:bCs/>
        </w:rPr>
        <w:t>)</w:t>
      </w:r>
      <w:r w:rsidR="00DF0CEE" w:rsidRPr="002815F4">
        <w:rPr>
          <w:rFonts w:ascii="Calibri" w:hAnsi="Calibri"/>
          <w:bCs/>
        </w:rPr>
        <w:t xml:space="preserve"> </w:t>
      </w:r>
      <w:r w:rsidR="00E209EE" w:rsidRPr="002815F4">
        <w:rPr>
          <w:rFonts w:ascii="Calibri" w:hAnsi="Calibri"/>
          <w:bCs/>
        </w:rPr>
        <w:t xml:space="preserve">requiring </w:t>
      </w:r>
      <w:r w:rsidR="00DF0CEE" w:rsidRPr="002815F4">
        <w:rPr>
          <w:rFonts w:ascii="Calibri" w:hAnsi="Calibri"/>
          <w:bCs/>
        </w:rPr>
        <w:t xml:space="preserve">contracts </w:t>
      </w:r>
      <w:r w:rsidR="00E209EE" w:rsidRPr="002815F4">
        <w:rPr>
          <w:rFonts w:ascii="Calibri" w:hAnsi="Calibri"/>
          <w:bCs/>
        </w:rPr>
        <w:t xml:space="preserve">to be made </w:t>
      </w:r>
      <w:r w:rsidR="00DF0CEE" w:rsidRPr="002815F4">
        <w:rPr>
          <w:rFonts w:ascii="Calibri" w:hAnsi="Calibri"/>
          <w:bCs/>
        </w:rPr>
        <w:t>public</w:t>
      </w:r>
      <w:r w:rsidR="00BE608E" w:rsidRPr="002815F4">
        <w:rPr>
          <w:rFonts w:ascii="Calibri" w:hAnsi="Calibri"/>
          <w:bCs/>
        </w:rPr>
        <w:t xml:space="preserve"> (2014 EITI Report, p.32).</w:t>
      </w:r>
      <w:r w:rsidR="00DF0CEE" w:rsidRPr="002815F4">
        <w:rPr>
          <w:rFonts w:ascii="Calibri" w:hAnsi="Calibri"/>
          <w:bCs/>
        </w:rPr>
        <w:t xml:space="preserve"> </w:t>
      </w:r>
      <w:r w:rsidR="00E209EE" w:rsidRPr="002815F4">
        <w:rPr>
          <w:rFonts w:ascii="Calibri" w:hAnsi="Calibri"/>
          <w:bCs/>
        </w:rPr>
        <w:t xml:space="preserve">It also describes provisions (Article L117) of the then-proposed (since enacted) draft new Mining Code, under development since 2013 and </w:t>
      </w:r>
      <w:r w:rsidR="00DF0CEE" w:rsidRPr="002815F4">
        <w:rPr>
          <w:rFonts w:ascii="Calibri" w:hAnsi="Calibri"/>
          <w:bCs/>
        </w:rPr>
        <w:t xml:space="preserve">approved by the Council of Ministers in September 2016, </w:t>
      </w:r>
      <w:r w:rsidR="00E209EE" w:rsidRPr="002815F4">
        <w:rPr>
          <w:rFonts w:ascii="Calibri" w:hAnsi="Calibri"/>
          <w:bCs/>
        </w:rPr>
        <w:t>requiring</w:t>
      </w:r>
      <w:r w:rsidR="00DF0CEE" w:rsidRPr="002815F4">
        <w:rPr>
          <w:rFonts w:ascii="Calibri" w:hAnsi="Calibri"/>
          <w:bCs/>
        </w:rPr>
        <w:t xml:space="preserve"> all mining contracts to be publ</w:t>
      </w:r>
      <w:r w:rsidR="00E209EE" w:rsidRPr="002815F4">
        <w:rPr>
          <w:rFonts w:ascii="Calibri" w:hAnsi="Calibri"/>
          <w:bCs/>
        </w:rPr>
        <w:t>ished on the government website, although it is unclear from the report’s description whether such provisions would be applied retroactively (2014 EITI Report, pp.32,38).</w:t>
      </w:r>
      <w:r w:rsidR="00DF0CEE" w:rsidRPr="002815F4">
        <w:rPr>
          <w:rFonts w:ascii="Calibri" w:hAnsi="Calibri"/>
          <w:bCs/>
        </w:rPr>
        <w:t xml:space="preserve"> </w:t>
      </w:r>
      <w:r w:rsidR="006F0495" w:rsidRPr="002815F4">
        <w:rPr>
          <w:rFonts w:ascii="Calibri" w:hAnsi="Calibri"/>
          <w:bCs/>
        </w:rPr>
        <w:t xml:space="preserve">The EITI Senegal website includes several articles highlighting provisions of the 2016 Mining Code, enacted by parliament in November 2016, requiring publication of all mining contracts </w:t>
      </w:r>
      <w:sdt>
        <w:sdtPr>
          <w:rPr>
            <w:rFonts w:ascii="Calibri" w:hAnsi="Calibri"/>
            <w:bCs/>
          </w:rPr>
          <w:id w:val="-4052062"/>
          <w:citation/>
        </w:sdtPr>
        <w:sdtEndPr/>
        <w:sdtContent>
          <w:r w:rsidR="001B5032" w:rsidRPr="002815F4">
            <w:rPr>
              <w:rFonts w:ascii="Calibri" w:hAnsi="Calibri"/>
              <w:bCs/>
            </w:rPr>
            <w:fldChar w:fldCharType="begin"/>
          </w:r>
          <w:r w:rsidR="001B5032" w:rsidRPr="002815F4">
            <w:rPr>
              <w:rFonts w:ascii="Calibri" w:hAnsi="Calibri"/>
              <w:bCs/>
            </w:rPr>
            <w:instrText xml:space="preserve"> CITATION Rép16 \l 1033 </w:instrText>
          </w:r>
          <w:r w:rsidR="001B5032" w:rsidRPr="002815F4">
            <w:rPr>
              <w:rFonts w:ascii="Calibri" w:hAnsi="Calibri"/>
              <w:bCs/>
            </w:rPr>
            <w:fldChar w:fldCharType="separate"/>
          </w:r>
          <w:r w:rsidR="003E626E" w:rsidRPr="002815F4">
            <w:rPr>
              <w:rFonts w:ascii="Calibri" w:hAnsi="Calibri"/>
              <w:noProof/>
            </w:rPr>
            <w:t>(République du Senegal, 2016)</w:t>
          </w:r>
          <w:r w:rsidR="001B5032" w:rsidRPr="002815F4">
            <w:rPr>
              <w:rFonts w:ascii="Calibri" w:hAnsi="Calibri"/>
              <w:bCs/>
            </w:rPr>
            <w:fldChar w:fldCharType="end"/>
          </w:r>
        </w:sdtContent>
      </w:sdt>
      <w:r w:rsidR="006F0495" w:rsidRPr="002815F4">
        <w:rPr>
          <w:rFonts w:ascii="Calibri" w:hAnsi="Calibri"/>
          <w:bCs/>
        </w:rPr>
        <w:t xml:space="preserve"> </w:t>
      </w:r>
      <w:sdt>
        <w:sdtPr>
          <w:rPr>
            <w:rFonts w:ascii="Calibri" w:hAnsi="Calibri"/>
            <w:bCs/>
          </w:rPr>
          <w:id w:val="1895007879"/>
          <w:citation/>
        </w:sdtPr>
        <w:sdtEndPr/>
        <w:sdtContent>
          <w:r w:rsidRPr="002815F4">
            <w:rPr>
              <w:rFonts w:ascii="Calibri" w:hAnsi="Calibri"/>
              <w:bCs/>
            </w:rPr>
            <w:fldChar w:fldCharType="begin"/>
          </w:r>
          <w:r w:rsidRPr="002815F4">
            <w:rPr>
              <w:rFonts w:ascii="Calibri" w:hAnsi="Calibri"/>
              <w:bCs/>
            </w:rPr>
            <w:instrText xml:space="preserve"> CITATION ITI1628 \l 1033 </w:instrText>
          </w:r>
          <w:r w:rsidRPr="002815F4">
            <w:rPr>
              <w:rFonts w:ascii="Calibri" w:hAnsi="Calibri"/>
              <w:bCs/>
            </w:rPr>
            <w:fldChar w:fldCharType="separate"/>
          </w:r>
          <w:r w:rsidR="003E626E" w:rsidRPr="002815F4">
            <w:rPr>
              <w:rFonts w:ascii="Calibri" w:hAnsi="Calibri"/>
              <w:noProof/>
            </w:rPr>
            <w:t>(ITIE Senegal, 2016)</w:t>
          </w:r>
          <w:r w:rsidRPr="002815F4">
            <w:rPr>
              <w:rFonts w:ascii="Calibri" w:hAnsi="Calibri"/>
              <w:bCs/>
            </w:rPr>
            <w:fldChar w:fldCharType="end"/>
          </w:r>
        </w:sdtContent>
      </w:sdt>
      <w:sdt>
        <w:sdtPr>
          <w:rPr>
            <w:rFonts w:ascii="Calibri" w:hAnsi="Calibri"/>
            <w:bCs/>
          </w:rPr>
          <w:id w:val="-1303849363"/>
          <w:citation/>
        </w:sdtPr>
        <w:sdtEndPr/>
        <w:sdtContent>
          <w:r w:rsidRPr="002815F4">
            <w:rPr>
              <w:rFonts w:ascii="Calibri" w:hAnsi="Calibri"/>
              <w:bCs/>
            </w:rPr>
            <w:fldChar w:fldCharType="begin"/>
          </w:r>
          <w:r w:rsidRPr="002815F4">
            <w:rPr>
              <w:rFonts w:ascii="Calibri" w:hAnsi="Calibri"/>
              <w:bCs/>
            </w:rPr>
            <w:instrText xml:space="preserve"> CITATION ITI176 \l 1033 </w:instrText>
          </w:r>
          <w:r w:rsidRPr="002815F4">
            <w:rPr>
              <w:rFonts w:ascii="Calibri" w:hAnsi="Calibri"/>
              <w:bCs/>
            </w:rPr>
            <w:fldChar w:fldCharType="separate"/>
          </w:r>
          <w:r w:rsidR="003E626E" w:rsidRPr="002815F4">
            <w:rPr>
              <w:rFonts w:ascii="Calibri" w:hAnsi="Calibri"/>
              <w:bCs/>
              <w:noProof/>
            </w:rPr>
            <w:t xml:space="preserve"> </w:t>
          </w:r>
          <w:r w:rsidR="003E626E" w:rsidRPr="002815F4">
            <w:rPr>
              <w:rFonts w:ascii="Calibri" w:hAnsi="Calibri"/>
              <w:noProof/>
            </w:rPr>
            <w:t>(ITIE Senegal, 2017)</w:t>
          </w:r>
          <w:r w:rsidRPr="002815F4">
            <w:rPr>
              <w:rFonts w:ascii="Calibri" w:hAnsi="Calibri"/>
              <w:bCs/>
            </w:rPr>
            <w:fldChar w:fldCharType="end"/>
          </w:r>
        </w:sdtContent>
      </w:sdt>
      <w:r w:rsidR="001B5032" w:rsidRPr="002815F4">
        <w:rPr>
          <w:rFonts w:ascii="Calibri" w:hAnsi="Calibri"/>
          <w:bCs/>
        </w:rPr>
        <w:t xml:space="preserve">. </w:t>
      </w:r>
    </w:p>
    <w:p w14:paraId="0382E3F6" w14:textId="457E8772" w:rsidR="0011071D" w:rsidRPr="002815F4" w:rsidRDefault="0077624D" w:rsidP="00405360">
      <w:pPr>
        <w:spacing w:before="120"/>
        <w:rPr>
          <w:rFonts w:ascii="Calibri" w:hAnsi="Calibri"/>
          <w:bCs/>
        </w:rPr>
      </w:pPr>
      <w:r w:rsidRPr="002815F4">
        <w:rPr>
          <w:rFonts w:ascii="Calibri" w:hAnsi="Calibri"/>
          <w:bCs/>
        </w:rPr>
        <w:t xml:space="preserve">In oil and gas, </w:t>
      </w:r>
      <w:r w:rsidR="00BE608E" w:rsidRPr="002815F4">
        <w:rPr>
          <w:rFonts w:ascii="Calibri" w:hAnsi="Calibri"/>
          <w:bCs/>
        </w:rPr>
        <w:t xml:space="preserve">the 2014 EITI Report highlights provisions of the 1998 Petroleum Code (Articles 17 and 34) and of its implementing regulations in Decree 98-810 (Articles 13 and 14) requiring the publication of all oil and gas contracts in the official gazette (2014 EITI Report, p.45). </w:t>
      </w:r>
      <w:r w:rsidR="0057659F" w:rsidRPr="002815F4">
        <w:rPr>
          <w:rFonts w:ascii="Calibri" w:hAnsi="Calibri"/>
          <w:bCs/>
        </w:rPr>
        <w:t>The report also reiterates p</w:t>
      </w:r>
      <w:r w:rsidR="00BE608E" w:rsidRPr="002815F4">
        <w:rPr>
          <w:rFonts w:ascii="Calibri" w:hAnsi="Calibri"/>
          <w:bCs/>
        </w:rPr>
        <w:t xml:space="preserve">rovisions related to contract transparency in the 2012 Code on Transparency in Public Financial Management in relation to oil and gas contracts </w:t>
      </w:r>
      <w:r w:rsidR="0057659F" w:rsidRPr="002815F4">
        <w:rPr>
          <w:rFonts w:ascii="Calibri" w:hAnsi="Calibri"/>
          <w:bCs/>
        </w:rPr>
        <w:t xml:space="preserve">and notes provisions of the draft new Petroleum Code under development that would require publication of oil and gas contracts </w:t>
      </w:r>
      <w:r w:rsidR="00BE608E" w:rsidRPr="002815F4">
        <w:rPr>
          <w:rFonts w:ascii="Calibri" w:hAnsi="Calibri"/>
          <w:bCs/>
        </w:rPr>
        <w:t>(2014 EITI Report, p.45).</w:t>
      </w:r>
    </w:p>
    <w:p w14:paraId="6E3C9A5B" w14:textId="132D92A1" w:rsidR="00D0514B" w:rsidRPr="002815F4" w:rsidRDefault="00F425D1" w:rsidP="00F425D1">
      <w:pPr>
        <w:spacing w:before="120"/>
        <w:rPr>
          <w:rFonts w:ascii="Calibri" w:hAnsi="Calibri"/>
          <w:bCs/>
        </w:rPr>
      </w:pPr>
      <w:r w:rsidRPr="002815F4">
        <w:rPr>
          <w:rFonts w:ascii="Calibri" w:hAnsi="Calibri"/>
          <w:i/>
          <w:color w:val="000000" w:themeColor="text1"/>
          <w:u w:val="single"/>
        </w:rPr>
        <w:t>Actual practice</w:t>
      </w:r>
      <w:r w:rsidRPr="002815F4">
        <w:rPr>
          <w:rFonts w:ascii="Calibri" w:hAnsi="Calibri"/>
          <w:color w:val="000000" w:themeColor="text1"/>
        </w:rPr>
        <w:t xml:space="preserve">: </w:t>
      </w:r>
      <w:r w:rsidR="00A04DBF" w:rsidRPr="002815F4">
        <w:rPr>
          <w:rFonts w:ascii="Calibri" w:hAnsi="Calibri"/>
          <w:color w:val="000000" w:themeColor="text1"/>
        </w:rPr>
        <w:t xml:space="preserve">The 2014 EITI Report describes the publication of all decrees awarding mining licenses and oil and gas contracts and concessions in the official gazette, which are available online (for post-2001 decrees) or via request from the Secretary General to the Government (for pre-2001 decrees) (2014 EITI Report, pp.32,52). </w:t>
      </w:r>
      <w:r w:rsidR="002C18E9" w:rsidRPr="002815F4">
        <w:rPr>
          <w:rFonts w:ascii="Calibri" w:hAnsi="Calibri"/>
          <w:color w:val="000000" w:themeColor="text1"/>
        </w:rPr>
        <w:t xml:space="preserve">While the report provides links to a database of all published oil and gas contracts (2014 EITI Report, p.45), it does not provide a similar link to published mining contracts, aside from a link to the model mining contract (2014 EITI Report, p.32). However, the report states that the Minister of Mines has started consultations with mining contract-holders for the disclosure of mining contracts, with 22 of the 37 contract-holders agreeing to publish their contracts as of 5 October 2016 (2014 EITI Report, p.32). </w:t>
      </w:r>
      <w:r w:rsidR="00B53726">
        <w:rPr>
          <w:rFonts w:ascii="Calibri" w:hAnsi="Calibri"/>
          <w:bCs/>
        </w:rPr>
        <w:t>Senegal’s</w:t>
      </w:r>
      <w:r w:rsidR="00236E13" w:rsidRPr="002815F4">
        <w:rPr>
          <w:rFonts w:ascii="Calibri" w:hAnsi="Calibri"/>
          <w:bCs/>
        </w:rPr>
        <w:t xml:space="preserve"> EITI has played a key role in following up on </w:t>
      </w:r>
      <w:r w:rsidR="002C18E9" w:rsidRPr="002815F4">
        <w:rPr>
          <w:rFonts w:ascii="Calibri" w:hAnsi="Calibri"/>
          <w:bCs/>
        </w:rPr>
        <w:t xml:space="preserve">full </w:t>
      </w:r>
      <w:r w:rsidR="00236E13" w:rsidRPr="002815F4">
        <w:rPr>
          <w:rFonts w:ascii="Calibri" w:hAnsi="Calibri"/>
          <w:bCs/>
        </w:rPr>
        <w:t xml:space="preserve">implementation of the government’s policy of contract transparency. In late 2016 for instance, Sabodala Gold Operations responded to calls from EITI Senegal to publish its mining contract with the government by noting its support for all companies to disclose their contracts but its caution in being the only company to do so </w:t>
      </w:r>
      <w:sdt>
        <w:sdtPr>
          <w:rPr>
            <w:rFonts w:ascii="Calibri" w:hAnsi="Calibri"/>
            <w:bCs/>
          </w:rPr>
          <w:id w:val="-294911811"/>
          <w:citation/>
        </w:sdtPr>
        <w:sdtEndPr/>
        <w:sdtContent>
          <w:r w:rsidR="00236E13" w:rsidRPr="002815F4">
            <w:rPr>
              <w:rFonts w:ascii="Calibri" w:hAnsi="Calibri"/>
              <w:bCs/>
            </w:rPr>
            <w:fldChar w:fldCharType="begin"/>
          </w:r>
          <w:r w:rsidR="00236E13" w:rsidRPr="002815F4">
            <w:rPr>
              <w:rFonts w:ascii="Calibri" w:hAnsi="Calibri"/>
              <w:bCs/>
            </w:rPr>
            <w:instrText xml:space="preserve"> CITATION APS16 \l 1033 </w:instrText>
          </w:r>
          <w:r w:rsidR="00236E13" w:rsidRPr="002815F4">
            <w:rPr>
              <w:rFonts w:ascii="Calibri" w:hAnsi="Calibri"/>
              <w:bCs/>
            </w:rPr>
            <w:fldChar w:fldCharType="separate"/>
          </w:r>
          <w:r w:rsidR="003E626E" w:rsidRPr="002815F4">
            <w:rPr>
              <w:rFonts w:ascii="Calibri" w:hAnsi="Calibri"/>
              <w:noProof/>
            </w:rPr>
            <w:t>(APS, 2016)</w:t>
          </w:r>
          <w:r w:rsidR="00236E13" w:rsidRPr="002815F4">
            <w:rPr>
              <w:rFonts w:ascii="Calibri" w:hAnsi="Calibri"/>
              <w:bCs/>
            </w:rPr>
            <w:fldChar w:fldCharType="end"/>
          </w:r>
        </w:sdtContent>
      </w:sdt>
      <w:r w:rsidR="00236E13" w:rsidRPr="002815F4">
        <w:rPr>
          <w:rFonts w:ascii="Calibri" w:hAnsi="Calibri"/>
          <w:bCs/>
        </w:rPr>
        <w:t xml:space="preserve">. </w:t>
      </w:r>
    </w:p>
    <w:p w14:paraId="40A15451" w14:textId="77777777" w:rsidR="00BB1126" w:rsidRPr="002815F4" w:rsidRDefault="00F425D1" w:rsidP="00405360">
      <w:pPr>
        <w:spacing w:before="120"/>
        <w:rPr>
          <w:rFonts w:ascii="Calibri" w:hAnsi="Calibri"/>
          <w:color w:val="000000" w:themeColor="text1"/>
        </w:rPr>
      </w:pPr>
      <w:r w:rsidRPr="002815F4">
        <w:rPr>
          <w:rFonts w:ascii="Calibri" w:hAnsi="Calibri"/>
          <w:i/>
          <w:u w:val="single"/>
        </w:rPr>
        <w:lastRenderedPageBreak/>
        <w:t>Accessibility</w:t>
      </w:r>
      <w:r w:rsidRPr="002815F4">
        <w:rPr>
          <w:rFonts w:ascii="Calibri" w:hAnsi="Calibri"/>
        </w:rPr>
        <w:t xml:space="preserve">: </w:t>
      </w:r>
      <w:r w:rsidR="002C18E9" w:rsidRPr="002815F4">
        <w:rPr>
          <w:rFonts w:ascii="Calibri" w:hAnsi="Calibri"/>
          <w:color w:val="000000" w:themeColor="text1"/>
        </w:rPr>
        <w:t xml:space="preserve">In October 2016, the government unilaterally published a set of mining, oil and gas contracts on the government’s main website </w:t>
      </w:r>
      <w:sdt>
        <w:sdtPr>
          <w:rPr>
            <w:rFonts w:ascii="Calibri" w:hAnsi="Calibri"/>
            <w:color w:val="000000" w:themeColor="text1"/>
          </w:rPr>
          <w:id w:val="742143716"/>
          <w:citation/>
        </w:sdtPr>
        <w:sdtEndPr/>
        <w:sdtContent>
          <w:r w:rsidR="002C18E9" w:rsidRPr="002815F4">
            <w:rPr>
              <w:rFonts w:ascii="Calibri" w:hAnsi="Calibri"/>
              <w:color w:val="000000" w:themeColor="text1"/>
            </w:rPr>
            <w:fldChar w:fldCharType="begin"/>
          </w:r>
          <w:r w:rsidR="002C18E9" w:rsidRPr="002815F4">
            <w:rPr>
              <w:rFonts w:ascii="Calibri" w:hAnsi="Calibri"/>
              <w:color w:val="000000" w:themeColor="text1"/>
            </w:rPr>
            <w:instrText xml:space="preserve"> CITATION ITI1637 \l 1033 </w:instrText>
          </w:r>
          <w:r w:rsidR="002C18E9" w:rsidRPr="002815F4">
            <w:rPr>
              <w:rFonts w:ascii="Calibri" w:hAnsi="Calibri"/>
              <w:color w:val="000000" w:themeColor="text1"/>
            </w:rPr>
            <w:fldChar w:fldCharType="separate"/>
          </w:r>
          <w:r w:rsidR="003E626E" w:rsidRPr="002815F4">
            <w:rPr>
              <w:rFonts w:ascii="Calibri" w:hAnsi="Calibri"/>
              <w:noProof/>
              <w:color w:val="000000" w:themeColor="text1"/>
            </w:rPr>
            <w:t>(ITIE Senegal, 2016)</w:t>
          </w:r>
          <w:r w:rsidR="002C18E9" w:rsidRPr="002815F4">
            <w:rPr>
              <w:rFonts w:ascii="Calibri" w:hAnsi="Calibri"/>
              <w:color w:val="000000" w:themeColor="text1"/>
            </w:rPr>
            <w:fldChar w:fldCharType="end"/>
          </w:r>
        </w:sdtContent>
      </w:sdt>
      <w:r w:rsidR="002C18E9" w:rsidRPr="002815F4">
        <w:rPr>
          <w:rFonts w:ascii="Calibri" w:hAnsi="Calibri"/>
          <w:color w:val="000000" w:themeColor="text1"/>
        </w:rPr>
        <w:t>. Extractives contracts were published both on the main government website, both 23 in mining</w:t>
      </w:r>
      <w:r w:rsidR="002C18E9" w:rsidRPr="002815F4">
        <w:rPr>
          <w:rStyle w:val="FootnoteReference"/>
          <w:rFonts w:ascii="Calibri" w:hAnsi="Calibri"/>
          <w:color w:val="000000" w:themeColor="text1"/>
        </w:rPr>
        <w:footnoteReference w:id="49"/>
      </w:r>
      <w:r w:rsidR="002C18E9" w:rsidRPr="002815F4">
        <w:rPr>
          <w:rFonts w:ascii="Calibri" w:hAnsi="Calibri"/>
          <w:color w:val="000000" w:themeColor="text1"/>
        </w:rPr>
        <w:t xml:space="preserve"> and 7 in oil and gas</w:t>
      </w:r>
      <w:r w:rsidR="002C18E9" w:rsidRPr="002815F4">
        <w:rPr>
          <w:rStyle w:val="FootnoteReference"/>
          <w:rFonts w:ascii="Calibri" w:hAnsi="Calibri"/>
          <w:color w:val="000000" w:themeColor="text1"/>
        </w:rPr>
        <w:footnoteReference w:id="50"/>
      </w:r>
      <w:r w:rsidR="002C18E9" w:rsidRPr="002815F4">
        <w:rPr>
          <w:rFonts w:ascii="Calibri" w:hAnsi="Calibri"/>
          <w:color w:val="000000" w:themeColor="text1"/>
        </w:rPr>
        <w:t>, and on the EITI Senegal, also split between 34 in mining</w:t>
      </w:r>
      <w:r w:rsidR="002C18E9" w:rsidRPr="002815F4">
        <w:rPr>
          <w:rStyle w:val="FootnoteReference"/>
          <w:rFonts w:ascii="Calibri" w:hAnsi="Calibri"/>
          <w:color w:val="000000" w:themeColor="text1"/>
        </w:rPr>
        <w:footnoteReference w:id="51"/>
      </w:r>
      <w:r w:rsidR="002C18E9" w:rsidRPr="002815F4">
        <w:rPr>
          <w:rFonts w:ascii="Calibri" w:hAnsi="Calibri"/>
          <w:color w:val="000000" w:themeColor="text1"/>
        </w:rPr>
        <w:t xml:space="preserve"> and 15 in oil and gas.</w:t>
      </w:r>
      <w:r w:rsidR="002C18E9" w:rsidRPr="002815F4">
        <w:rPr>
          <w:rStyle w:val="FootnoteReference"/>
          <w:rFonts w:ascii="Calibri" w:hAnsi="Calibri"/>
          <w:color w:val="000000" w:themeColor="text1"/>
        </w:rPr>
        <w:footnoteReference w:id="52"/>
      </w:r>
      <w:r w:rsidR="002C18E9" w:rsidRPr="002815F4">
        <w:rPr>
          <w:rFonts w:ascii="Calibri" w:hAnsi="Calibri"/>
          <w:color w:val="000000" w:themeColor="text1"/>
        </w:rPr>
        <w:t xml:space="preserve"> The Resource Contracts portal lists only 42 mining, oil and gas contracts for Senegal.</w:t>
      </w:r>
      <w:r w:rsidR="002C18E9" w:rsidRPr="002815F4">
        <w:rPr>
          <w:rStyle w:val="FootnoteReference"/>
          <w:rFonts w:ascii="Calibri" w:hAnsi="Calibri"/>
          <w:color w:val="000000" w:themeColor="text1"/>
        </w:rPr>
        <w:footnoteReference w:id="53"/>
      </w:r>
    </w:p>
    <w:p w14:paraId="56F8D60E" w14:textId="77777777" w:rsidR="00247985" w:rsidRPr="002815F4" w:rsidRDefault="00545BBC" w:rsidP="009B3E66">
      <w:pPr>
        <w:pStyle w:val="Heading3"/>
      </w:pPr>
      <w:r w:rsidRPr="002815F4">
        <w:t>Stakeholder views</w:t>
      </w:r>
    </w:p>
    <w:p w14:paraId="734F8100" w14:textId="674867A7" w:rsidR="003F47A4" w:rsidRPr="002815F4" w:rsidRDefault="0013355B">
      <w:pPr>
        <w:spacing w:before="120"/>
        <w:rPr>
          <w:rFonts w:ascii="Calibri" w:hAnsi="Calibri"/>
          <w:bCs/>
        </w:rPr>
      </w:pPr>
      <w:r w:rsidRPr="002815F4">
        <w:rPr>
          <w:rFonts w:ascii="Calibri" w:hAnsi="Calibri"/>
          <w:bCs/>
        </w:rPr>
        <w:t xml:space="preserve">Government </w:t>
      </w:r>
      <w:r w:rsidR="002815F4" w:rsidRPr="002815F4">
        <w:rPr>
          <w:rFonts w:ascii="Calibri" w:hAnsi="Calibri"/>
          <w:bCs/>
        </w:rPr>
        <w:t>representatives</w:t>
      </w:r>
      <w:r w:rsidRPr="002815F4">
        <w:rPr>
          <w:rFonts w:ascii="Calibri" w:hAnsi="Calibri"/>
          <w:bCs/>
        </w:rPr>
        <w:t xml:space="preserve"> noted th</w:t>
      </w:r>
      <w:r w:rsidR="003F47A4" w:rsidRPr="002815F4">
        <w:rPr>
          <w:rFonts w:ascii="Calibri" w:hAnsi="Calibri"/>
          <w:bCs/>
        </w:rPr>
        <w:t>at</w:t>
      </w:r>
      <w:r w:rsidRPr="002815F4">
        <w:rPr>
          <w:rFonts w:ascii="Calibri" w:hAnsi="Calibri"/>
          <w:bCs/>
        </w:rPr>
        <w:t xml:space="preserve"> the 2012 Code on Transparency in Public Financial Management</w:t>
      </w:r>
      <w:r w:rsidR="003F47A4" w:rsidRPr="002815F4">
        <w:rPr>
          <w:rFonts w:ascii="Calibri" w:hAnsi="Calibri"/>
          <w:bCs/>
        </w:rPr>
        <w:t>,</w:t>
      </w:r>
      <w:r w:rsidRPr="002815F4">
        <w:rPr>
          <w:rFonts w:ascii="Calibri" w:hAnsi="Calibri"/>
          <w:bCs/>
        </w:rPr>
        <w:t xml:space="preserve"> which provided for the publication of contracts, applied </w:t>
      </w:r>
      <w:r w:rsidR="003F47A4" w:rsidRPr="002815F4">
        <w:rPr>
          <w:rFonts w:ascii="Calibri" w:hAnsi="Calibri"/>
          <w:bCs/>
        </w:rPr>
        <w:t>to all co</w:t>
      </w:r>
      <w:r w:rsidR="00FE73C4" w:rsidRPr="002815F4">
        <w:rPr>
          <w:rFonts w:ascii="Calibri" w:hAnsi="Calibri"/>
          <w:bCs/>
        </w:rPr>
        <w:t>ntracts</w:t>
      </w:r>
      <w:r w:rsidR="003F47A4" w:rsidRPr="002815F4">
        <w:rPr>
          <w:rFonts w:ascii="Calibri" w:hAnsi="Calibri"/>
          <w:bCs/>
        </w:rPr>
        <w:t xml:space="preserve"> in the </w:t>
      </w:r>
      <w:r w:rsidR="00FE73C4" w:rsidRPr="002815F4">
        <w:rPr>
          <w:rFonts w:ascii="Calibri" w:hAnsi="Calibri"/>
          <w:bCs/>
        </w:rPr>
        <w:t xml:space="preserve">extractives </w:t>
      </w:r>
      <w:r w:rsidR="003F47A4" w:rsidRPr="002815F4">
        <w:rPr>
          <w:rFonts w:ascii="Calibri" w:hAnsi="Calibri"/>
          <w:bCs/>
        </w:rPr>
        <w:t>sector.</w:t>
      </w:r>
      <w:r w:rsidR="00AB0072" w:rsidRPr="002815F4">
        <w:rPr>
          <w:rFonts w:ascii="Calibri" w:hAnsi="Calibri"/>
          <w:bCs/>
        </w:rPr>
        <w:t xml:space="preserve"> Although the government is required to publish all oil and gas contracts, there was no legal requirement to publish contracts under the 2003 </w:t>
      </w:r>
      <w:r w:rsidR="00FE73C4" w:rsidRPr="002815F4">
        <w:rPr>
          <w:rFonts w:ascii="Calibri" w:hAnsi="Calibri"/>
          <w:bCs/>
        </w:rPr>
        <w:t>Mining Code however</w:t>
      </w:r>
      <w:r w:rsidR="00AB0072" w:rsidRPr="002815F4">
        <w:rPr>
          <w:rFonts w:ascii="Calibri" w:hAnsi="Calibri"/>
          <w:bCs/>
        </w:rPr>
        <w:t>. T</w:t>
      </w:r>
      <w:r w:rsidR="003F47A4" w:rsidRPr="002815F4">
        <w:rPr>
          <w:rFonts w:ascii="Calibri" w:hAnsi="Calibri"/>
          <w:bCs/>
        </w:rPr>
        <w:t xml:space="preserve">hey clarified that </w:t>
      </w:r>
      <w:r w:rsidRPr="002815F4">
        <w:rPr>
          <w:rFonts w:ascii="Calibri" w:hAnsi="Calibri"/>
          <w:bCs/>
        </w:rPr>
        <w:t xml:space="preserve">the </w:t>
      </w:r>
      <w:r w:rsidR="00AB0072" w:rsidRPr="002815F4">
        <w:rPr>
          <w:rFonts w:ascii="Calibri" w:hAnsi="Calibri"/>
          <w:bCs/>
        </w:rPr>
        <w:t xml:space="preserve">2012 Code </w:t>
      </w:r>
      <w:r w:rsidR="00FE73C4" w:rsidRPr="002815F4">
        <w:rPr>
          <w:rFonts w:ascii="Calibri" w:hAnsi="Calibri"/>
          <w:bCs/>
        </w:rPr>
        <w:t xml:space="preserve">and the 2016 Mining Code </w:t>
      </w:r>
      <w:r w:rsidRPr="002815F4">
        <w:rPr>
          <w:rFonts w:ascii="Calibri" w:hAnsi="Calibri"/>
          <w:bCs/>
        </w:rPr>
        <w:t>w</w:t>
      </w:r>
      <w:r w:rsidR="00FE73C4" w:rsidRPr="002815F4">
        <w:rPr>
          <w:rFonts w:ascii="Calibri" w:hAnsi="Calibri"/>
          <w:bCs/>
        </w:rPr>
        <w:t>ere</w:t>
      </w:r>
      <w:r w:rsidRPr="002815F4">
        <w:rPr>
          <w:rFonts w:ascii="Calibri" w:hAnsi="Calibri"/>
          <w:bCs/>
        </w:rPr>
        <w:t xml:space="preserve"> not retroactive.</w:t>
      </w:r>
      <w:r w:rsidR="003F47A4" w:rsidRPr="002815F4">
        <w:rPr>
          <w:rFonts w:ascii="Calibri" w:hAnsi="Calibri"/>
          <w:bCs/>
        </w:rPr>
        <w:t xml:space="preserve"> </w:t>
      </w:r>
      <w:r w:rsidR="00FE73C4" w:rsidRPr="002815F4">
        <w:rPr>
          <w:rFonts w:ascii="Calibri" w:hAnsi="Calibri"/>
          <w:bCs/>
        </w:rPr>
        <w:t xml:space="preserve">Several industry representatives </w:t>
      </w:r>
      <w:r w:rsidR="003F47A4" w:rsidRPr="002815F4">
        <w:rPr>
          <w:rFonts w:ascii="Calibri" w:hAnsi="Calibri"/>
          <w:bCs/>
        </w:rPr>
        <w:t xml:space="preserve">stated that the stability clauses would </w:t>
      </w:r>
      <w:r w:rsidR="002815F4" w:rsidRPr="002815F4">
        <w:rPr>
          <w:rFonts w:ascii="Calibri" w:hAnsi="Calibri"/>
          <w:bCs/>
        </w:rPr>
        <w:t>supersede</w:t>
      </w:r>
      <w:r w:rsidR="003F47A4" w:rsidRPr="002815F4">
        <w:rPr>
          <w:rFonts w:ascii="Calibri" w:hAnsi="Calibri"/>
          <w:bCs/>
        </w:rPr>
        <w:t xml:space="preserve"> the law for contracts allocated before 201</w:t>
      </w:r>
      <w:r w:rsidR="00FE73C4" w:rsidRPr="002815F4">
        <w:rPr>
          <w:rFonts w:ascii="Calibri" w:hAnsi="Calibri"/>
          <w:bCs/>
        </w:rPr>
        <w:t>2</w:t>
      </w:r>
      <w:r w:rsidR="003F47A4" w:rsidRPr="002815F4">
        <w:rPr>
          <w:rFonts w:ascii="Calibri" w:hAnsi="Calibri"/>
          <w:bCs/>
        </w:rPr>
        <w:t xml:space="preserve">. </w:t>
      </w:r>
      <w:r w:rsidR="00326B32" w:rsidRPr="002815F4">
        <w:rPr>
          <w:rFonts w:ascii="Calibri" w:hAnsi="Calibri"/>
          <w:bCs/>
        </w:rPr>
        <w:t>Government</w:t>
      </w:r>
      <w:r w:rsidRPr="002815F4">
        <w:rPr>
          <w:rFonts w:ascii="Calibri" w:hAnsi="Calibri"/>
          <w:bCs/>
        </w:rPr>
        <w:t xml:space="preserve"> representatives</w:t>
      </w:r>
      <w:r w:rsidR="00326B32" w:rsidRPr="002815F4">
        <w:rPr>
          <w:rFonts w:ascii="Calibri" w:hAnsi="Calibri"/>
          <w:bCs/>
        </w:rPr>
        <w:t xml:space="preserve"> noted that contracts</w:t>
      </w:r>
      <w:r w:rsidRPr="002815F4">
        <w:rPr>
          <w:rFonts w:ascii="Calibri" w:hAnsi="Calibri"/>
          <w:bCs/>
        </w:rPr>
        <w:t xml:space="preserve"> were confidential but the goodwill of </w:t>
      </w:r>
      <w:r w:rsidR="00326B32" w:rsidRPr="002815F4">
        <w:rPr>
          <w:rFonts w:ascii="Calibri" w:hAnsi="Calibri"/>
          <w:bCs/>
        </w:rPr>
        <w:t>companies allow</w:t>
      </w:r>
      <w:r w:rsidRPr="002815F4">
        <w:rPr>
          <w:rFonts w:ascii="Calibri" w:hAnsi="Calibri"/>
          <w:bCs/>
        </w:rPr>
        <w:t>ed</w:t>
      </w:r>
      <w:r w:rsidR="00326B32" w:rsidRPr="002815F4">
        <w:rPr>
          <w:rFonts w:ascii="Calibri" w:hAnsi="Calibri"/>
          <w:bCs/>
        </w:rPr>
        <w:t xml:space="preserve"> for the contracts to be published. The</w:t>
      </w:r>
      <w:r w:rsidRPr="002815F4">
        <w:rPr>
          <w:rFonts w:ascii="Calibri" w:hAnsi="Calibri"/>
          <w:bCs/>
        </w:rPr>
        <w:t>y highlighted that the</w:t>
      </w:r>
      <w:r w:rsidR="00326B32" w:rsidRPr="002815F4">
        <w:rPr>
          <w:rFonts w:ascii="Calibri" w:hAnsi="Calibri"/>
          <w:bCs/>
        </w:rPr>
        <w:t xml:space="preserve"> Minister of </w:t>
      </w:r>
      <w:r w:rsidRPr="002815F4">
        <w:rPr>
          <w:rFonts w:ascii="Calibri" w:hAnsi="Calibri"/>
          <w:bCs/>
        </w:rPr>
        <w:t>Mines had approached each company and</w:t>
      </w:r>
      <w:r w:rsidR="00326B32" w:rsidRPr="002815F4">
        <w:rPr>
          <w:rFonts w:ascii="Calibri" w:hAnsi="Calibri"/>
          <w:bCs/>
        </w:rPr>
        <w:t xml:space="preserve"> request</w:t>
      </w:r>
      <w:r w:rsidRPr="002815F4">
        <w:rPr>
          <w:rFonts w:ascii="Calibri" w:hAnsi="Calibri"/>
          <w:bCs/>
        </w:rPr>
        <w:t>ed</w:t>
      </w:r>
      <w:r w:rsidR="00326B32" w:rsidRPr="002815F4">
        <w:rPr>
          <w:rFonts w:ascii="Calibri" w:hAnsi="Calibri"/>
          <w:bCs/>
        </w:rPr>
        <w:t xml:space="preserve"> the authorization</w:t>
      </w:r>
      <w:r w:rsidRPr="002815F4">
        <w:rPr>
          <w:rFonts w:ascii="Calibri" w:hAnsi="Calibri"/>
          <w:bCs/>
        </w:rPr>
        <w:t xml:space="preserve"> to publish contracts</w:t>
      </w:r>
      <w:r w:rsidR="00FE73C4" w:rsidRPr="002815F4">
        <w:rPr>
          <w:rFonts w:ascii="Calibri" w:hAnsi="Calibri"/>
          <w:bCs/>
        </w:rPr>
        <w:t xml:space="preserve"> and was still following up with a handful of mining companies to publish their contracts. </w:t>
      </w:r>
      <w:r w:rsidR="003F47A4" w:rsidRPr="002815F4">
        <w:rPr>
          <w:rFonts w:ascii="Calibri" w:hAnsi="Calibri"/>
          <w:bCs/>
        </w:rPr>
        <w:t xml:space="preserve">Companies </w:t>
      </w:r>
      <w:r w:rsidR="00FE73C4" w:rsidRPr="002815F4">
        <w:rPr>
          <w:rFonts w:ascii="Calibri" w:hAnsi="Calibri"/>
          <w:bCs/>
        </w:rPr>
        <w:t>confirmed</w:t>
      </w:r>
      <w:r w:rsidR="003F47A4" w:rsidRPr="002815F4">
        <w:rPr>
          <w:rFonts w:ascii="Calibri" w:hAnsi="Calibri"/>
          <w:bCs/>
        </w:rPr>
        <w:t xml:space="preserve"> that government had followed up when did not react to the government’s initial request. </w:t>
      </w:r>
      <w:r w:rsidR="00A47533" w:rsidRPr="002815F4">
        <w:rPr>
          <w:rFonts w:ascii="Calibri" w:hAnsi="Calibri"/>
          <w:bCs/>
        </w:rPr>
        <w:t xml:space="preserve">Government representatives added that the Prime Minister had publicly requested that contracts be published. </w:t>
      </w:r>
      <w:r w:rsidR="003F47A4" w:rsidRPr="002815F4">
        <w:rPr>
          <w:rFonts w:ascii="Calibri" w:hAnsi="Calibri"/>
          <w:bCs/>
        </w:rPr>
        <w:t xml:space="preserve">Companies noted that the Chamber of Mines had encouraged the publication of contracts to its members. </w:t>
      </w:r>
      <w:r w:rsidR="00A47533" w:rsidRPr="002815F4">
        <w:rPr>
          <w:rFonts w:ascii="Calibri" w:hAnsi="Calibri"/>
          <w:bCs/>
        </w:rPr>
        <w:t xml:space="preserve">Some oil and gas company representatives considered that </w:t>
      </w:r>
      <w:r w:rsidR="00A47533" w:rsidRPr="002815F4">
        <w:t xml:space="preserve">the publication of contracts had reduced the government’s margin for manoeuvre in negotiating </w:t>
      </w:r>
      <w:r w:rsidR="002815F4" w:rsidRPr="002815F4">
        <w:t>future contracts</w:t>
      </w:r>
      <w:r w:rsidR="00A47533" w:rsidRPr="002815F4">
        <w:t>.</w:t>
      </w:r>
      <w:r w:rsidR="00326B32" w:rsidRPr="002815F4">
        <w:rPr>
          <w:rFonts w:ascii="Calibri" w:hAnsi="Calibri"/>
          <w:bCs/>
        </w:rPr>
        <w:t xml:space="preserve"> </w:t>
      </w:r>
    </w:p>
    <w:p w14:paraId="62E3172A" w14:textId="1AF117BB" w:rsidR="00B7202A" w:rsidRPr="002815F4" w:rsidRDefault="00B7202A">
      <w:pPr>
        <w:spacing w:before="120"/>
        <w:rPr>
          <w:rFonts w:ascii="Calibri" w:hAnsi="Calibri"/>
          <w:bCs/>
        </w:rPr>
      </w:pPr>
      <w:r w:rsidRPr="002815F4">
        <w:rPr>
          <w:rFonts w:ascii="Calibri" w:hAnsi="Calibri"/>
          <w:bCs/>
        </w:rPr>
        <w:t xml:space="preserve">With respect to the oil and gas sector, civil society </w:t>
      </w:r>
      <w:r w:rsidR="00FE73C4" w:rsidRPr="002815F4">
        <w:rPr>
          <w:rFonts w:ascii="Calibri" w:hAnsi="Calibri"/>
          <w:bCs/>
        </w:rPr>
        <w:t xml:space="preserve">and industry </w:t>
      </w:r>
      <w:r w:rsidRPr="002815F4">
        <w:rPr>
          <w:rFonts w:ascii="Calibri" w:hAnsi="Calibri"/>
          <w:bCs/>
        </w:rPr>
        <w:t>representatives commended the publication of Kosmos’ contract but noted that Total’s contract</w:t>
      </w:r>
      <w:r w:rsidR="00FE73C4" w:rsidRPr="002815F4">
        <w:rPr>
          <w:rFonts w:ascii="Calibri" w:hAnsi="Calibri"/>
          <w:bCs/>
        </w:rPr>
        <w:t>, concluded in May 2017,</w:t>
      </w:r>
      <w:r w:rsidRPr="002815F4">
        <w:rPr>
          <w:rFonts w:ascii="Calibri" w:hAnsi="Calibri"/>
          <w:bCs/>
        </w:rPr>
        <w:t xml:space="preserve"> </w:t>
      </w:r>
      <w:r w:rsidR="00FE73C4" w:rsidRPr="002815F4">
        <w:rPr>
          <w:rFonts w:ascii="Calibri" w:hAnsi="Calibri"/>
          <w:bCs/>
        </w:rPr>
        <w:t xml:space="preserve">had </w:t>
      </w:r>
      <w:r w:rsidRPr="002815F4">
        <w:rPr>
          <w:rFonts w:ascii="Calibri" w:hAnsi="Calibri"/>
          <w:bCs/>
        </w:rPr>
        <w:t xml:space="preserve">not </w:t>
      </w:r>
      <w:r w:rsidR="00FE73C4" w:rsidRPr="002815F4">
        <w:rPr>
          <w:rFonts w:ascii="Calibri" w:hAnsi="Calibri"/>
          <w:bCs/>
        </w:rPr>
        <w:t xml:space="preserve">yet been </w:t>
      </w:r>
      <w:r w:rsidRPr="002815F4">
        <w:rPr>
          <w:rFonts w:ascii="Calibri" w:hAnsi="Calibri"/>
          <w:bCs/>
        </w:rPr>
        <w:t>published</w:t>
      </w:r>
      <w:r w:rsidR="00FE73C4" w:rsidRPr="002815F4">
        <w:rPr>
          <w:rFonts w:ascii="Calibri" w:hAnsi="Calibri"/>
          <w:bCs/>
        </w:rPr>
        <w:t xml:space="preserve"> </w:t>
      </w:r>
      <w:sdt>
        <w:sdtPr>
          <w:rPr>
            <w:rFonts w:ascii="Calibri" w:hAnsi="Calibri"/>
            <w:bCs/>
          </w:rPr>
          <w:id w:val="1275519819"/>
          <w:citation/>
        </w:sdtPr>
        <w:sdtEndPr/>
        <w:sdtContent>
          <w:r w:rsidR="00FE73C4" w:rsidRPr="002815F4">
            <w:rPr>
              <w:rFonts w:ascii="Calibri" w:hAnsi="Calibri"/>
              <w:bCs/>
            </w:rPr>
            <w:fldChar w:fldCharType="begin"/>
          </w:r>
          <w:r w:rsidR="00FE73C4" w:rsidRPr="002815F4">
            <w:rPr>
              <w:rFonts w:ascii="Calibri" w:hAnsi="Calibri"/>
              <w:bCs/>
            </w:rPr>
            <w:instrText xml:space="preserve"> CITATION TOT17 \l 1033 </w:instrText>
          </w:r>
          <w:r w:rsidR="00FE73C4" w:rsidRPr="002815F4">
            <w:rPr>
              <w:rFonts w:ascii="Calibri" w:hAnsi="Calibri"/>
              <w:bCs/>
            </w:rPr>
            <w:fldChar w:fldCharType="separate"/>
          </w:r>
          <w:r w:rsidR="00FE73C4" w:rsidRPr="002815F4">
            <w:rPr>
              <w:rFonts w:ascii="Calibri" w:hAnsi="Calibri"/>
              <w:noProof/>
            </w:rPr>
            <w:t>(TOTAL, 2017)</w:t>
          </w:r>
          <w:r w:rsidR="00FE73C4" w:rsidRPr="002815F4">
            <w:rPr>
              <w:rFonts w:ascii="Calibri" w:hAnsi="Calibri"/>
              <w:bCs/>
            </w:rPr>
            <w:fldChar w:fldCharType="end"/>
          </w:r>
        </w:sdtContent>
      </w:sdt>
      <w:r w:rsidRPr="002815F4">
        <w:rPr>
          <w:rFonts w:ascii="Calibri" w:hAnsi="Calibri"/>
          <w:bCs/>
        </w:rPr>
        <w:t xml:space="preserve">. </w:t>
      </w:r>
      <w:r w:rsidR="00E21DD0" w:rsidRPr="002815F4">
        <w:rPr>
          <w:rFonts w:ascii="Calibri" w:hAnsi="Calibri"/>
          <w:bCs/>
        </w:rPr>
        <w:t>In the mining sector,</w:t>
      </w:r>
      <w:r w:rsidRPr="002815F4">
        <w:rPr>
          <w:rFonts w:ascii="Calibri" w:hAnsi="Calibri"/>
          <w:bCs/>
        </w:rPr>
        <w:t xml:space="preserve"> </w:t>
      </w:r>
      <w:r w:rsidR="00FE73C4" w:rsidRPr="002815F4">
        <w:rPr>
          <w:rFonts w:ascii="Calibri" w:hAnsi="Calibri"/>
          <w:bCs/>
        </w:rPr>
        <w:t xml:space="preserve">development </w:t>
      </w:r>
      <w:r w:rsidRPr="002815F4">
        <w:rPr>
          <w:rFonts w:ascii="Calibri" w:hAnsi="Calibri"/>
          <w:bCs/>
        </w:rPr>
        <w:t xml:space="preserve">partners commended the publication of some </w:t>
      </w:r>
      <w:r w:rsidR="00FE73C4" w:rsidRPr="002815F4">
        <w:rPr>
          <w:rFonts w:ascii="Calibri" w:hAnsi="Calibri"/>
          <w:bCs/>
        </w:rPr>
        <w:t xml:space="preserve">limestone quarrying </w:t>
      </w:r>
      <w:r w:rsidRPr="002815F4">
        <w:rPr>
          <w:rFonts w:ascii="Calibri" w:hAnsi="Calibri"/>
          <w:bCs/>
        </w:rPr>
        <w:t>contracts such as SOC</w:t>
      </w:r>
      <w:r w:rsidR="00FE73C4" w:rsidRPr="002815F4">
        <w:rPr>
          <w:rFonts w:ascii="Calibri" w:hAnsi="Calibri"/>
          <w:bCs/>
        </w:rPr>
        <w:t>O</w:t>
      </w:r>
      <w:r w:rsidRPr="002815F4">
        <w:rPr>
          <w:rFonts w:ascii="Calibri" w:hAnsi="Calibri"/>
          <w:bCs/>
        </w:rPr>
        <w:t>CIM whilst civil society representatives indicated that others were still not published</w:t>
      </w:r>
      <w:r w:rsidR="00326B32" w:rsidRPr="002815F4">
        <w:rPr>
          <w:rFonts w:ascii="Calibri" w:hAnsi="Calibri"/>
          <w:bCs/>
        </w:rPr>
        <w:t xml:space="preserve"> such as Cairn</w:t>
      </w:r>
      <w:r w:rsidR="00FE73C4" w:rsidRPr="002815F4">
        <w:rPr>
          <w:rFonts w:ascii="Calibri" w:hAnsi="Calibri"/>
          <w:bCs/>
        </w:rPr>
        <w:t>’s PSC</w:t>
      </w:r>
      <w:r w:rsidR="00980C67" w:rsidRPr="002815F4">
        <w:rPr>
          <w:rFonts w:ascii="Calibri" w:hAnsi="Calibri"/>
          <w:bCs/>
        </w:rPr>
        <w:t xml:space="preserve"> contract</w:t>
      </w:r>
      <w:r w:rsidR="00326B32" w:rsidRPr="002815F4">
        <w:rPr>
          <w:rFonts w:ascii="Calibri" w:hAnsi="Calibri"/>
          <w:bCs/>
        </w:rPr>
        <w:t xml:space="preserve">. </w:t>
      </w:r>
      <w:r w:rsidR="003F47A4" w:rsidRPr="002815F4">
        <w:rPr>
          <w:rFonts w:ascii="Calibri" w:hAnsi="Calibri"/>
          <w:bCs/>
        </w:rPr>
        <w:t xml:space="preserve"> </w:t>
      </w:r>
    </w:p>
    <w:p w14:paraId="0526C2C6" w14:textId="4BF9B248" w:rsidR="00356541" w:rsidRPr="002815F4" w:rsidRDefault="00B7202A" w:rsidP="00E2507C">
      <w:pPr>
        <w:spacing w:before="120"/>
        <w:rPr>
          <w:rFonts w:ascii="Calibri" w:hAnsi="Calibri"/>
          <w:bCs/>
        </w:rPr>
      </w:pPr>
      <w:r w:rsidRPr="002815F4">
        <w:rPr>
          <w:rFonts w:ascii="Calibri" w:hAnsi="Calibri"/>
          <w:bCs/>
        </w:rPr>
        <w:t>There was no consensus between stakeholders on whether the full contracts had been published</w:t>
      </w:r>
      <w:r w:rsidR="00980C67" w:rsidRPr="002815F4">
        <w:rPr>
          <w:rFonts w:ascii="Calibri" w:hAnsi="Calibri"/>
          <w:bCs/>
        </w:rPr>
        <w:t xml:space="preserve"> and on the precise number of mining contracts not yet published</w:t>
      </w:r>
      <w:r w:rsidRPr="002815F4">
        <w:rPr>
          <w:rFonts w:ascii="Calibri" w:hAnsi="Calibri"/>
          <w:bCs/>
        </w:rPr>
        <w:t>.</w:t>
      </w:r>
      <w:r w:rsidR="00A47533" w:rsidRPr="002815F4">
        <w:t xml:space="preserve"> </w:t>
      </w:r>
      <w:r w:rsidR="00980C67" w:rsidRPr="002815F4">
        <w:t>A comprehensive review of the published contracts, comparing them to the mining, oil and gas cadastres published in annexes to Senegal’s EITI Reports, had not yet been undertaken by any constituency. However, c</w:t>
      </w:r>
      <w:r w:rsidR="00A47533" w:rsidRPr="002815F4">
        <w:t>ompan</w:t>
      </w:r>
      <w:r w:rsidR="00980C67" w:rsidRPr="002815F4">
        <w:t>ies appear to have been the closest followers of contract disclosure and industry</w:t>
      </w:r>
      <w:r w:rsidR="00A47533" w:rsidRPr="002815F4">
        <w:t xml:space="preserve"> representatives </w:t>
      </w:r>
      <w:r w:rsidR="00980C67" w:rsidRPr="002815F4">
        <w:t xml:space="preserve">noted </w:t>
      </w:r>
      <w:r w:rsidR="00A47533" w:rsidRPr="002815F4">
        <w:t xml:space="preserve">that only two mining contracts, </w:t>
      </w:r>
      <w:r w:rsidR="00980C67" w:rsidRPr="002815F4">
        <w:t xml:space="preserve">the </w:t>
      </w:r>
      <w:r w:rsidR="00A47533" w:rsidRPr="002815F4">
        <w:t>SGO and GCO contracts</w:t>
      </w:r>
      <w:r w:rsidR="00980C67" w:rsidRPr="002815F4">
        <w:t>,</w:t>
      </w:r>
      <w:r w:rsidR="00A47533" w:rsidRPr="002815F4">
        <w:t xml:space="preserve"> </w:t>
      </w:r>
      <w:r w:rsidR="00980C67" w:rsidRPr="002815F4">
        <w:t xml:space="preserve">had been </w:t>
      </w:r>
      <w:r w:rsidR="00A47533" w:rsidRPr="002815F4">
        <w:t>amended subsequent to publication</w:t>
      </w:r>
      <w:r w:rsidR="00980C67" w:rsidRPr="002815F4">
        <w:t>, with the amendments made public</w:t>
      </w:r>
      <w:r w:rsidR="00A47533" w:rsidRPr="002815F4">
        <w:t xml:space="preserve">. </w:t>
      </w:r>
      <w:r w:rsidRPr="002815F4">
        <w:rPr>
          <w:rFonts w:ascii="Calibri" w:hAnsi="Calibri"/>
          <w:bCs/>
        </w:rPr>
        <w:t>Whilst some c</w:t>
      </w:r>
      <w:r w:rsidR="00326B32" w:rsidRPr="002815F4">
        <w:rPr>
          <w:rFonts w:ascii="Calibri" w:hAnsi="Calibri"/>
          <w:bCs/>
        </w:rPr>
        <w:t>ompany representatives noted that the entire contract, annexe</w:t>
      </w:r>
      <w:r w:rsidRPr="002815F4">
        <w:rPr>
          <w:rFonts w:ascii="Calibri" w:hAnsi="Calibri"/>
          <w:bCs/>
        </w:rPr>
        <w:t xml:space="preserve">s and amendments were published, </w:t>
      </w:r>
      <w:r w:rsidR="00980C67" w:rsidRPr="002815F4">
        <w:rPr>
          <w:rFonts w:ascii="Calibri" w:hAnsi="Calibri"/>
          <w:bCs/>
        </w:rPr>
        <w:t xml:space="preserve">several </w:t>
      </w:r>
      <w:r w:rsidRPr="002815F4">
        <w:rPr>
          <w:rFonts w:ascii="Calibri" w:hAnsi="Calibri"/>
          <w:bCs/>
        </w:rPr>
        <w:t>civil society representatives</w:t>
      </w:r>
      <w:r w:rsidR="00320136" w:rsidRPr="002815F4">
        <w:rPr>
          <w:rFonts w:ascii="Calibri" w:hAnsi="Calibri"/>
          <w:bCs/>
        </w:rPr>
        <w:t xml:space="preserve"> noted that some annexes </w:t>
      </w:r>
      <w:r w:rsidR="00980C67" w:rsidRPr="002815F4">
        <w:rPr>
          <w:rFonts w:ascii="Calibri" w:hAnsi="Calibri"/>
          <w:bCs/>
        </w:rPr>
        <w:t xml:space="preserve">considered commercially-sensitive had been </w:t>
      </w:r>
      <w:r w:rsidRPr="002815F4">
        <w:t>redacted. The national secretariat stated that</w:t>
      </w:r>
      <w:r w:rsidR="00320136" w:rsidRPr="002815F4">
        <w:t xml:space="preserve"> </w:t>
      </w:r>
      <w:r w:rsidRPr="002815F4">
        <w:t>financial</w:t>
      </w:r>
      <w:r w:rsidR="00E21DD0" w:rsidRPr="002815F4">
        <w:t xml:space="preserve"> information was</w:t>
      </w:r>
      <w:r w:rsidR="00320136" w:rsidRPr="002815F4">
        <w:t xml:space="preserve"> included</w:t>
      </w:r>
      <w:r w:rsidRPr="002815F4">
        <w:t xml:space="preserve"> for all</w:t>
      </w:r>
      <w:r w:rsidR="00E21DD0" w:rsidRPr="002815F4">
        <w:t xml:space="preserve"> </w:t>
      </w:r>
      <w:r w:rsidR="00A47533" w:rsidRPr="002815F4">
        <w:t xml:space="preserve">published contracts </w:t>
      </w:r>
      <w:r w:rsidR="00E21DD0" w:rsidRPr="002815F4">
        <w:t xml:space="preserve">but only some of the geological data had been </w:t>
      </w:r>
      <w:r w:rsidR="00E21DD0" w:rsidRPr="002815F4">
        <w:lastRenderedPageBreak/>
        <w:t>published</w:t>
      </w:r>
      <w:r w:rsidR="00320136" w:rsidRPr="002815F4">
        <w:t xml:space="preserve">. </w:t>
      </w:r>
      <w:r w:rsidR="00A47533" w:rsidRPr="002815F4">
        <w:t xml:space="preserve">Company representatives stated that </w:t>
      </w:r>
      <w:r w:rsidR="00980C67" w:rsidRPr="002815F4">
        <w:t xml:space="preserve">some </w:t>
      </w:r>
      <w:r w:rsidR="00A47533" w:rsidRPr="002815F4">
        <w:rPr>
          <w:rFonts w:ascii="Calibri" w:hAnsi="Calibri"/>
          <w:bCs/>
        </w:rPr>
        <w:t>annexes with geological data were confidential.</w:t>
      </w:r>
      <w:r w:rsidR="00B53726">
        <w:rPr>
          <w:rFonts w:ascii="Calibri" w:hAnsi="Calibri"/>
          <w:bCs/>
        </w:rPr>
        <w:t xml:space="preserve"> </w:t>
      </w:r>
      <w:r w:rsidR="00320136" w:rsidRPr="002815F4">
        <w:rPr>
          <w:rFonts w:ascii="Calibri" w:hAnsi="Calibri"/>
          <w:bCs/>
        </w:rPr>
        <w:t>Compan</w:t>
      </w:r>
      <w:r w:rsidRPr="002815F4">
        <w:rPr>
          <w:rFonts w:ascii="Calibri" w:hAnsi="Calibri"/>
          <w:bCs/>
        </w:rPr>
        <w:t>ies noted that they had used</w:t>
      </w:r>
      <w:r w:rsidR="00320136" w:rsidRPr="002815F4">
        <w:rPr>
          <w:rFonts w:ascii="Calibri" w:hAnsi="Calibri"/>
          <w:bCs/>
        </w:rPr>
        <w:t xml:space="preserve"> contract information available online</w:t>
      </w:r>
      <w:r w:rsidR="00E21DD0" w:rsidRPr="002815F4">
        <w:rPr>
          <w:rFonts w:ascii="Calibri" w:hAnsi="Calibri"/>
          <w:bCs/>
        </w:rPr>
        <w:t xml:space="preserve"> but that there had not much follow-up by civil society following </w:t>
      </w:r>
      <w:r w:rsidR="00320136" w:rsidRPr="002815F4">
        <w:rPr>
          <w:rFonts w:ascii="Calibri" w:hAnsi="Calibri"/>
          <w:bCs/>
        </w:rPr>
        <w:t xml:space="preserve">the publication of </w:t>
      </w:r>
      <w:r w:rsidR="00E21DD0" w:rsidRPr="002815F4">
        <w:rPr>
          <w:rFonts w:ascii="Calibri" w:hAnsi="Calibri"/>
          <w:bCs/>
        </w:rPr>
        <w:t xml:space="preserve">the </w:t>
      </w:r>
      <w:r w:rsidR="00320136" w:rsidRPr="002815F4">
        <w:rPr>
          <w:rFonts w:ascii="Calibri" w:hAnsi="Calibri"/>
          <w:bCs/>
        </w:rPr>
        <w:t xml:space="preserve">contracts. </w:t>
      </w:r>
      <w:r w:rsidR="00A47533" w:rsidRPr="002815F4">
        <w:rPr>
          <w:rFonts w:ascii="Calibri" w:hAnsi="Calibri"/>
          <w:bCs/>
        </w:rPr>
        <w:t>Civil society representatives noted that there had not yet been an evaluation of the contracts that had been published to date.</w:t>
      </w:r>
      <w:r w:rsidR="00A47533" w:rsidRPr="002815F4">
        <w:t xml:space="preserve"> Journalists</w:t>
      </w:r>
      <w:r w:rsidR="00320136" w:rsidRPr="002815F4">
        <w:rPr>
          <w:rFonts w:ascii="Calibri" w:hAnsi="Calibri"/>
          <w:bCs/>
        </w:rPr>
        <w:t xml:space="preserve"> noted that civil society was not able to understand all of the information in the contract.</w:t>
      </w:r>
      <w:r w:rsidR="00A47533" w:rsidRPr="002815F4">
        <w:rPr>
          <w:rFonts w:ascii="Calibri" w:hAnsi="Calibri"/>
          <w:bCs/>
        </w:rPr>
        <w:t xml:space="preserve"> The national secretariat noted ongoing efforts to train civil society on the use of contracts including training by World Bank representatives and the Ford Foundation. They noted that </w:t>
      </w:r>
      <w:r w:rsidR="00326B32" w:rsidRPr="002815F4">
        <w:t xml:space="preserve">the International Lawyers Association </w:t>
      </w:r>
      <w:r w:rsidR="00A47533" w:rsidRPr="002815F4">
        <w:t>held a</w:t>
      </w:r>
      <w:r w:rsidR="00326B32" w:rsidRPr="002815F4">
        <w:t xml:space="preserve"> </w:t>
      </w:r>
      <w:r w:rsidR="00320136" w:rsidRPr="002815F4">
        <w:t>seminar</w:t>
      </w:r>
      <w:r w:rsidR="00A47533" w:rsidRPr="002815F4">
        <w:t xml:space="preserve"> in Dakar</w:t>
      </w:r>
      <w:r w:rsidR="00320136" w:rsidRPr="002815F4">
        <w:t xml:space="preserve"> </w:t>
      </w:r>
      <w:r w:rsidR="00A47533" w:rsidRPr="002815F4">
        <w:t xml:space="preserve">when the contracts were published, </w:t>
      </w:r>
      <w:r w:rsidR="00980C67" w:rsidRPr="002815F4">
        <w:t>although this was a paying event</w:t>
      </w:r>
      <w:r w:rsidR="00A47533" w:rsidRPr="002815F4">
        <w:t xml:space="preserve">. </w:t>
      </w:r>
    </w:p>
    <w:p w14:paraId="7597F72F" w14:textId="18431199" w:rsidR="001E68AF" w:rsidRPr="002815F4" w:rsidRDefault="00F425D1" w:rsidP="009B3E66">
      <w:pPr>
        <w:pStyle w:val="Heading3"/>
      </w:pPr>
      <w:bookmarkStart w:id="169" w:name="_Toc459133110"/>
      <w:bookmarkStart w:id="170" w:name="_Toc461803059"/>
      <w:r w:rsidRPr="002815F4">
        <w:t>Initial assessment</w:t>
      </w:r>
      <w:bookmarkEnd w:id="169"/>
      <w:bookmarkEnd w:id="170"/>
    </w:p>
    <w:p w14:paraId="65AB457A" w14:textId="1668A729" w:rsidR="00B15B0D" w:rsidRPr="002815F4" w:rsidRDefault="00F425D1" w:rsidP="00225A2B">
      <w:pPr>
        <w:spacing w:before="120"/>
        <w:rPr>
          <w:rFonts w:ascii="Calibri" w:hAnsi="Calibri"/>
        </w:rPr>
      </w:pPr>
      <w:r w:rsidRPr="002815F4">
        <w:rPr>
          <w:rFonts w:ascii="Calibri" w:hAnsi="Calibri"/>
        </w:rPr>
        <w:t xml:space="preserve">The International Secretariat’s initial assessment is that </w:t>
      </w:r>
      <w:r w:rsidR="00A92047" w:rsidRPr="002815F4">
        <w:rPr>
          <w:rFonts w:ascii="Calibri" w:hAnsi="Calibri"/>
          <w:bCs/>
        </w:rPr>
        <w:t>Senegal</w:t>
      </w:r>
      <w:r w:rsidR="00A92047" w:rsidRPr="002815F4">
        <w:rPr>
          <w:rFonts w:ascii="Calibri" w:hAnsi="Calibri"/>
        </w:rPr>
        <w:t xml:space="preserve"> </w:t>
      </w:r>
      <w:r w:rsidRPr="002815F4">
        <w:rPr>
          <w:rFonts w:ascii="Calibri" w:hAnsi="Calibri"/>
        </w:rPr>
        <w:t xml:space="preserve">has made </w:t>
      </w:r>
      <w:r w:rsidR="00A92047" w:rsidRPr="002815F4">
        <w:rPr>
          <w:rFonts w:ascii="Calibri" w:hAnsi="Calibri"/>
          <w:bCs/>
        </w:rPr>
        <w:t xml:space="preserve">satisfactory </w:t>
      </w:r>
      <w:r w:rsidRPr="002815F4">
        <w:rPr>
          <w:rFonts w:ascii="Calibri" w:hAnsi="Calibri"/>
        </w:rPr>
        <w:t xml:space="preserve">progress towards meeting this </w:t>
      </w:r>
      <w:commentRangeStart w:id="171"/>
      <w:r w:rsidRPr="002815F4">
        <w:rPr>
          <w:rFonts w:ascii="Calibri" w:hAnsi="Calibri"/>
        </w:rPr>
        <w:t>requirement</w:t>
      </w:r>
      <w:commentRangeEnd w:id="171"/>
      <w:r w:rsidR="00D27A59">
        <w:rPr>
          <w:rStyle w:val="CommentReference"/>
          <w:szCs w:val="20"/>
        </w:rPr>
        <w:commentReference w:id="171"/>
      </w:r>
      <w:r w:rsidRPr="002815F4">
        <w:rPr>
          <w:rFonts w:ascii="Calibri" w:hAnsi="Calibri"/>
        </w:rPr>
        <w:t xml:space="preserve">. </w:t>
      </w:r>
      <w:r w:rsidR="00225A2B" w:rsidRPr="002815F4">
        <w:rPr>
          <w:rFonts w:ascii="Calibri" w:hAnsi="Calibri"/>
        </w:rPr>
        <w:t>In the Secretariat’s view, Senegal has also gone beyond the minimum requirements by making contracts public as encouraged by the EITI Standard.</w:t>
      </w:r>
    </w:p>
    <w:p w14:paraId="262EB080" w14:textId="168FD5D4" w:rsidR="005A308C" w:rsidRPr="002815F4" w:rsidRDefault="002C4111">
      <w:pPr>
        <w:spacing w:before="120"/>
        <w:rPr>
          <w:rFonts w:ascii="Calibri" w:hAnsi="Calibri"/>
        </w:rPr>
      </w:pPr>
      <w:r w:rsidRPr="002815F4">
        <w:rPr>
          <w:rFonts w:ascii="Calibri" w:hAnsi="Calibri"/>
        </w:rPr>
        <w:t xml:space="preserve">To strengthen implementation, the MSG </w:t>
      </w:r>
      <w:r w:rsidR="0037198D" w:rsidRPr="0037198D">
        <w:rPr>
          <w:rFonts w:ascii="Calibri" w:hAnsi="Calibri"/>
        </w:rPr>
        <w:t>may wish to ensure that the legal obligations in the Transparency Code, sector legislation and actual practice in contract transparency are consistent</w:t>
      </w:r>
      <w:r w:rsidR="00C959DA" w:rsidRPr="002815F4">
        <w:rPr>
          <w:rFonts w:ascii="Calibri" w:hAnsi="Calibri"/>
        </w:rPr>
        <w:t xml:space="preserve">. The </w:t>
      </w:r>
      <w:r w:rsidR="00B47BD3" w:rsidRPr="002815F4">
        <w:rPr>
          <w:rFonts w:ascii="Calibri" w:hAnsi="Calibri"/>
        </w:rPr>
        <w:t xml:space="preserve">MSG is </w:t>
      </w:r>
      <w:r w:rsidR="00C959DA" w:rsidRPr="002815F4">
        <w:rPr>
          <w:rFonts w:ascii="Calibri" w:hAnsi="Calibri"/>
        </w:rPr>
        <w:t xml:space="preserve">also encouraged to continue </w:t>
      </w:r>
      <w:r w:rsidR="00B47BD3" w:rsidRPr="002815F4">
        <w:rPr>
          <w:rFonts w:ascii="Calibri" w:hAnsi="Calibri"/>
        </w:rPr>
        <w:t xml:space="preserve">categorising </w:t>
      </w:r>
      <w:r w:rsidR="00C959DA" w:rsidRPr="002815F4">
        <w:rPr>
          <w:rFonts w:ascii="Calibri" w:hAnsi="Calibri"/>
        </w:rPr>
        <w:t xml:space="preserve">the </w:t>
      </w:r>
      <w:r w:rsidR="00B47BD3" w:rsidRPr="002815F4">
        <w:rPr>
          <w:rFonts w:ascii="Calibri" w:hAnsi="Calibri"/>
        </w:rPr>
        <w:t xml:space="preserve">published </w:t>
      </w:r>
      <w:r w:rsidR="00C959DA" w:rsidRPr="002815F4">
        <w:rPr>
          <w:rFonts w:ascii="Calibri" w:hAnsi="Calibri"/>
        </w:rPr>
        <w:t xml:space="preserve">contracts and training stakeholders on </w:t>
      </w:r>
      <w:r w:rsidR="00B47BD3" w:rsidRPr="002815F4">
        <w:rPr>
          <w:rFonts w:ascii="Calibri" w:hAnsi="Calibri"/>
        </w:rPr>
        <w:t xml:space="preserve">extracting key information and </w:t>
      </w:r>
      <w:r w:rsidR="00C959DA" w:rsidRPr="002815F4">
        <w:rPr>
          <w:rFonts w:ascii="Calibri" w:hAnsi="Calibri"/>
        </w:rPr>
        <w:t xml:space="preserve">using </w:t>
      </w:r>
      <w:r w:rsidR="00B47BD3" w:rsidRPr="002815F4">
        <w:rPr>
          <w:rFonts w:ascii="Calibri" w:hAnsi="Calibri"/>
        </w:rPr>
        <w:t xml:space="preserve">published </w:t>
      </w:r>
      <w:r w:rsidR="00C959DA" w:rsidRPr="002815F4">
        <w:rPr>
          <w:rFonts w:ascii="Calibri" w:hAnsi="Calibri"/>
        </w:rPr>
        <w:t xml:space="preserve">contracts. </w:t>
      </w:r>
    </w:p>
    <w:p w14:paraId="7980B881" w14:textId="293C3F99" w:rsidR="00A441F1" w:rsidRPr="002815F4" w:rsidRDefault="000722F1" w:rsidP="009B3E66">
      <w:pPr>
        <w:pStyle w:val="Heading2"/>
      </w:pPr>
      <w:bookmarkStart w:id="172" w:name="_Toc459133111"/>
      <w:bookmarkStart w:id="173" w:name="_Toc461803060"/>
      <w:bookmarkStart w:id="174" w:name="_Toc461787329"/>
      <w:bookmarkStart w:id="175" w:name="_Toc461795841"/>
      <w:bookmarkStart w:id="176" w:name="_Toc462149185"/>
      <w:r w:rsidRPr="002815F4">
        <w:t>B</w:t>
      </w:r>
      <w:r w:rsidR="00A441F1" w:rsidRPr="002815F4">
        <w:t>eneficial ownership disclosure (#</w:t>
      </w:r>
      <w:r w:rsidR="00EE25D1" w:rsidRPr="002815F4">
        <w:t>2</w:t>
      </w:r>
      <w:r w:rsidR="00A441F1" w:rsidRPr="002815F4">
        <w:t>.</w:t>
      </w:r>
      <w:r w:rsidR="00EE25D1" w:rsidRPr="002815F4">
        <w:t>5</w:t>
      </w:r>
      <w:r w:rsidR="00A441F1" w:rsidRPr="002815F4">
        <w:t>)</w:t>
      </w:r>
      <w:bookmarkEnd w:id="172"/>
      <w:bookmarkEnd w:id="173"/>
      <w:bookmarkEnd w:id="174"/>
      <w:bookmarkEnd w:id="175"/>
      <w:bookmarkEnd w:id="176"/>
    </w:p>
    <w:p w14:paraId="34468C6C" w14:textId="77777777" w:rsidR="00247985" w:rsidRPr="002815F4" w:rsidRDefault="00F425D1" w:rsidP="009B3E66">
      <w:pPr>
        <w:pStyle w:val="Heading3"/>
      </w:pPr>
      <w:r w:rsidRPr="002815F4">
        <w:t>Documentation of progress</w:t>
      </w:r>
    </w:p>
    <w:p w14:paraId="740B96D0" w14:textId="1F4558BC" w:rsidR="00F337EC" w:rsidRPr="002815F4" w:rsidRDefault="006C644D" w:rsidP="00F425D1">
      <w:pPr>
        <w:spacing w:before="120"/>
        <w:rPr>
          <w:rFonts w:ascii="Calibri" w:hAnsi="Calibri"/>
        </w:rPr>
      </w:pPr>
      <w:r w:rsidRPr="002815F4">
        <w:rPr>
          <w:rFonts w:ascii="Calibri" w:hAnsi="Calibri"/>
        </w:rPr>
        <w:t xml:space="preserve">The Government of Senegal </w:t>
      </w:r>
      <w:r w:rsidR="001D7AEA" w:rsidRPr="002815F4">
        <w:rPr>
          <w:rFonts w:ascii="Calibri" w:hAnsi="Calibri"/>
        </w:rPr>
        <w:t xml:space="preserve">clarified its policy on beneficial ownership disclosure at the UK Anti-Corruption Conference in London on 12 May 2016, committing itself to disclosing the </w:t>
      </w:r>
      <w:r w:rsidR="002815F4" w:rsidRPr="002815F4">
        <w:rPr>
          <w:rFonts w:ascii="Calibri" w:hAnsi="Calibri"/>
        </w:rPr>
        <w:t>ultimate</w:t>
      </w:r>
      <w:r w:rsidR="001D7AEA" w:rsidRPr="002815F4">
        <w:rPr>
          <w:rFonts w:ascii="Calibri" w:hAnsi="Calibri"/>
        </w:rPr>
        <w:t xml:space="preserve"> beneficial ownership of all companies active in their jurisdiction </w:t>
      </w:r>
      <w:sdt>
        <w:sdtPr>
          <w:rPr>
            <w:rFonts w:ascii="Calibri" w:hAnsi="Calibri"/>
          </w:rPr>
          <w:id w:val="-11695457"/>
          <w:citation/>
        </w:sdtPr>
        <w:sdtEndPr/>
        <w:sdtContent>
          <w:r w:rsidR="001D7AEA" w:rsidRPr="002815F4">
            <w:rPr>
              <w:rFonts w:ascii="Calibri" w:hAnsi="Calibri"/>
            </w:rPr>
            <w:fldChar w:fldCharType="begin"/>
          </w:r>
          <w:r w:rsidR="001D7AEA" w:rsidRPr="002815F4">
            <w:rPr>
              <w:rFonts w:ascii="Calibri" w:hAnsi="Calibri"/>
            </w:rPr>
            <w:instrText xml:space="preserve"> CITATION Gou163 \l 1033 </w:instrText>
          </w:r>
          <w:r w:rsidR="001D7AEA" w:rsidRPr="002815F4">
            <w:rPr>
              <w:rFonts w:ascii="Calibri" w:hAnsi="Calibri"/>
            </w:rPr>
            <w:fldChar w:fldCharType="separate"/>
          </w:r>
          <w:r w:rsidR="003E626E" w:rsidRPr="002815F4">
            <w:rPr>
              <w:rFonts w:ascii="Calibri" w:hAnsi="Calibri"/>
              <w:noProof/>
            </w:rPr>
            <w:t>(Gouvernement du Senegal, 2016)</w:t>
          </w:r>
          <w:r w:rsidR="001D7AEA" w:rsidRPr="002815F4">
            <w:rPr>
              <w:rFonts w:ascii="Calibri" w:hAnsi="Calibri"/>
            </w:rPr>
            <w:fldChar w:fldCharType="end"/>
          </w:r>
        </w:sdtContent>
      </w:sdt>
      <w:r w:rsidR="001D7AEA" w:rsidRPr="002815F4">
        <w:rPr>
          <w:rFonts w:ascii="Calibri" w:hAnsi="Calibri"/>
        </w:rPr>
        <w:t xml:space="preserve">. While the 2014 EITI Report does not explicitly comment on this government commitment to beneficial ownership disclosure, it does provide an overview of relevant </w:t>
      </w:r>
      <w:r w:rsidR="00F337EC" w:rsidRPr="002815F4">
        <w:rPr>
          <w:rFonts w:ascii="Calibri" w:hAnsi="Calibri"/>
        </w:rPr>
        <w:t xml:space="preserve">provisions (on affiliated entities) in the 1998 Petroleum Code and confirms the MSG’s definition of beneficial ownership, in line with the 4th EU Directive on money laundering (25% threshold) (2014 EITI Report, p.64). </w:t>
      </w:r>
      <w:r w:rsidR="00B83C79" w:rsidRPr="002815F4">
        <w:rPr>
          <w:rFonts w:ascii="Calibri" w:hAnsi="Calibri"/>
        </w:rPr>
        <w:t xml:space="preserve">The definition was confirmed at the MSG’s inception meeting with its consultant, Moore Stephens, in March 2017 </w:t>
      </w:r>
      <w:sdt>
        <w:sdtPr>
          <w:rPr>
            <w:rFonts w:ascii="Calibri" w:hAnsi="Calibri"/>
            <w:bCs/>
          </w:rPr>
          <w:id w:val="-298448939"/>
          <w:citation/>
        </w:sdtPr>
        <w:sdtEndPr/>
        <w:sdtContent>
          <w:r w:rsidR="00B83C79" w:rsidRPr="002815F4">
            <w:rPr>
              <w:rFonts w:ascii="Calibri" w:hAnsi="Calibri"/>
              <w:bCs/>
            </w:rPr>
            <w:fldChar w:fldCharType="begin"/>
          </w:r>
          <w:r w:rsidR="00B83C79" w:rsidRPr="002815F4">
            <w:rPr>
              <w:rFonts w:ascii="Calibri" w:hAnsi="Calibri"/>
              <w:bCs/>
            </w:rPr>
            <w:instrText xml:space="preserve"> CITATION ITI1713 \l 1033 </w:instrText>
          </w:r>
          <w:r w:rsidR="00B83C79" w:rsidRPr="002815F4">
            <w:rPr>
              <w:rFonts w:ascii="Calibri" w:hAnsi="Calibri"/>
              <w:bCs/>
            </w:rPr>
            <w:fldChar w:fldCharType="separate"/>
          </w:r>
          <w:r w:rsidR="003E626E" w:rsidRPr="002815F4">
            <w:rPr>
              <w:rFonts w:ascii="Calibri" w:hAnsi="Calibri"/>
              <w:noProof/>
            </w:rPr>
            <w:t>(ITIE Senegal, 2017)</w:t>
          </w:r>
          <w:r w:rsidR="00B83C79" w:rsidRPr="002815F4">
            <w:rPr>
              <w:rFonts w:ascii="Calibri" w:hAnsi="Calibri"/>
              <w:bCs/>
            </w:rPr>
            <w:fldChar w:fldCharType="end"/>
          </w:r>
        </w:sdtContent>
      </w:sdt>
      <w:r w:rsidR="00B83C79" w:rsidRPr="002815F4">
        <w:rPr>
          <w:rFonts w:ascii="Calibri" w:hAnsi="Calibri"/>
          <w:bCs/>
        </w:rPr>
        <w:t xml:space="preserve"> </w:t>
      </w:r>
      <w:sdt>
        <w:sdtPr>
          <w:rPr>
            <w:rFonts w:ascii="Calibri" w:hAnsi="Calibri"/>
            <w:bCs/>
          </w:rPr>
          <w:id w:val="-845711239"/>
          <w:citation/>
        </w:sdtPr>
        <w:sdtEndPr/>
        <w:sdtContent>
          <w:r w:rsidR="00B83C79" w:rsidRPr="002815F4">
            <w:rPr>
              <w:rFonts w:ascii="Calibri" w:hAnsi="Calibri"/>
              <w:bCs/>
            </w:rPr>
            <w:fldChar w:fldCharType="begin"/>
          </w:r>
          <w:r w:rsidR="00B83C79" w:rsidRPr="002815F4">
            <w:rPr>
              <w:rFonts w:ascii="Calibri" w:hAnsi="Calibri"/>
              <w:bCs/>
            </w:rPr>
            <w:instrText xml:space="preserve"> CITATION ITI1714 \l 1033 </w:instrText>
          </w:r>
          <w:r w:rsidR="00B83C79" w:rsidRPr="002815F4">
            <w:rPr>
              <w:rFonts w:ascii="Calibri" w:hAnsi="Calibri"/>
              <w:bCs/>
            </w:rPr>
            <w:fldChar w:fldCharType="separate"/>
          </w:r>
          <w:r w:rsidR="003E626E" w:rsidRPr="002815F4">
            <w:rPr>
              <w:rFonts w:ascii="Calibri" w:hAnsi="Calibri"/>
              <w:noProof/>
            </w:rPr>
            <w:t>(ITIE Senegal, 2017)</w:t>
          </w:r>
          <w:r w:rsidR="00B83C79" w:rsidRPr="002815F4">
            <w:rPr>
              <w:rFonts w:ascii="Calibri" w:hAnsi="Calibri"/>
              <w:bCs/>
            </w:rPr>
            <w:fldChar w:fldCharType="end"/>
          </w:r>
        </w:sdtContent>
      </w:sdt>
      <w:r w:rsidR="00B83C79" w:rsidRPr="002815F4">
        <w:rPr>
          <w:rFonts w:ascii="Calibri" w:hAnsi="Calibri"/>
          <w:bCs/>
        </w:rPr>
        <w:t xml:space="preserve">. </w:t>
      </w:r>
    </w:p>
    <w:p w14:paraId="25DE4FC4" w14:textId="23716FAF" w:rsidR="00F337EC" w:rsidRPr="002815F4" w:rsidRDefault="00F337EC" w:rsidP="00F425D1">
      <w:pPr>
        <w:spacing w:before="120"/>
        <w:rPr>
          <w:rFonts w:ascii="Calibri" w:hAnsi="Calibri"/>
          <w:bCs/>
        </w:rPr>
      </w:pPr>
      <w:r w:rsidRPr="002815F4">
        <w:rPr>
          <w:rFonts w:ascii="Calibri" w:hAnsi="Calibri"/>
        </w:rPr>
        <w:t>In terms of reforms, the report comments on the MSG’s other activities related to beneficial ownership, including the creation of a dedicated working group and preparations for a BO study with a view to proposing legal reforms (2014 EITI Report, p.64).</w:t>
      </w:r>
      <w:r w:rsidR="00C70039" w:rsidRPr="002815F4">
        <w:rPr>
          <w:rFonts w:ascii="Calibri" w:hAnsi="Calibri"/>
        </w:rPr>
        <w:t xml:space="preserve"> </w:t>
      </w:r>
      <w:r w:rsidR="00085894" w:rsidRPr="002815F4">
        <w:rPr>
          <w:rFonts w:ascii="Calibri" w:hAnsi="Calibri"/>
          <w:bCs/>
        </w:rPr>
        <w:t xml:space="preserve">The MSG published its three-year roadmap on beneficial ownership disclosure by January 2020 in December 2016 </w:t>
      </w:r>
      <w:sdt>
        <w:sdtPr>
          <w:rPr>
            <w:rFonts w:ascii="Calibri" w:hAnsi="Calibri"/>
            <w:bCs/>
          </w:rPr>
          <w:id w:val="575781562"/>
          <w:citation/>
        </w:sdtPr>
        <w:sdtEndPr/>
        <w:sdtContent>
          <w:r w:rsidR="00085894" w:rsidRPr="002815F4">
            <w:rPr>
              <w:rFonts w:ascii="Calibri" w:hAnsi="Calibri"/>
              <w:bCs/>
            </w:rPr>
            <w:fldChar w:fldCharType="begin"/>
          </w:r>
          <w:r w:rsidR="00085894" w:rsidRPr="002815F4">
            <w:rPr>
              <w:rFonts w:ascii="Calibri" w:hAnsi="Calibri"/>
              <w:bCs/>
            </w:rPr>
            <w:instrText xml:space="preserve"> CITATION ITI1624 \l 1033 </w:instrText>
          </w:r>
          <w:r w:rsidR="00085894" w:rsidRPr="002815F4">
            <w:rPr>
              <w:rFonts w:ascii="Calibri" w:hAnsi="Calibri"/>
              <w:bCs/>
            </w:rPr>
            <w:fldChar w:fldCharType="separate"/>
          </w:r>
          <w:r w:rsidR="003E626E" w:rsidRPr="002815F4">
            <w:rPr>
              <w:rFonts w:ascii="Calibri" w:hAnsi="Calibri"/>
              <w:noProof/>
            </w:rPr>
            <w:t>(ITIE Senegal, 2016)</w:t>
          </w:r>
          <w:r w:rsidR="00085894" w:rsidRPr="002815F4">
            <w:rPr>
              <w:rFonts w:ascii="Calibri" w:hAnsi="Calibri"/>
              <w:bCs/>
            </w:rPr>
            <w:fldChar w:fldCharType="end"/>
          </w:r>
        </w:sdtContent>
      </w:sdt>
      <w:r w:rsidR="00C70039" w:rsidRPr="002815F4">
        <w:rPr>
          <w:rFonts w:ascii="Calibri" w:hAnsi="Calibri"/>
          <w:bCs/>
        </w:rPr>
        <w:t>. The roadmap</w:t>
      </w:r>
      <w:r w:rsidR="00356541" w:rsidRPr="002815F4">
        <w:rPr>
          <w:rFonts w:ascii="Calibri" w:hAnsi="Calibri"/>
          <w:bCs/>
        </w:rPr>
        <w:t xml:space="preserve"> covered the period January 2017 to January 2020 but did not include a cost of implementation of the roadmap. There were four main steps in the roadmap: information and mobilisation of stakeholders over the period January to March 2017; diagnosis and identification of obstacles over the period January to March 2017; consultation, mobilisation and decision over the period March 2017 to November 2018; and lastly training, execution and production over the period January 2019 to January 2020. </w:t>
      </w:r>
      <w:r w:rsidR="007D304B" w:rsidRPr="002815F4">
        <w:rPr>
          <w:rFonts w:ascii="Calibri" w:hAnsi="Calibri"/>
          <w:bCs/>
        </w:rPr>
        <w:t>The roadmap included the identification of beneficial ownership champions, the publication of legislation on beneficial ownership as well as the creation of a beneficial ownership register.</w:t>
      </w:r>
    </w:p>
    <w:p w14:paraId="4F604BC3" w14:textId="1A4BBD0D" w:rsidR="0069039D" w:rsidRPr="002815F4" w:rsidRDefault="00C70039" w:rsidP="00F50D99">
      <w:pPr>
        <w:spacing w:before="120"/>
        <w:rPr>
          <w:rFonts w:ascii="Calibri" w:hAnsi="Calibri"/>
          <w:bCs/>
        </w:rPr>
      </w:pPr>
      <w:r w:rsidRPr="002815F4">
        <w:rPr>
          <w:rFonts w:ascii="Calibri" w:hAnsi="Calibri"/>
          <w:bCs/>
        </w:rPr>
        <w:lastRenderedPageBreak/>
        <w:t>The 2014 EITI Report contains information on the legal owners of all companies participating in the EITI reporting process, except for four oil and gas companies</w:t>
      </w:r>
      <w:r w:rsidRPr="002815F4">
        <w:rPr>
          <w:rStyle w:val="FootnoteReference"/>
          <w:rFonts w:ascii="Calibri" w:hAnsi="Calibri"/>
          <w:bCs/>
        </w:rPr>
        <w:footnoteReference w:id="54"/>
      </w:r>
      <w:r w:rsidRPr="002815F4">
        <w:rPr>
          <w:rFonts w:ascii="Calibri" w:hAnsi="Calibri"/>
          <w:bCs/>
        </w:rPr>
        <w:t xml:space="preserve">, and their share of ownership as part of annexes 3-4 </w:t>
      </w:r>
      <w:r w:rsidRPr="002815F4">
        <w:rPr>
          <w:rFonts w:ascii="Calibri" w:hAnsi="Calibri"/>
        </w:rPr>
        <w:t>(2014 EITI Report, p.100-103)</w:t>
      </w:r>
      <w:r w:rsidRPr="002815F4">
        <w:rPr>
          <w:rFonts w:ascii="Calibri" w:hAnsi="Calibri"/>
          <w:bCs/>
        </w:rPr>
        <w:t>.</w:t>
      </w:r>
      <w:r w:rsidR="0053130F" w:rsidRPr="002815F4">
        <w:rPr>
          <w:rFonts w:ascii="Calibri" w:hAnsi="Calibri"/>
          <w:bCs/>
        </w:rPr>
        <w:t xml:space="preserve"> </w:t>
      </w:r>
      <w:r w:rsidR="00A410C0" w:rsidRPr="002815F4">
        <w:rPr>
          <w:rFonts w:ascii="Calibri" w:hAnsi="Calibri"/>
          <w:bCs/>
        </w:rPr>
        <w:t xml:space="preserve">While companies were asked to report their beneficial ownership (2014 EITI Report, p.64), </w:t>
      </w:r>
      <w:r w:rsidR="005200AE" w:rsidRPr="002815F4">
        <w:rPr>
          <w:rFonts w:ascii="Calibri" w:hAnsi="Calibri"/>
          <w:bCs/>
        </w:rPr>
        <w:t xml:space="preserve">only one mining and one oil and gas company reported beneficial ownership information for all their shareholders (2014 EITI Report, pp.100-103). </w:t>
      </w:r>
      <w:r w:rsidR="00B2548E" w:rsidRPr="002815F4">
        <w:rPr>
          <w:rFonts w:ascii="Calibri" w:hAnsi="Calibri"/>
          <w:bCs/>
        </w:rPr>
        <w:t xml:space="preserve">Following </w:t>
      </w:r>
      <w:r w:rsidR="0069039D" w:rsidRPr="002815F4">
        <w:rPr>
          <w:rFonts w:ascii="Calibri" w:hAnsi="Calibri"/>
          <w:bCs/>
        </w:rPr>
        <w:t>a competitive tender</w:t>
      </w:r>
      <w:r w:rsidR="00B2548E" w:rsidRPr="002815F4">
        <w:rPr>
          <w:rFonts w:ascii="Calibri" w:hAnsi="Calibri"/>
          <w:bCs/>
        </w:rPr>
        <w:t xml:space="preserve"> in January 2017 </w:t>
      </w:r>
      <w:sdt>
        <w:sdtPr>
          <w:rPr>
            <w:rFonts w:ascii="Calibri" w:hAnsi="Calibri"/>
            <w:bCs/>
          </w:rPr>
          <w:id w:val="-1516998634"/>
          <w:citation/>
        </w:sdtPr>
        <w:sdtEndPr/>
        <w:sdtContent>
          <w:r w:rsidR="00B2548E" w:rsidRPr="002815F4">
            <w:rPr>
              <w:rFonts w:ascii="Calibri" w:hAnsi="Calibri"/>
              <w:bCs/>
            </w:rPr>
            <w:fldChar w:fldCharType="begin"/>
          </w:r>
          <w:r w:rsidR="00B2548E" w:rsidRPr="002815F4">
            <w:rPr>
              <w:rFonts w:ascii="Calibri" w:hAnsi="Calibri"/>
              <w:bCs/>
            </w:rPr>
            <w:instrText xml:space="preserve"> CITATION ITI1715 \l 1033 </w:instrText>
          </w:r>
          <w:r w:rsidR="00B2548E" w:rsidRPr="002815F4">
            <w:rPr>
              <w:rFonts w:ascii="Calibri" w:hAnsi="Calibri"/>
              <w:bCs/>
            </w:rPr>
            <w:fldChar w:fldCharType="separate"/>
          </w:r>
          <w:r w:rsidR="003E626E" w:rsidRPr="002815F4">
            <w:rPr>
              <w:rFonts w:ascii="Calibri" w:hAnsi="Calibri"/>
              <w:noProof/>
            </w:rPr>
            <w:t>(ITIE Senegal, 2017)</w:t>
          </w:r>
          <w:r w:rsidR="00B2548E" w:rsidRPr="002815F4">
            <w:rPr>
              <w:rFonts w:ascii="Calibri" w:hAnsi="Calibri"/>
              <w:bCs/>
            </w:rPr>
            <w:fldChar w:fldCharType="end"/>
          </w:r>
        </w:sdtContent>
      </w:sdt>
      <w:r w:rsidR="00B2548E" w:rsidRPr="002815F4">
        <w:rPr>
          <w:rFonts w:ascii="Calibri" w:hAnsi="Calibri"/>
          <w:bCs/>
        </w:rPr>
        <w:t>,</w:t>
      </w:r>
      <w:r w:rsidR="0069039D" w:rsidRPr="002815F4">
        <w:rPr>
          <w:rFonts w:ascii="Calibri" w:hAnsi="Calibri"/>
          <w:bCs/>
        </w:rPr>
        <w:t xml:space="preserve"> the </w:t>
      </w:r>
      <w:r w:rsidR="00B2548E" w:rsidRPr="002815F4">
        <w:rPr>
          <w:rFonts w:ascii="Calibri" w:hAnsi="Calibri"/>
          <w:bCs/>
        </w:rPr>
        <w:t xml:space="preserve">MSG undertook a </w:t>
      </w:r>
      <w:r w:rsidR="0069039D" w:rsidRPr="002815F4">
        <w:rPr>
          <w:rFonts w:ascii="Calibri" w:hAnsi="Calibri"/>
          <w:bCs/>
        </w:rPr>
        <w:t xml:space="preserve">beneficial ownership scoping study </w:t>
      </w:r>
      <w:r w:rsidR="00B2548E" w:rsidRPr="002815F4">
        <w:rPr>
          <w:rFonts w:ascii="Calibri" w:hAnsi="Calibri"/>
          <w:bCs/>
        </w:rPr>
        <w:t xml:space="preserve">that </w:t>
      </w:r>
      <w:r w:rsidR="00EB0E32" w:rsidRPr="002815F4">
        <w:rPr>
          <w:rFonts w:ascii="Calibri" w:hAnsi="Calibri"/>
          <w:bCs/>
        </w:rPr>
        <w:t>proposed beneficial ownership definitions and thresholds in line with the UAEMOA</w:t>
      </w:r>
      <w:r w:rsidR="000F135A" w:rsidRPr="002815F4">
        <w:rPr>
          <w:rFonts w:ascii="Calibri" w:hAnsi="Calibri"/>
          <w:bCs/>
        </w:rPr>
        <w:t xml:space="preserve"> circular on beneficial ownership</w:t>
      </w:r>
      <w:r w:rsidR="00B2548E" w:rsidRPr="002815F4">
        <w:rPr>
          <w:rFonts w:ascii="Calibri" w:hAnsi="Calibri"/>
          <w:bCs/>
        </w:rPr>
        <w:t xml:space="preserve">. </w:t>
      </w:r>
      <w:r w:rsidR="00E124F3" w:rsidRPr="002815F4">
        <w:t>Law 2014/17 from 2 April 2014 already requires public office-holders to undertake annual asset disclosures, although these are not required to be made public</w:t>
      </w:r>
      <w:sdt>
        <w:sdtPr>
          <w:id w:val="646868699"/>
          <w:citation/>
        </w:sdtPr>
        <w:sdtEndPr/>
        <w:sdtContent>
          <w:r w:rsidR="00E124F3" w:rsidRPr="002815F4">
            <w:fldChar w:fldCharType="begin"/>
          </w:r>
          <w:r w:rsidR="00E124F3" w:rsidRPr="002815F4">
            <w:instrText xml:space="preserve"> CITATION Gou14 \l 1033 </w:instrText>
          </w:r>
          <w:r w:rsidR="00E124F3" w:rsidRPr="002815F4">
            <w:fldChar w:fldCharType="separate"/>
          </w:r>
          <w:r w:rsidR="00E124F3" w:rsidRPr="002815F4">
            <w:rPr>
              <w:noProof/>
            </w:rPr>
            <w:t xml:space="preserve"> (Gouvernement du Senegal, 2014)</w:t>
          </w:r>
          <w:r w:rsidR="00E124F3" w:rsidRPr="002815F4">
            <w:fldChar w:fldCharType="end"/>
          </w:r>
        </w:sdtContent>
      </w:sdt>
      <w:r w:rsidR="00E124F3" w:rsidRPr="002815F4">
        <w:t>.</w:t>
      </w:r>
    </w:p>
    <w:p w14:paraId="47BC60C1" w14:textId="77777777" w:rsidR="00247985" w:rsidRPr="002815F4" w:rsidRDefault="00247985" w:rsidP="009B3E66">
      <w:pPr>
        <w:pStyle w:val="Heading3"/>
      </w:pPr>
      <w:r w:rsidRPr="002815F4">
        <w:t>Stakeholder views</w:t>
      </w:r>
    </w:p>
    <w:p w14:paraId="578068D5" w14:textId="2C5F6B2B" w:rsidR="00261726" w:rsidRPr="002815F4" w:rsidRDefault="00E26578" w:rsidP="005A308C">
      <w:r w:rsidRPr="002815F4">
        <w:t xml:space="preserve">Civil society </w:t>
      </w:r>
      <w:r w:rsidR="005A308C" w:rsidRPr="002815F4">
        <w:t xml:space="preserve">representatives noted that </w:t>
      </w:r>
      <w:r w:rsidRPr="002815F4">
        <w:t>beneficial ownership was a priority in preventing politically exposed persons (PEPs)</w:t>
      </w:r>
      <w:r w:rsidR="005A308C" w:rsidRPr="002815F4">
        <w:t xml:space="preserve"> from</w:t>
      </w:r>
      <w:r w:rsidRPr="002815F4">
        <w:t xml:space="preserve"> using insider knowledge to</w:t>
      </w:r>
      <w:r w:rsidR="008E05A3" w:rsidRPr="002815F4">
        <w:t xml:space="preserve"> </w:t>
      </w:r>
      <w:r w:rsidR="000F135A" w:rsidRPr="002815F4">
        <w:t xml:space="preserve">embezzle </w:t>
      </w:r>
      <w:r w:rsidR="008E05A3" w:rsidRPr="002815F4">
        <w:t xml:space="preserve">public </w:t>
      </w:r>
      <w:r w:rsidR="005A308C" w:rsidRPr="002815F4">
        <w:t>funds for</w:t>
      </w:r>
      <w:r w:rsidR="008E05A3" w:rsidRPr="002815F4">
        <w:t xml:space="preserve"> </w:t>
      </w:r>
      <w:r w:rsidR="005A308C" w:rsidRPr="002815F4">
        <w:t>private benefit.</w:t>
      </w:r>
      <w:r w:rsidR="008E05A3" w:rsidRPr="002815F4">
        <w:t xml:space="preserve"> </w:t>
      </w:r>
      <w:r w:rsidR="00261726" w:rsidRPr="002815F4">
        <w:t xml:space="preserve">They noted the existence of </w:t>
      </w:r>
      <w:r w:rsidR="000F135A" w:rsidRPr="002815F4">
        <w:t>L</w:t>
      </w:r>
      <w:r w:rsidR="00261726" w:rsidRPr="002815F4">
        <w:t>aw 2014</w:t>
      </w:r>
      <w:r w:rsidR="000F135A" w:rsidRPr="002815F4">
        <w:t>/</w:t>
      </w:r>
      <w:r w:rsidR="00261726" w:rsidRPr="002815F4">
        <w:t xml:space="preserve">17 from 2 April 2014, related to </w:t>
      </w:r>
      <w:r w:rsidR="000F135A" w:rsidRPr="002815F4">
        <w:t xml:space="preserve">asset </w:t>
      </w:r>
      <w:r w:rsidR="00261726" w:rsidRPr="002815F4">
        <w:t>declarations by poli</w:t>
      </w:r>
      <w:r w:rsidR="002815F4">
        <w:t>ti</w:t>
      </w:r>
      <w:r w:rsidR="00261726" w:rsidRPr="002815F4">
        <w:t>cally exposed persons, but noted that this information was not publ</w:t>
      </w:r>
      <w:r w:rsidR="000F135A" w:rsidRPr="002815F4">
        <w:t>icly-accessible</w:t>
      </w:r>
      <w:r w:rsidR="00261726" w:rsidRPr="002815F4">
        <w:t>. Parliamentarians</w:t>
      </w:r>
      <w:r w:rsidR="00704851" w:rsidRPr="002815F4">
        <w:t xml:space="preserve"> </w:t>
      </w:r>
      <w:r w:rsidR="00261726" w:rsidRPr="002815F4">
        <w:t>not</w:t>
      </w:r>
      <w:r w:rsidR="00704851" w:rsidRPr="002815F4">
        <w:t xml:space="preserve">ed that </w:t>
      </w:r>
      <w:r w:rsidR="000F135A" w:rsidRPr="002815F4">
        <w:t>A</w:t>
      </w:r>
      <w:r w:rsidR="00704851" w:rsidRPr="002815F4">
        <w:t xml:space="preserve">rticle 32 of the 2016 </w:t>
      </w:r>
      <w:r w:rsidR="000F135A" w:rsidRPr="002815F4">
        <w:t>M</w:t>
      </w:r>
      <w:r w:rsidR="00704851" w:rsidRPr="002815F4">
        <w:t xml:space="preserve">ining </w:t>
      </w:r>
      <w:r w:rsidR="000F135A" w:rsidRPr="002815F4">
        <w:t>C</w:t>
      </w:r>
      <w:r w:rsidR="00704851" w:rsidRPr="002815F4">
        <w:t>ode included a section on conflicts of interest</w:t>
      </w:r>
      <w:r w:rsidR="000F135A" w:rsidRPr="002815F4">
        <w:t xml:space="preserve"> for public office-holders, hindering them from holding interests in mining license-holders</w:t>
      </w:r>
      <w:r w:rsidR="00E124F3" w:rsidRPr="002815F4">
        <w:t xml:space="preserve"> (under Article 32)</w:t>
      </w:r>
      <w:r w:rsidR="00704851" w:rsidRPr="002815F4">
        <w:t>.</w:t>
      </w:r>
      <w:r w:rsidR="00261726" w:rsidRPr="002815F4">
        <w:t xml:space="preserve"> </w:t>
      </w:r>
      <w:r w:rsidR="00C929AB" w:rsidRPr="002815F4">
        <w:t xml:space="preserve">Civil society </w:t>
      </w:r>
      <w:r w:rsidR="000F135A" w:rsidRPr="002815F4">
        <w:t>welcomed w</w:t>
      </w:r>
      <w:r w:rsidR="00C929AB" w:rsidRPr="002815F4">
        <w:t xml:space="preserve">hat they </w:t>
      </w:r>
      <w:r w:rsidR="000F135A" w:rsidRPr="002815F4">
        <w:t xml:space="preserve">considered was </w:t>
      </w:r>
      <w:r w:rsidR="00C929AB" w:rsidRPr="002815F4">
        <w:t xml:space="preserve">reaffirmed commitment to the EITI </w:t>
      </w:r>
      <w:r w:rsidR="000F135A" w:rsidRPr="002815F4">
        <w:t xml:space="preserve">with </w:t>
      </w:r>
      <w:r w:rsidR="00C929AB" w:rsidRPr="002815F4">
        <w:t xml:space="preserve">in the </w:t>
      </w:r>
      <w:r w:rsidR="00E124F3" w:rsidRPr="002815F4">
        <w:t>new 2016 M</w:t>
      </w:r>
      <w:r w:rsidR="00C929AB" w:rsidRPr="002815F4">
        <w:t xml:space="preserve">ining </w:t>
      </w:r>
      <w:r w:rsidR="00E124F3" w:rsidRPr="002815F4">
        <w:t>C</w:t>
      </w:r>
      <w:r w:rsidR="00C929AB" w:rsidRPr="002815F4">
        <w:t>ode</w:t>
      </w:r>
      <w:r w:rsidR="00E124F3" w:rsidRPr="002815F4">
        <w:t>, even though their attempts at including beneficial ownership provisions had not been successful in the final draft</w:t>
      </w:r>
      <w:r w:rsidR="00C929AB" w:rsidRPr="002815F4">
        <w:t xml:space="preserve">. </w:t>
      </w:r>
      <w:r w:rsidR="00250781" w:rsidRPr="002815F4">
        <w:t>Civil society representatives</w:t>
      </w:r>
      <w:r w:rsidR="00215C8D" w:rsidRPr="002815F4">
        <w:t xml:space="preserve"> questioned the utility of the beneficial ownership data in the daily lives</w:t>
      </w:r>
      <w:r w:rsidR="005A308C" w:rsidRPr="002815F4">
        <w:t xml:space="preserve"> of an ordinary citizen</w:t>
      </w:r>
      <w:r w:rsidR="00215C8D" w:rsidRPr="002815F4">
        <w:t xml:space="preserve"> and emphasized that the information should </w:t>
      </w:r>
      <w:r w:rsidR="00E124F3" w:rsidRPr="002815F4">
        <w:t xml:space="preserve">be investigated and used to </w:t>
      </w:r>
      <w:r w:rsidR="00215C8D" w:rsidRPr="002815F4">
        <w:t xml:space="preserve">have an </w:t>
      </w:r>
      <w:r w:rsidR="005A308C" w:rsidRPr="002815F4">
        <w:t xml:space="preserve">impact. </w:t>
      </w:r>
      <w:r w:rsidR="00215C8D" w:rsidRPr="002815F4">
        <w:t>Parliamentarians hope</w:t>
      </w:r>
      <w:r w:rsidR="00261726" w:rsidRPr="002815F4">
        <w:t>d</w:t>
      </w:r>
      <w:r w:rsidR="00215C8D" w:rsidRPr="002815F4">
        <w:t xml:space="preserve"> to</w:t>
      </w:r>
      <w:r w:rsidR="00261726" w:rsidRPr="002815F4">
        <w:t xml:space="preserve"> use beneficial ownership information to</w:t>
      </w:r>
      <w:r w:rsidR="00215C8D" w:rsidRPr="002815F4">
        <w:t xml:space="preserve"> have greater visibility on the real owners of the companies</w:t>
      </w:r>
      <w:r w:rsidR="00E124F3" w:rsidRPr="002815F4">
        <w:t xml:space="preserve"> investing in Senegal’s mining, oil and gas</w:t>
      </w:r>
      <w:r w:rsidR="00215C8D" w:rsidRPr="002815F4">
        <w:t xml:space="preserve">. Companies noted that </w:t>
      </w:r>
      <w:r w:rsidR="00261726" w:rsidRPr="002815F4">
        <w:t>reporting on beneficial ownership may be misleading in the case of family businesses, where only one persons was identified as the beneficial owner and in companies partially</w:t>
      </w:r>
      <w:r w:rsidR="00E124F3" w:rsidRPr="002815F4">
        <w:t>-</w:t>
      </w:r>
      <w:r w:rsidR="00261726" w:rsidRPr="002815F4">
        <w:t>owned by cooperatives.</w:t>
      </w:r>
      <w:r w:rsidR="00215C8D" w:rsidRPr="002815F4">
        <w:t xml:space="preserve"> </w:t>
      </w:r>
    </w:p>
    <w:p w14:paraId="2CD90F36" w14:textId="344AC19E" w:rsidR="00215C8D" w:rsidRPr="002815F4" w:rsidRDefault="00261726" w:rsidP="005A308C">
      <w:r w:rsidRPr="002815F4">
        <w:t xml:space="preserve">Civil society representatives noted that they had participated in the MSG commission on beneficial ownership and noted that the MSG had begun consultations with </w:t>
      </w:r>
      <w:r w:rsidR="00E124F3" w:rsidRPr="002815F4">
        <w:t xml:space="preserve">relevant </w:t>
      </w:r>
      <w:r w:rsidRPr="002815F4">
        <w:t>stakeholders</w:t>
      </w:r>
      <w:r w:rsidR="00C929AB" w:rsidRPr="002815F4">
        <w:t xml:space="preserve">, in particular the </w:t>
      </w:r>
      <w:r w:rsidR="00E124F3" w:rsidRPr="002815F4">
        <w:t xml:space="preserve">public records holder (the </w:t>
      </w:r>
      <w:r w:rsidR="00C929AB" w:rsidRPr="002815F4">
        <w:rPr>
          <w:i/>
        </w:rPr>
        <w:t>Greffe</w:t>
      </w:r>
      <w:r w:rsidR="00E124F3" w:rsidRPr="002815F4">
        <w:rPr>
          <w:i/>
        </w:rPr>
        <w:t xml:space="preserve"> du Tribunal de Commerce</w:t>
      </w:r>
      <w:r w:rsidR="00E124F3" w:rsidRPr="002815F4">
        <w:t>)</w:t>
      </w:r>
      <w:r w:rsidR="00C929AB" w:rsidRPr="002815F4">
        <w:t xml:space="preserve">, </w:t>
      </w:r>
      <w:r w:rsidR="00E124F3" w:rsidRPr="002815F4">
        <w:t>the financial intelligence unit (C</w:t>
      </w:r>
      <w:r w:rsidR="00C929AB" w:rsidRPr="002815F4">
        <w:t>ENTIF</w:t>
      </w:r>
      <w:r w:rsidR="00E124F3" w:rsidRPr="002815F4">
        <w:t>)</w:t>
      </w:r>
      <w:r w:rsidR="00C929AB" w:rsidRPr="002815F4">
        <w:t xml:space="preserve"> and </w:t>
      </w:r>
      <w:r w:rsidR="00E124F3" w:rsidRPr="002815F4">
        <w:t>the Anti-Corruption Observatory</w:t>
      </w:r>
      <w:r w:rsidRPr="002815F4">
        <w:t xml:space="preserve">. </w:t>
      </w:r>
      <w:r w:rsidR="00C929AB" w:rsidRPr="002815F4">
        <w:t>Civil society noted that they had attended training by NRGI on beneficial ownership</w:t>
      </w:r>
      <w:r w:rsidR="00E124F3" w:rsidRPr="002815F4">
        <w:t>, including</w:t>
      </w:r>
      <w:r w:rsidR="00C929AB" w:rsidRPr="002815F4">
        <w:t xml:space="preserve"> </w:t>
      </w:r>
      <w:r w:rsidR="00E124F3" w:rsidRPr="002815F4">
        <w:t xml:space="preserve">at </w:t>
      </w:r>
      <w:r w:rsidR="00C929AB" w:rsidRPr="002815F4">
        <w:t xml:space="preserve">a national workshop </w:t>
      </w:r>
      <w:r w:rsidR="00E124F3" w:rsidRPr="002815F4">
        <w:t xml:space="preserve">on the topic </w:t>
      </w:r>
      <w:r w:rsidR="00C929AB" w:rsidRPr="002815F4">
        <w:t>in February 2016.</w:t>
      </w:r>
      <w:r w:rsidR="00B53726">
        <w:t xml:space="preserve"> </w:t>
      </w:r>
      <w:r w:rsidR="00215C8D" w:rsidRPr="002815F4">
        <w:t>Stakeholders outside of the capital noted that information on legal owners was</w:t>
      </w:r>
      <w:r w:rsidR="008C3F4C" w:rsidRPr="002815F4">
        <w:t xml:space="preserve"> not </w:t>
      </w:r>
      <w:r w:rsidR="00215C8D" w:rsidRPr="002815F4">
        <w:t>available</w:t>
      </w:r>
      <w:r w:rsidR="008C3F4C" w:rsidRPr="002815F4">
        <w:t xml:space="preserve"> in a public register</w:t>
      </w:r>
      <w:r w:rsidR="00215C8D" w:rsidRPr="002815F4">
        <w:t>.</w:t>
      </w:r>
      <w:r w:rsidRPr="002815F4">
        <w:t xml:space="preserve"> Compan</w:t>
      </w:r>
      <w:r w:rsidR="00E124F3" w:rsidRPr="002815F4">
        <w:t>y representatives</w:t>
      </w:r>
      <w:r w:rsidRPr="002815F4">
        <w:t xml:space="preserve"> noted however that they had begun to prepare their legal owners for EITI reporting</w:t>
      </w:r>
      <w:r w:rsidR="00E124F3" w:rsidRPr="002815F4">
        <w:t xml:space="preserve"> and that many companies provided information on their legal ownership on their company websites</w:t>
      </w:r>
      <w:r w:rsidRPr="002815F4">
        <w:t>.</w:t>
      </w:r>
      <w:r w:rsidR="00C929AB" w:rsidRPr="002815F4">
        <w:t xml:space="preserve"> Government representatives noted that in response to a question at the National Assembly, Fortesa had provided information on </w:t>
      </w:r>
      <w:r w:rsidR="00E124F3" w:rsidRPr="002815F4">
        <w:t xml:space="preserve">its </w:t>
      </w:r>
      <w:r w:rsidR="00C929AB" w:rsidRPr="002815F4">
        <w:t>legal ownership</w:t>
      </w:r>
      <w:r w:rsidR="00E124F3" w:rsidRPr="002815F4">
        <w:t>, and highlighted what they considered to be</w:t>
      </w:r>
      <w:r w:rsidR="00C929AB" w:rsidRPr="002815F4">
        <w:t xml:space="preserve"> the </w:t>
      </w:r>
      <w:r w:rsidR="00E124F3" w:rsidRPr="002815F4">
        <w:t xml:space="preserve">cooperation of </w:t>
      </w:r>
      <w:r w:rsidR="00C929AB" w:rsidRPr="002815F4">
        <w:t xml:space="preserve">companies </w:t>
      </w:r>
      <w:r w:rsidR="00E124F3" w:rsidRPr="002815F4">
        <w:t>investing in Senegal</w:t>
      </w:r>
      <w:r w:rsidR="00C929AB" w:rsidRPr="002815F4">
        <w:t xml:space="preserve">. </w:t>
      </w:r>
    </w:p>
    <w:p w14:paraId="6ED2FAD6" w14:textId="3DB2B034" w:rsidR="001E68AF" w:rsidRPr="002815F4" w:rsidRDefault="00F425D1" w:rsidP="009B3E66">
      <w:pPr>
        <w:pStyle w:val="Heading3"/>
      </w:pPr>
      <w:bookmarkStart w:id="177" w:name="_Toc459133114"/>
      <w:bookmarkStart w:id="178" w:name="_Toc461803063"/>
      <w:r w:rsidRPr="002815F4">
        <w:t>Initial assessment</w:t>
      </w:r>
      <w:bookmarkEnd w:id="177"/>
      <w:bookmarkEnd w:id="178"/>
    </w:p>
    <w:p w14:paraId="1D734A9C" w14:textId="3691DD32" w:rsidR="008C15AE" w:rsidRPr="002815F4" w:rsidRDefault="00E0305D" w:rsidP="00F425D1">
      <w:pPr>
        <w:spacing w:before="120"/>
        <w:rPr>
          <w:rFonts w:ascii="Calibri" w:hAnsi="Calibri"/>
        </w:rPr>
      </w:pPr>
      <w:r w:rsidRPr="002815F4">
        <w:rPr>
          <w:rFonts w:ascii="Calibri" w:hAnsi="Calibri"/>
        </w:rPr>
        <w:t xml:space="preserve">Implementing countries are not yet required to address beneficial ownership and progress with this </w:t>
      </w:r>
      <w:r w:rsidRPr="002815F4">
        <w:rPr>
          <w:rFonts w:ascii="Calibri" w:hAnsi="Calibri"/>
        </w:rPr>
        <w:lastRenderedPageBreak/>
        <w:t>requirement does not yet have any implications for a country’s EITI status.</w:t>
      </w:r>
      <w:r w:rsidR="005275CE" w:rsidRPr="002815F4">
        <w:rPr>
          <w:rFonts w:ascii="Calibri" w:hAnsi="Calibri"/>
        </w:rPr>
        <w:t xml:space="preserve"> </w:t>
      </w:r>
      <w:r w:rsidR="008C15AE" w:rsidRPr="002815F4">
        <w:rPr>
          <w:rFonts w:ascii="Calibri" w:hAnsi="Calibri"/>
        </w:rPr>
        <w:t xml:space="preserve">The Government of Senegal has publicly stated its policy on beneficial ownership disclosure and the 2014 EITI Report provides the names of legal owners and their level of ownership of all but four material companies. </w:t>
      </w:r>
    </w:p>
    <w:p w14:paraId="52F95741" w14:textId="32F2A1D7" w:rsidR="00E124F3" w:rsidRPr="002815F4" w:rsidRDefault="008C15AE" w:rsidP="007474FE">
      <w:r w:rsidRPr="002815F4">
        <w:t xml:space="preserve">To strengthen implementation, the MSG may wish to </w:t>
      </w:r>
      <w:r w:rsidR="00F73C05">
        <w:t>pilot</w:t>
      </w:r>
      <w:r w:rsidRPr="002815F4">
        <w:t xml:space="preserve"> beneficial ownership reporting in the forthcoming EITI Report in order to increase awareness of beneficial ownership transparency and pilot beneficial ownership definitions and thresholds.</w:t>
      </w:r>
      <w:r w:rsidR="00BB7F31" w:rsidRPr="002815F4">
        <w:t xml:space="preserve"> In particular, the MSG may wish to consider the various types of control that can be exercised over a company.</w:t>
      </w:r>
      <w:r w:rsidRPr="002815F4">
        <w:t xml:space="preserve"> Senegal EITI may also wish to conduct broader outreach to the companies on the objectives of beneficial ownership transparency, as well as hold conversations with government agencies on how to make such disclosures mandatory.</w:t>
      </w:r>
    </w:p>
    <w:p w14:paraId="74C2D78C" w14:textId="77777777" w:rsidR="00A441F1" w:rsidRPr="002815F4" w:rsidRDefault="000722F1" w:rsidP="009B3E66">
      <w:pPr>
        <w:pStyle w:val="Heading2"/>
      </w:pPr>
      <w:bookmarkStart w:id="179" w:name="_Toc459133115"/>
      <w:bookmarkStart w:id="180" w:name="_Toc461803064"/>
      <w:bookmarkStart w:id="181" w:name="_Toc461787330"/>
      <w:bookmarkStart w:id="182" w:name="_Toc461795842"/>
      <w:bookmarkStart w:id="183" w:name="_Toc459133116"/>
      <w:r w:rsidRPr="002815F4">
        <w:t>S</w:t>
      </w:r>
      <w:r w:rsidR="00A029B7" w:rsidRPr="002815F4">
        <w:t xml:space="preserve">tate </w:t>
      </w:r>
      <w:r w:rsidR="00A441F1" w:rsidRPr="002815F4">
        <w:t>participation (#</w:t>
      </w:r>
      <w:r w:rsidR="00EE25D1" w:rsidRPr="002815F4">
        <w:t>2</w:t>
      </w:r>
      <w:r w:rsidR="00A441F1" w:rsidRPr="002815F4">
        <w:t>.6)</w:t>
      </w:r>
      <w:bookmarkEnd w:id="179"/>
      <w:bookmarkEnd w:id="180"/>
      <w:bookmarkEnd w:id="181"/>
      <w:bookmarkEnd w:id="182"/>
    </w:p>
    <w:bookmarkEnd w:id="183"/>
    <w:p w14:paraId="193F68B1" w14:textId="77777777" w:rsidR="00247985" w:rsidRPr="002815F4" w:rsidRDefault="00F425D1" w:rsidP="009B3E66">
      <w:pPr>
        <w:pStyle w:val="Heading3"/>
      </w:pPr>
      <w:r w:rsidRPr="002815F4">
        <w:t>Documentation of progress</w:t>
      </w:r>
    </w:p>
    <w:p w14:paraId="41E4D3D9" w14:textId="3DE5731F" w:rsidR="003F77E8" w:rsidRPr="002815F4" w:rsidRDefault="00F425D1" w:rsidP="00135EFE">
      <w:pPr>
        <w:spacing w:before="120"/>
        <w:rPr>
          <w:rFonts w:ascii="Calibri" w:hAnsi="Calibri"/>
        </w:rPr>
      </w:pPr>
      <w:r w:rsidRPr="002815F4">
        <w:rPr>
          <w:rFonts w:ascii="Calibri" w:hAnsi="Calibri"/>
          <w:i/>
          <w:u w:val="single"/>
        </w:rPr>
        <w:t>Materiality</w:t>
      </w:r>
      <w:r w:rsidRPr="002815F4">
        <w:rPr>
          <w:rFonts w:ascii="Calibri" w:hAnsi="Calibri"/>
        </w:rPr>
        <w:t xml:space="preserve">: </w:t>
      </w:r>
      <w:r w:rsidR="00415052" w:rsidRPr="002815F4">
        <w:rPr>
          <w:rFonts w:ascii="Calibri" w:hAnsi="Calibri"/>
        </w:rPr>
        <w:t>In mining, t</w:t>
      </w:r>
      <w:r w:rsidR="00135EFE" w:rsidRPr="002815F4">
        <w:rPr>
          <w:rFonts w:ascii="Calibri" w:hAnsi="Calibri"/>
        </w:rPr>
        <w:t>he 2014 EITI Report describes the state’s 76% equity stake in iron-ore company Miferso (Société des Mines de Fer du Sénégal Oriental) (2014 EITI Report, p</w:t>
      </w:r>
      <w:r w:rsidR="00E238BA" w:rsidRPr="002815F4">
        <w:rPr>
          <w:rFonts w:ascii="Calibri" w:hAnsi="Calibri"/>
        </w:rPr>
        <w:t>p</w:t>
      </w:r>
      <w:r w:rsidR="00135EFE" w:rsidRPr="002815F4">
        <w:rPr>
          <w:rFonts w:ascii="Calibri" w:hAnsi="Calibri"/>
        </w:rPr>
        <w:t>.26</w:t>
      </w:r>
      <w:r w:rsidR="00E238BA" w:rsidRPr="002815F4">
        <w:rPr>
          <w:rFonts w:ascii="Calibri" w:hAnsi="Calibri"/>
        </w:rPr>
        <w:t>,35</w:t>
      </w:r>
      <w:r w:rsidR="00135EFE" w:rsidRPr="002815F4">
        <w:rPr>
          <w:rFonts w:ascii="Calibri" w:hAnsi="Calibri"/>
        </w:rPr>
        <w:t xml:space="preserve">) but </w:t>
      </w:r>
      <w:r w:rsidR="00415052" w:rsidRPr="002815F4">
        <w:rPr>
          <w:rFonts w:ascii="Calibri" w:hAnsi="Calibri"/>
        </w:rPr>
        <w:t xml:space="preserve">also states that, given difficulties in developing the Falémé iron ore deposits, Miferso has never paid any dividends to the government to date (2014 EITI Report, p.35). The report also outlines the government’s statutory entitlement to a 10% free-carry stake in all mining companies holding production licenses, with options to acquire additional equity in production-holders and an equity stake in any exploration license-holder on a commercial basis (2014 EITI Report, p.35). </w:t>
      </w:r>
      <w:r w:rsidR="00E238BA" w:rsidRPr="002815F4">
        <w:rPr>
          <w:rFonts w:ascii="Calibri" w:hAnsi="Calibri"/>
        </w:rPr>
        <w:t xml:space="preserve">While the report does not clarify the government entity that holds the equity stakes in mining companies, it provides a list of eight mining companies in which the government holds a 10% stake and one company in which it holds a 15% stake (2014 EITI Report, p.35). </w:t>
      </w:r>
    </w:p>
    <w:p w14:paraId="32D49A61" w14:textId="6D8E7DAE" w:rsidR="00F425D1" w:rsidRPr="002815F4" w:rsidRDefault="006C1752" w:rsidP="002A103A">
      <w:pPr>
        <w:spacing w:before="120"/>
        <w:rPr>
          <w:rFonts w:ascii="Calibri" w:hAnsi="Calibri"/>
        </w:rPr>
      </w:pPr>
      <w:r w:rsidRPr="002815F4">
        <w:rPr>
          <w:rFonts w:ascii="Calibri" w:hAnsi="Calibri"/>
        </w:rPr>
        <w:t>In oil and gas, t</w:t>
      </w:r>
      <w:r w:rsidR="000810C1" w:rsidRPr="002815F4">
        <w:rPr>
          <w:rFonts w:ascii="Calibri" w:hAnsi="Calibri"/>
        </w:rPr>
        <w:t xml:space="preserve">he 2014 EITI Report confirms that state participation is undertaken through Petrosen, 100% owned by the government, which is responsible for representing the state in all oil and gas exploration and production projects as well as for selling the state’s in-kind revenues and transferring proceeds to the Treasury (2014 EITI Report, </w:t>
      </w:r>
      <w:r w:rsidR="00252171" w:rsidRPr="002815F4">
        <w:rPr>
          <w:rFonts w:ascii="Calibri" w:hAnsi="Calibri"/>
        </w:rPr>
        <w:t>p</w:t>
      </w:r>
      <w:r w:rsidR="000810C1" w:rsidRPr="002815F4">
        <w:rPr>
          <w:rFonts w:ascii="Calibri" w:hAnsi="Calibri"/>
        </w:rPr>
        <w:t>p.54</w:t>
      </w:r>
      <w:r w:rsidR="00252171" w:rsidRPr="002815F4">
        <w:rPr>
          <w:rFonts w:ascii="Calibri" w:hAnsi="Calibri"/>
        </w:rPr>
        <w:t>,87</w:t>
      </w:r>
      <w:r w:rsidR="000810C1" w:rsidRPr="002815F4">
        <w:rPr>
          <w:rFonts w:ascii="Calibri" w:hAnsi="Calibri"/>
        </w:rPr>
        <w:t xml:space="preserve">). </w:t>
      </w:r>
      <w:r w:rsidR="002A103A" w:rsidRPr="002815F4">
        <w:rPr>
          <w:rFonts w:ascii="Calibri" w:hAnsi="Calibri"/>
        </w:rPr>
        <w:t xml:space="preserve">However, information on the legal ownership of Petrosen in Annex 3 clarifies that the government holds a 99% stake in Petrosen directly and a 1% stake indirectly through the Société Nationale de Recouvrement (SNR), another SOE (2014 EITI Report, p.100). </w:t>
      </w:r>
    </w:p>
    <w:p w14:paraId="297FFB4B" w14:textId="6127DE39" w:rsidR="0023243B" w:rsidRPr="002815F4" w:rsidRDefault="00F425D1" w:rsidP="00405360">
      <w:pPr>
        <w:spacing w:before="120"/>
        <w:rPr>
          <w:rFonts w:ascii="Calibri" w:hAnsi="Calibri"/>
        </w:rPr>
      </w:pPr>
      <w:r w:rsidRPr="002815F4">
        <w:rPr>
          <w:rFonts w:ascii="Calibri" w:hAnsi="Calibri"/>
          <w:i/>
          <w:u w:val="single"/>
        </w:rPr>
        <w:t>Financial relationship with government</w:t>
      </w:r>
      <w:r w:rsidRPr="002815F4">
        <w:rPr>
          <w:rFonts w:ascii="Calibri" w:hAnsi="Calibri"/>
        </w:rPr>
        <w:t xml:space="preserve">: </w:t>
      </w:r>
      <w:r w:rsidR="0023243B" w:rsidRPr="002815F4">
        <w:rPr>
          <w:rFonts w:ascii="Calibri" w:hAnsi="Calibri"/>
        </w:rPr>
        <w:t>The 2014 EITI Report does not describe the statutory rules governing the financial relations between Miferso and the government, but it clarifies that, on the basis of Miferso’s 2014 financial statements, the SOE did not have any outstanding loans, leases or assimilated credits and that the government had never had to provide loans or loan guarantees to Miferso (2014 EITI Report, p.35). Although the report implies that the government is entitled to dividends from Miferso, it explains that the SOE has never paid such dividends to government to date given difficulties in developing the Falémé iron ore deposits (2014 EITI Report, p.35).</w:t>
      </w:r>
      <w:r w:rsidR="006C1752" w:rsidRPr="002815F4">
        <w:rPr>
          <w:rFonts w:ascii="Calibri" w:hAnsi="Calibri"/>
        </w:rPr>
        <w:t xml:space="preserve"> The report also highlights that the Treasury (DGTCP) reported having provided subsidies worth XOF 1,256.13m to Miferso in 2014, but that the SOE reported having received only XOF 256.13m in grants for research and mining exploration</w:t>
      </w:r>
      <w:r w:rsidR="00FB28B3" w:rsidRPr="002815F4">
        <w:rPr>
          <w:rFonts w:ascii="Calibri" w:hAnsi="Calibri"/>
        </w:rPr>
        <w:t xml:space="preserve">. The discrepancy is </w:t>
      </w:r>
      <w:r w:rsidR="00FB28B3" w:rsidRPr="002815F4">
        <w:rPr>
          <w:rFonts w:ascii="Calibri" w:hAnsi="Calibri"/>
        </w:rPr>
        <w:lastRenderedPageBreak/>
        <w:t>explained as a payment late in the year</w:t>
      </w:r>
      <w:r w:rsidR="006C1752" w:rsidRPr="002815F4">
        <w:rPr>
          <w:rFonts w:ascii="Calibri" w:hAnsi="Calibri"/>
        </w:rPr>
        <w:t xml:space="preserve"> (2014 EITI Report, p.81).</w:t>
      </w:r>
      <w:r w:rsidR="00FB28B3" w:rsidRPr="002815F4">
        <w:rPr>
          <w:rFonts w:ascii="Calibri" w:hAnsi="Calibri"/>
        </w:rPr>
        <w:t xml:space="preserve"> The report provides a link to the Miferso website</w:t>
      </w:r>
      <w:r w:rsidR="00FB28B3" w:rsidRPr="002815F4">
        <w:rPr>
          <w:rStyle w:val="FootnoteReference"/>
          <w:rFonts w:ascii="Calibri" w:hAnsi="Calibri"/>
        </w:rPr>
        <w:footnoteReference w:id="55"/>
      </w:r>
      <w:r w:rsidR="00FB28B3" w:rsidRPr="002815F4">
        <w:rPr>
          <w:rFonts w:ascii="Calibri" w:hAnsi="Calibri"/>
        </w:rPr>
        <w:t xml:space="preserve"> (2014 EITI Report, p.26), where the company is described as “primarily focused on exploration and finding credible technical and financial partners”, implying that it does not receive payments on behalf of the government. </w:t>
      </w:r>
    </w:p>
    <w:p w14:paraId="333E24CA" w14:textId="60ACAB39" w:rsidR="00DF7FAB" w:rsidRPr="002815F4" w:rsidRDefault="00DF7FAB" w:rsidP="00405360">
      <w:pPr>
        <w:spacing w:before="120"/>
        <w:rPr>
          <w:rFonts w:ascii="Calibri" w:hAnsi="Calibri"/>
        </w:rPr>
      </w:pPr>
      <w:r w:rsidRPr="002815F4">
        <w:rPr>
          <w:rFonts w:ascii="Calibri" w:hAnsi="Calibri"/>
        </w:rPr>
        <w:t>T</w:t>
      </w:r>
      <w:r w:rsidR="006C1752" w:rsidRPr="002815F4">
        <w:rPr>
          <w:rFonts w:ascii="Calibri" w:hAnsi="Calibri"/>
        </w:rPr>
        <w:t xml:space="preserve">he 2014 EITI Report </w:t>
      </w:r>
      <w:r w:rsidRPr="002815F4">
        <w:rPr>
          <w:rFonts w:ascii="Calibri" w:hAnsi="Calibri"/>
        </w:rPr>
        <w:t>describes the rules governing the financing of Petrosen, which relies on state subsidies, sales of Petrosen’s share of production, sales of seismic and technical data as well as land tax payments from oil and gas license-holders, which are retained by Petrosen and not transferred to the Treasury (DGTCP) (2014 EITI Report, p.54). While the IA confirms that Petrosen did not have any active loans, leases or assimilated credits, based on its review of Petrosen’s 2014 financial statements (2014 EITI Report, p.54), it does not clarify whether Petrosen is statutorily entitled to seek third-party financing. The report states that Petrosen received XOF 250m in subsidies from the government in 2014, which were confirmed as received by Petrosen (2014 EITI Report, p.81).</w:t>
      </w:r>
      <w:r w:rsidR="00FB28B3" w:rsidRPr="002815F4">
        <w:rPr>
          <w:rFonts w:ascii="Calibri" w:hAnsi="Calibri"/>
        </w:rPr>
        <w:t xml:space="preserve"> The report does state that Petrosen is a commercial company with majority government shareholding (“</w:t>
      </w:r>
      <w:r w:rsidR="00FB28B3" w:rsidRPr="002815F4">
        <w:rPr>
          <w:rFonts w:ascii="Calibri" w:hAnsi="Calibri"/>
          <w:i/>
        </w:rPr>
        <w:t>société anonyme à participation publique majoritaire</w:t>
      </w:r>
      <w:r w:rsidR="00FB28B3" w:rsidRPr="002815F4">
        <w:rPr>
          <w:rFonts w:ascii="Calibri" w:hAnsi="Calibri"/>
        </w:rPr>
        <w:t xml:space="preserve">”) (2014 EITI Report, p.42). This implies that Petrosen’s board of directors (albeit entirely government appointees) is empowered to decide dividend policy, reinvestments and would have the ability to contract third-party financing. </w:t>
      </w:r>
    </w:p>
    <w:p w14:paraId="051CD9AD" w14:textId="6635803A" w:rsidR="000810C1" w:rsidRPr="002815F4" w:rsidRDefault="00F425D1" w:rsidP="00405360">
      <w:pPr>
        <w:spacing w:before="120"/>
        <w:rPr>
          <w:rFonts w:ascii="Calibri" w:hAnsi="Calibri"/>
        </w:rPr>
      </w:pPr>
      <w:r w:rsidRPr="002815F4">
        <w:rPr>
          <w:rFonts w:ascii="Calibri" w:hAnsi="Calibri"/>
          <w:i/>
          <w:u w:val="single"/>
        </w:rPr>
        <w:t>Government ownership</w:t>
      </w:r>
      <w:r w:rsidRPr="002815F4">
        <w:rPr>
          <w:rFonts w:ascii="Calibri" w:hAnsi="Calibri"/>
        </w:rPr>
        <w:t xml:space="preserve">: </w:t>
      </w:r>
      <w:r w:rsidR="006C2D2F" w:rsidRPr="002815F4">
        <w:rPr>
          <w:rFonts w:ascii="Calibri" w:hAnsi="Calibri"/>
        </w:rPr>
        <w:t>In mining, t</w:t>
      </w:r>
      <w:r w:rsidR="00DF7FAB" w:rsidRPr="002815F4">
        <w:rPr>
          <w:rFonts w:ascii="Calibri" w:hAnsi="Calibri"/>
        </w:rPr>
        <w:t xml:space="preserve">he 2014 EITI Report provides a list of state participation in the mining sector, including eight mining companies in which the government holds a 10% stake, one company in which it holds a 15% stake and Miferso in which it holds a 76% stake (2014 EITI Report, p.35). It clarifies that the government’s minimum 10% equity stake in the eight mining companies is on a free-carry basis, meaning that all costs associated with the equity are covered by the operator on behalf of the state, and that the additional equity (in the company in which the state holds 15%) are on a purely commercial basis, implying that the government is required to cover costs associated with the 5% additional stake (2014 EITI Report, p.35). </w:t>
      </w:r>
      <w:r w:rsidR="006C2D2F" w:rsidRPr="002815F4">
        <w:rPr>
          <w:rFonts w:ascii="Calibri" w:hAnsi="Calibri"/>
        </w:rPr>
        <w:t xml:space="preserve">The report also states that the government is entitled to dividends from its stake in Miferso but that these have never been paid </w:t>
      </w:r>
      <w:r w:rsidR="002815F4" w:rsidRPr="002815F4">
        <w:rPr>
          <w:rFonts w:ascii="Calibri" w:hAnsi="Calibri"/>
        </w:rPr>
        <w:t>given</w:t>
      </w:r>
      <w:r w:rsidR="006C2D2F" w:rsidRPr="002815F4">
        <w:rPr>
          <w:rFonts w:ascii="Calibri" w:hAnsi="Calibri"/>
        </w:rPr>
        <w:t xml:space="preserve"> difficulties in developing the Falémé iron ore deposits (2014 EITI Report, p.35) and confirms that Miferso relied on state subsidies in 2014 (2014 EITI Report, p.81).</w:t>
      </w:r>
    </w:p>
    <w:p w14:paraId="05DAE966" w14:textId="31999D6B" w:rsidR="00F1790A" w:rsidRPr="002815F4" w:rsidRDefault="006C2D2F" w:rsidP="00405360">
      <w:pPr>
        <w:spacing w:before="120"/>
        <w:rPr>
          <w:rFonts w:ascii="Calibri" w:hAnsi="Calibri"/>
        </w:rPr>
      </w:pPr>
      <w:r w:rsidRPr="002815F4">
        <w:rPr>
          <w:rFonts w:ascii="Calibri" w:hAnsi="Calibri"/>
        </w:rPr>
        <w:t>In oil and gas, t</w:t>
      </w:r>
      <w:r w:rsidR="000810C1" w:rsidRPr="002815F4">
        <w:rPr>
          <w:rFonts w:ascii="Calibri" w:hAnsi="Calibri"/>
        </w:rPr>
        <w:t>he report states that the level of state participation in each oil and gas project is set by each PSC and service contract (2014 EITI Report, p.54).</w:t>
      </w:r>
      <w:r w:rsidR="002A103A" w:rsidRPr="002815F4">
        <w:rPr>
          <w:rFonts w:ascii="Calibri" w:hAnsi="Calibri"/>
        </w:rPr>
        <w:t xml:space="preserve"> The report states that the government holds 100% of Petrosen’s equity (2014 EITI Report, p.54) but clarifies in Annex 3 that a 99% stake is held directly by the government and 1% is held through state-owned SNR (2014 EITI Report, p.100). </w:t>
      </w:r>
      <w:r w:rsidR="00AD4D21" w:rsidRPr="002815F4">
        <w:rPr>
          <w:rFonts w:ascii="Calibri" w:hAnsi="Calibri"/>
        </w:rPr>
        <w:t xml:space="preserve">Information on oil and gas licenses provided in Annex 13 provides Petrosen’s equity stake in all 15 oil and gas licenses active in 2014 (2014 EITI Report, pp.132-135). </w:t>
      </w:r>
      <w:r w:rsidR="00D13BAD" w:rsidRPr="002815F4">
        <w:rPr>
          <w:rFonts w:ascii="Calibri" w:hAnsi="Calibri"/>
        </w:rPr>
        <w:t>While the report does not define the terms associated with Petrosen’s equity in oil and gas license-holders, it states that the modalities of state participation in each project are defined in individual concession or service contract</w:t>
      </w:r>
      <w:r w:rsidR="00083086" w:rsidRPr="002815F4">
        <w:rPr>
          <w:rFonts w:ascii="Calibri" w:hAnsi="Calibri"/>
        </w:rPr>
        <w:t xml:space="preserve"> in line with Article 7 of the Petroleum Code</w:t>
      </w:r>
      <w:r w:rsidR="00D13BAD" w:rsidRPr="002815F4">
        <w:rPr>
          <w:rFonts w:ascii="Calibri" w:hAnsi="Calibri"/>
        </w:rPr>
        <w:t xml:space="preserve"> (2014 EITI Report, p.54). </w:t>
      </w:r>
      <w:r w:rsidR="005A38BC" w:rsidRPr="002815F4">
        <w:rPr>
          <w:rFonts w:ascii="Calibri" w:hAnsi="Calibri"/>
        </w:rPr>
        <w:t>The report also confirms that Petrosen holds a 46% stake in the Société Africaine de Raffinage and a 34% stake in Senegal Power</w:t>
      </w:r>
      <w:r w:rsidR="00083086" w:rsidRPr="002815F4">
        <w:rPr>
          <w:rFonts w:ascii="Calibri" w:hAnsi="Calibri"/>
        </w:rPr>
        <w:t>, although it does not describe the terms of</w:t>
      </w:r>
      <w:r w:rsidR="00D13BAD" w:rsidRPr="002815F4">
        <w:rPr>
          <w:rFonts w:ascii="Calibri" w:hAnsi="Calibri"/>
        </w:rPr>
        <w:t xml:space="preserve"> Petrosen’s equity in these two companies</w:t>
      </w:r>
      <w:r w:rsidR="00083086" w:rsidRPr="002815F4">
        <w:rPr>
          <w:rFonts w:ascii="Calibri" w:hAnsi="Calibri"/>
        </w:rPr>
        <w:t xml:space="preserve"> beyond referring to them as “stakes in public companies” (2014 EITI Report, p.54).  </w:t>
      </w:r>
      <w:r w:rsidR="00D13BAD" w:rsidRPr="002815F4">
        <w:rPr>
          <w:rFonts w:ascii="Calibri" w:hAnsi="Calibri"/>
        </w:rPr>
        <w:t xml:space="preserve"> </w:t>
      </w:r>
    </w:p>
    <w:p w14:paraId="0CD9CDB3" w14:textId="689C7A02" w:rsidR="00F908CB" w:rsidRPr="002815F4" w:rsidRDefault="003C66EB" w:rsidP="00F908CB">
      <w:pPr>
        <w:spacing w:before="120"/>
        <w:rPr>
          <w:rFonts w:ascii="Calibri" w:hAnsi="Calibri"/>
        </w:rPr>
      </w:pPr>
      <w:r w:rsidRPr="002815F4">
        <w:rPr>
          <w:rFonts w:ascii="Calibri" w:hAnsi="Calibri"/>
          <w:i/>
          <w:u w:val="single"/>
        </w:rPr>
        <w:lastRenderedPageBreak/>
        <w:t>Ownership changes</w:t>
      </w:r>
      <w:r w:rsidRPr="002815F4">
        <w:rPr>
          <w:rFonts w:ascii="Calibri" w:hAnsi="Calibri"/>
        </w:rPr>
        <w:t xml:space="preserve">: </w:t>
      </w:r>
      <w:r w:rsidR="00A319FC" w:rsidRPr="002815F4">
        <w:rPr>
          <w:rFonts w:ascii="Calibri" w:hAnsi="Calibri"/>
        </w:rPr>
        <w:t>The 2014 EITI Report confirms that there were no changes in state par</w:t>
      </w:r>
      <w:r w:rsidR="006C2D2F" w:rsidRPr="002815F4">
        <w:rPr>
          <w:rFonts w:ascii="Calibri" w:hAnsi="Calibri"/>
        </w:rPr>
        <w:t>ticipation in the mining sector</w:t>
      </w:r>
      <w:r w:rsidR="007D53D4" w:rsidRPr="002815F4">
        <w:rPr>
          <w:rFonts w:ascii="Calibri" w:hAnsi="Calibri"/>
        </w:rPr>
        <w:t xml:space="preserve"> in 2014</w:t>
      </w:r>
      <w:r w:rsidR="00A319FC" w:rsidRPr="002815F4">
        <w:rPr>
          <w:rFonts w:ascii="Calibri" w:hAnsi="Calibri"/>
        </w:rPr>
        <w:t xml:space="preserve"> (2014 EITI Report, p.35) </w:t>
      </w:r>
      <w:r w:rsidR="002A17F7" w:rsidRPr="002815F4">
        <w:rPr>
          <w:rFonts w:ascii="Calibri" w:hAnsi="Calibri"/>
        </w:rPr>
        <w:t xml:space="preserve">but does not comment on whether there was any change in state participation in the oil and gas sector in </w:t>
      </w:r>
      <w:r w:rsidR="007D53D4" w:rsidRPr="002815F4">
        <w:rPr>
          <w:rFonts w:ascii="Calibri" w:hAnsi="Calibri"/>
        </w:rPr>
        <w:t xml:space="preserve">2014. </w:t>
      </w:r>
      <w:r w:rsidR="00F908CB" w:rsidRPr="002815F4">
        <w:rPr>
          <w:rFonts w:ascii="Calibri" w:hAnsi="Calibri"/>
        </w:rPr>
        <w:t xml:space="preserve">However, there is evidence in the list of oil and gas licenses provided in Annex 13 that three exploration licenses were awarded in 2014, implying a change in Petrosen’s participation in 2014 (2014 EITI Report, pp.132-133). While the report also highlights the transfer of two exploration licenses in 2014 (2014 EITI Report, p.53), it does not appear that Petrosen’s participation in these projects changed as a result. </w:t>
      </w:r>
    </w:p>
    <w:p w14:paraId="6A79C1EB" w14:textId="66D128A4" w:rsidR="00F425D1" w:rsidRPr="002815F4" w:rsidRDefault="00F425D1" w:rsidP="00405360">
      <w:pPr>
        <w:spacing w:before="120"/>
        <w:rPr>
          <w:rFonts w:ascii="Calibri" w:hAnsi="Calibri"/>
          <w:bCs/>
        </w:rPr>
      </w:pPr>
      <w:r w:rsidRPr="002815F4">
        <w:rPr>
          <w:rFonts w:ascii="Calibri" w:hAnsi="Calibri"/>
          <w:i/>
          <w:u w:val="single"/>
        </w:rPr>
        <w:t>Loans and guarantees</w:t>
      </w:r>
      <w:r w:rsidRPr="002815F4">
        <w:rPr>
          <w:rFonts w:ascii="Calibri" w:hAnsi="Calibri"/>
        </w:rPr>
        <w:t xml:space="preserve">: </w:t>
      </w:r>
      <w:r w:rsidR="00F908CB" w:rsidRPr="002815F4">
        <w:rPr>
          <w:rFonts w:ascii="Calibri" w:hAnsi="Calibri"/>
        </w:rPr>
        <w:t xml:space="preserve">The 2014 EITI Report states that the government has not provided any loans or loan guarantees that were outstanding in 2014 to Miferso (2014 EITI Report, p.35) or Petrosen (2014 EITI Report, p.54), on the basis of their respective 2014 financial statements, and that neither of these companies provided any loans or loan guarantees to </w:t>
      </w:r>
      <w:r w:rsidR="002815F4" w:rsidRPr="002815F4">
        <w:rPr>
          <w:rFonts w:ascii="Calibri" w:hAnsi="Calibri"/>
        </w:rPr>
        <w:t>extractives</w:t>
      </w:r>
      <w:r w:rsidR="00F908CB" w:rsidRPr="002815F4">
        <w:rPr>
          <w:rFonts w:ascii="Calibri" w:hAnsi="Calibri"/>
        </w:rPr>
        <w:t xml:space="preserve"> companies (2014 EITI Report, pp.35,54). The report also confirms that the government did not provide any loans or loan guarantees to the AGC (2014 EITI Report, p.81). The value of state subsidies to Miferso and Petrosen in 2014 are provided (2014 EITI Report, p.54).</w:t>
      </w:r>
      <w:r w:rsidR="00F908CB" w:rsidRPr="002815F4">
        <w:rPr>
          <w:rFonts w:ascii="Calibri" w:hAnsi="Calibri"/>
          <w:bCs/>
        </w:rPr>
        <w:t xml:space="preserve"> However, the report does not comment on whether the government provided any loans or guarantees (outstanding in 2014) to any extractives companies directly, rather than through a SOE. </w:t>
      </w:r>
    </w:p>
    <w:p w14:paraId="3659080D" w14:textId="5F106B62" w:rsidR="005A308C" w:rsidRPr="002815F4" w:rsidRDefault="00F425D1" w:rsidP="007474FE">
      <w:pPr>
        <w:pStyle w:val="Heading3"/>
      </w:pPr>
      <w:r w:rsidRPr="002815F4">
        <w:t>Stakeholder views</w:t>
      </w:r>
    </w:p>
    <w:p w14:paraId="5D6D9C1E" w14:textId="192D0C17" w:rsidR="00083086" w:rsidRPr="002815F4" w:rsidRDefault="00083086" w:rsidP="005A308C">
      <w:r w:rsidRPr="002815F4">
        <w:rPr>
          <w:i/>
          <w:u w:val="single"/>
        </w:rPr>
        <w:t>Mining</w:t>
      </w:r>
      <w:r w:rsidRPr="002815F4">
        <w:t>: Treasury r</w:t>
      </w:r>
      <w:r w:rsidR="005A308C" w:rsidRPr="002815F4">
        <w:t>eprese</w:t>
      </w:r>
      <w:r w:rsidR="002A321F" w:rsidRPr="002815F4">
        <w:t>ntatives confirmed that they manage</w:t>
      </w:r>
      <w:r w:rsidRPr="002815F4">
        <w:t>d</w:t>
      </w:r>
      <w:r w:rsidR="002A321F" w:rsidRPr="002815F4">
        <w:t xml:space="preserve"> the </w:t>
      </w:r>
      <w:r w:rsidRPr="002815F4">
        <w:t xml:space="preserve">state’s </w:t>
      </w:r>
      <w:r w:rsidR="002A321F" w:rsidRPr="002815F4">
        <w:t>dividends f</w:t>
      </w:r>
      <w:r w:rsidR="005A308C" w:rsidRPr="002815F4">
        <w:t>r</w:t>
      </w:r>
      <w:r w:rsidR="002A321F" w:rsidRPr="002815F4">
        <w:t>om</w:t>
      </w:r>
      <w:r w:rsidR="005A308C" w:rsidRPr="002815F4">
        <w:t xml:space="preserve"> the </w:t>
      </w:r>
      <w:r w:rsidRPr="002815F4">
        <w:t xml:space="preserve">statutory </w:t>
      </w:r>
      <w:r w:rsidR="005A308C" w:rsidRPr="002815F4">
        <w:t>10% free</w:t>
      </w:r>
      <w:r w:rsidRPr="002815F4">
        <w:t>-</w:t>
      </w:r>
      <w:r w:rsidR="005A308C" w:rsidRPr="002815F4">
        <w:t>carry</w:t>
      </w:r>
      <w:r w:rsidRPr="002815F4">
        <w:t xml:space="preserve"> stake in all mining production license-holder, noting that even the state’s stake in the since-cancelled Falémé iron ore project with Mittal was held directly by the Ministry of Finance, rather than by Miferso</w:t>
      </w:r>
      <w:r w:rsidR="005A308C" w:rsidRPr="002815F4">
        <w:t xml:space="preserve">. </w:t>
      </w:r>
      <w:r w:rsidRPr="002815F4">
        <w:t>Several r</w:t>
      </w:r>
      <w:r w:rsidR="005A308C" w:rsidRPr="002815F4">
        <w:t xml:space="preserve">epresentatives of the </w:t>
      </w:r>
      <w:r w:rsidRPr="002815F4">
        <w:t xml:space="preserve">media </w:t>
      </w:r>
      <w:r w:rsidR="005A308C" w:rsidRPr="002815F4">
        <w:t xml:space="preserve">expressed concern that the 10% government share was </w:t>
      </w:r>
      <w:r w:rsidRPr="002815F4">
        <w:t xml:space="preserve">too </w:t>
      </w:r>
      <w:r w:rsidR="005A308C" w:rsidRPr="002815F4">
        <w:t xml:space="preserve">small. </w:t>
      </w:r>
      <w:r w:rsidRPr="002815F4">
        <w:t>With respect to the mining state-owned enterprise, government representatives noted that Miferso was involved in the promotion of the sector, but that it did not collect revenues from companies, only partnering with companies on exploration but not production. However, stakeholders also highlighted that M</w:t>
      </w:r>
      <w:r w:rsidR="00CB6337" w:rsidRPr="002815F4">
        <w:t>iferso</w:t>
      </w:r>
      <w:r w:rsidRPr="002815F4">
        <w:t xml:space="preserve"> operated under OHADA rules and thus could theoretically retain earnings and seek third party funding. </w:t>
      </w:r>
    </w:p>
    <w:p w14:paraId="0974EE4C" w14:textId="2D852283" w:rsidR="00F03C95" w:rsidRPr="002815F4" w:rsidRDefault="00083086" w:rsidP="005A308C">
      <w:r w:rsidRPr="002815F4">
        <w:rPr>
          <w:i/>
          <w:u w:val="single"/>
        </w:rPr>
        <w:t>Oil and gas</w:t>
      </w:r>
      <w:r w:rsidRPr="002815F4">
        <w:t xml:space="preserve">: </w:t>
      </w:r>
      <w:r w:rsidR="00C35142" w:rsidRPr="002815F4">
        <w:t>Government representatives confirmed that P</w:t>
      </w:r>
      <w:r w:rsidR="00C93FF6" w:rsidRPr="002815F4">
        <w:t>etrosen</w:t>
      </w:r>
      <w:r w:rsidR="002815F4">
        <w:t xml:space="preserve"> </w:t>
      </w:r>
      <w:r w:rsidR="00C35142" w:rsidRPr="002815F4">
        <w:t>could retain its equity oil and cost oil. However currently, P</w:t>
      </w:r>
      <w:r w:rsidR="00CB6337" w:rsidRPr="002815F4">
        <w:t>etrosen</w:t>
      </w:r>
      <w:r w:rsidR="00C35142" w:rsidRPr="002815F4">
        <w:t>’s participation was purely commercial and that only the State benefited from free carry (Profit Oil). Partners noted that the close relationship between P</w:t>
      </w:r>
      <w:r w:rsidR="00C93FF6" w:rsidRPr="002815F4">
        <w:t xml:space="preserve">etrosen </w:t>
      </w:r>
      <w:r w:rsidR="00C35142" w:rsidRPr="002815F4">
        <w:t xml:space="preserve">and the state was problematic.  </w:t>
      </w:r>
      <w:r w:rsidR="00F03C95" w:rsidRPr="002815F4">
        <w:t>It was unclear the terms of P</w:t>
      </w:r>
      <w:r w:rsidR="00C93FF6" w:rsidRPr="002815F4">
        <w:t xml:space="preserve">etrosen’s </w:t>
      </w:r>
      <w:r w:rsidR="00F03C95" w:rsidRPr="002815F4">
        <w:t>equity in the refining company, SAR and Senegal Power.</w:t>
      </w:r>
      <w:r w:rsidR="00D668C8" w:rsidRPr="002815F4">
        <w:t xml:space="preserve"> Independent analysts stated that P</w:t>
      </w:r>
      <w:r w:rsidR="00C93FF6" w:rsidRPr="002815F4">
        <w:t xml:space="preserve">etrosen </w:t>
      </w:r>
      <w:r w:rsidR="00D668C8" w:rsidRPr="002815F4">
        <w:t>did not guarantee SAR’s debt.</w:t>
      </w:r>
      <w:r w:rsidR="00A04FB8" w:rsidRPr="002815F4">
        <w:t xml:space="preserve"> Representatives from Petrosen clarified that Petrosen, like all commercial entities governed by the OHADA uniform act, was statutorily entitled to retain earnings for reinvestment and seek third-party financing, as it had done in the past. Officials also confirmed that Senegal Power had never become truly operational and was no longer a going concern, while Petrosen’s 46% stake in the SAR, itself incorporated under OHADA rules, was held on commercial terms. In terms of Petrosen’s participation in PSCs, officials explained that the SOE’s interest was carried by the operator during the exploration phase but that it paid its share of investment in any project with commercially-viable deposits. </w:t>
      </w:r>
    </w:p>
    <w:p w14:paraId="401BB28E" w14:textId="6789D594" w:rsidR="00C35142" w:rsidRPr="002815F4" w:rsidRDefault="009A1EAB" w:rsidP="007474FE">
      <w:r w:rsidRPr="002815F4">
        <w:t>With respect to the financial relationship between the government and P</w:t>
      </w:r>
      <w:r w:rsidR="00C93FF6" w:rsidRPr="002815F4">
        <w:t>etrosen</w:t>
      </w:r>
      <w:r w:rsidRPr="002815F4">
        <w:t xml:space="preserve">, </w:t>
      </w:r>
      <w:r w:rsidR="00D668C8" w:rsidRPr="002815F4">
        <w:t xml:space="preserve">the </w:t>
      </w:r>
      <w:r w:rsidR="00083086" w:rsidRPr="002815F4">
        <w:t xml:space="preserve">IA explained </w:t>
      </w:r>
      <w:r w:rsidR="00D668C8" w:rsidRPr="002815F4">
        <w:t xml:space="preserve">that there was no formal legal text </w:t>
      </w:r>
      <w:r w:rsidR="00083086" w:rsidRPr="002815F4">
        <w:t xml:space="preserve">that </w:t>
      </w:r>
      <w:r w:rsidR="00D668C8" w:rsidRPr="002815F4">
        <w:t>defined the relationship between the state and the company</w:t>
      </w:r>
      <w:r w:rsidR="00083086" w:rsidRPr="002815F4">
        <w:t xml:space="preserve"> aside from </w:t>
      </w:r>
      <w:r w:rsidR="00D668C8" w:rsidRPr="002815F4">
        <w:t>information in the company</w:t>
      </w:r>
      <w:r w:rsidR="00083086" w:rsidRPr="002815F4">
        <w:t>’s</w:t>
      </w:r>
      <w:r w:rsidR="00D668C8" w:rsidRPr="002815F4">
        <w:t xml:space="preserve"> </w:t>
      </w:r>
      <w:r w:rsidR="00083086" w:rsidRPr="002815F4">
        <w:t>own statutes</w:t>
      </w:r>
      <w:r w:rsidR="00D668C8" w:rsidRPr="002815F4">
        <w:t>. He confirmed that the laws of OHADA applied to P</w:t>
      </w:r>
      <w:r w:rsidR="00C93FF6" w:rsidRPr="002815F4">
        <w:t xml:space="preserve">etrosen </w:t>
      </w:r>
      <w:r w:rsidR="00D668C8" w:rsidRPr="002815F4">
        <w:t xml:space="preserve">and that it was a state-owned enterprise, with the state </w:t>
      </w:r>
      <w:r w:rsidR="00C93FF6" w:rsidRPr="002815F4">
        <w:t xml:space="preserve">holding all </w:t>
      </w:r>
      <w:r w:rsidR="00D668C8" w:rsidRPr="002815F4">
        <w:t>Board</w:t>
      </w:r>
      <w:r w:rsidR="00C93FF6" w:rsidRPr="002815F4">
        <w:t xml:space="preserve"> seats</w:t>
      </w:r>
      <w:r w:rsidR="00D668C8" w:rsidRPr="002815F4">
        <w:t xml:space="preserve">. He noted that </w:t>
      </w:r>
      <w:r w:rsidR="00D668C8" w:rsidRPr="002815F4">
        <w:lastRenderedPageBreak/>
        <w:t>there may not be real independence in the distribution of dividends</w:t>
      </w:r>
      <w:r w:rsidR="00C93FF6" w:rsidRPr="002815F4">
        <w:t xml:space="preserve"> but that this would not be codified anywhere</w:t>
      </w:r>
      <w:r w:rsidR="00D668C8" w:rsidRPr="002815F4">
        <w:t xml:space="preserve">. </w:t>
      </w:r>
      <w:r w:rsidR="00C93FF6" w:rsidRPr="002815F4">
        <w:t xml:space="preserve">The IA explained </w:t>
      </w:r>
      <w:r w:rsidR="00D668C8" w:rsidRPr="002815F4">
        <w:t xml:space="preserve">that </w:t>
      </w:r>
      <w:r w:rsidR="00C93FF6" w:rsidRPr="002815F4">
        <w:t xml:space="preserve">Petrosen’s audited </w:t>
      </w:r>
      <w:r w:rsidR="00D668C8" w:rsidRPr="002815F4">
        <w:t xml:space="preserve">financial </w:t>
      </w:r>
      <w:r w:rsidR="00C93FF6" w:rsidRPr="002815F4">
        <w:t xml:space="preserve">statements </w:t>
      </w:r>
      <w:r w:rsidR="00D668C8" w:rsidRPr="002815F4">
        <w:t>were not published</w:t>
      </w:r>
      <w:r w:rsidR="00C93FF6" w:rsidRPr="002815F4">
        <w:t>,</w:t>
      </w:r>
      <w:r w:rsidR="00D668C8" w:rsidRPr="002815F4">
        <w:t xml:space="preserve"> </w:t>
      </w:r>
      <w:r w:rsidR="00C93FF6" w:rsidRPr="002815F4">
        <w:t xml:space="preserve">but </w:t>
      </w:r>
      <w:r w:rsidR="00D668C8" w:rsidRPr="002815F4">
        <w:t xml:space="preserve">that it would </w:t>
      </w:r>
      <w:r w:rsidR="00C93FF6" w:rsidRPr="002815F4">
        <w:t xml:space="preserve">be </w:t>
      </w:r>
      <w:r w:rsidR="00D668C8" w:rsidRPr="002815F4">
        <w:t xml:space="preserve">useful for </w:t>
      </w:r>
      <w:r w:rsidR="00C93FF6" w:rsidRPr="002815F4">
        <w:t xml:space="preserve">all </w:t>
      </w:r>
      <w:r w:rsidR="00D668C8" w:rsidRPr="002815F4">
        <w:t>compan</w:t>
      </w:r>
      <w:r w:rsidR="00C93FF6" w:rsidRPr="002815F4">
        <w:t>ies</w:t>
      </w:r>
      <w:r w:rsidR="00D668C8" w:rsidRPr="002815F4">
        <w:t xml:space="preserve"> to publish </w:t>
      </w:r>
      <w:r w:rsidR="00C93FF6" w:rsidRPr="002815F4">
        <w:t xml:space="preserve">more than just </w:t>
      </w:r>
      <w:r w:rsidR="00D668C8" w:rsidRPr="002815F4">
        <w:t>the auditor’s page</w:t>
      </w:r>
      <w:r w:rsidR="00C93FF6" w:rsidRPr="002815F4">
        <w:t>, which provided only top</w:t>
      </w:r>
      <w:r w:rsidR="002815F4">
        <w:t>-</w:t>
      </w:r>
      <w:r w:rsidR="00C93FF6" w:rsidRPr="002815F4">
        <w:t>line figures</w:t>
      </w:r>
      <w:r w:rsidR="00D668C8" w:rsidRPr="002815F4">
        <w:t>. Independent analysts confirmed that P</w:t>
      </w:r>
      <w:r w:rsidR="00C93FF6" w:rsidRPr="002815F4">
        <w:t xml:space="preserve">etrosen </w:t>
      </w:r>
      <w:r w:rsidR="00D668C8" w:rsidRPr="002815F4">
        <w:t xml:space="preserve">can have access to independent third party financing and noted that </w:t>
      </w:r>
      <w:r w:rsidR="00C93FF6" w:rsidRPr="002815F4">
        <w:t>L</w:t>
      </w:r>
      <w:r w:rsidR="00D668C8" w:rsidRPr="002815F4">
        <w:t>aw 90-07 of 26 June 1990 was explicit in that these companies fell under the responsibility of both the Minister of Finance and relevant government ministries</w:t>
      </w:r>
      <w:r w:rsidR="00C93FF6" w:rsidRPr="002815F4">
        <w:t xml:space="preserve"> </w:t>
      </w:r>
      <w:sdt>
        <w:sdtPr>
          <w:id w:val="-11226792"/>
          <w:citation/>
        </w:sdtPr>
        <w:sdtEndPr/>
        <w:sdtContent>
          <w:r w:rsidR="00C93FF6" w:rsidRPr="002815F4">
            <w:fldChar w:fldCharType="begin"/>
          </w:r>
          <w:r w:rsidR="00C93FF6" w:rsidRPr="002815F4">
            <w:instrText xml:space="preserve"> CITATION Gou99 \l 1033 </w:instrText>
          </w:r>
          <w:r w:rsidR="00C93FF6" w:rsidRPr="002815F4">
            <w:fldChar w:fldCharType="separate"/>
          </w:r>
          <w:r w:rsidR="00C93FF6" w:rsidRPr="002815F4">
            <w:rPr>
              <w:noProof/>
            </w:rPr>
            <w:t>(Gouvernement du Senegal, 1999)</w:t>
          </w:r>
          <w:r w:rsidR="00C93FF6" w:rsidRPr="002815F4">
            <w:fldChar w:fldCharType="end"/>
          </w:r>
        </w:sdtContent>
      </w:sdt>
      <w:r w:rsidR="00D668C8" w:rsidRPr="002815F4">
        <w:t xml:space="preserve">. The </w:t>
      </w:r>
      <w:r w:rsidR="00C93FF6" w:rsidRPr="002815F4">
        <w:t>SOE's f</w:t>
      </w:r>
      <w:r w:rsidR="00D668C8" w:rsidRPr="002815F4">
        <w:t xml:space="preserve">inancial </w:t>
      </w:r>
      <w:r w:rsidR="00C93FF6" w:rsidRPr="002815F4">
        <w:t>c</w:t>
      </w:r>
      <w:r w:rsidR="00D668C8" w:rsidRPr="002815F4">
        <w:t>ontroller w</w:t>
      </w:r>
      <w:r w:rsidR="00C93FF6" w:rsidRPr="002815F4">
        <w:t>as required to w</w:t>
      </w:r>
      <w:r w:rsidR="00D668C8" w:rsidRPr="002815F4">
        <w:t>rite an opinion on any loans, requests for credit or credit advances</w:t>
      </w:r>
      <w:r w:rsidR="00C93FF6" w:rsidRPr="002815F4">
        <w:t>, which were then</w:t>
      </w:r>
      <w:r w:rsidR="00D668C8" w:rsidRPr="002815F4">
        <w:t xml:space="preserve"> submi</w:t>
      </w:r>
      <w:r w:rsidR="00C93FF6" w:rsidRPr="002815F4">
        <w:t>tted</w:t>
      </w:r>
      <w:r w:rsidR="00D668C8" w:rsidRPr="002815F4">
        <w:t xml:space="preserve"> to the company’s </w:t>
      </w:r>
      <w:r w:rsidR="00C93FF6" w:rsidRPr="002815F4">
        <w:t>b</w:t>
      </w:r>
      <w:r w:rsidR="00D668C8" w:rsidRPr="002815F4">
        <w:t xml:space="preserve">oard. They </w:t>
      </w:r>
      <w:r w:rsidR="00C93FF6" w:rsidRPr="002815F4">
        <w:t>considered</w:t>
      </w:r>
      <w:r w:rsidR="00D668C8" w:rsidRPr="002815F4">
        <w:t xml:space="preserve"> that Petrosen needed to </w:t>
      </w:r>
      <w:r w:rsidR="00C93FF6" w:rsidRPr="002815F4">
        <w:t xml:space="preserve">work </w:t>
      </w:r>
      <w:r w:rsidR="00D668C8" w:rsidRPr="002815F4">
        <w:t>through the Ministry of Finance to seek third</w:t>
      </w:r>
      <w:r w:rsidR="00C93FF6" w:rsidRPr="002815F4">
        <w:t>-</w:t>
      </w:r>
      <w:r w:rsidR="00D668C8" w:rsidRPr="002815F4">
        <w:t xml:space="preserve">party funding. </w:t>
      </w:r>
    </w:p>
    <w:p w14:paraId="1D85392C" w14:textId="410C38FD" w:rsidR="004F616E" w:rsidRPr="002815F4" w:rsidRDefault="00C35142" w:rsidP="00E02D8A">
      <w:r w:rsidRPr="002815F4">
        <w:t xml:space="preserve">The national secretariat noted that there was a global agreement on AGC </w:t>
      </w:r>
      <w:r w:rsidR="00C93FF6" w:rsidRPr="002815F4">
        <w:t>that</w:t>
      </w:r>
      <w:r w:rsidRPr="002815F4">
        <w:t xml:space="preserve"> did not detail the financial relationship between the company and the </w:t>
      </w:r>
      <w:r w:rsidR="00C93FF6" w:rsidRPr="002815F4">
        <w:t>s</w:t>
      </w:r>
      <w:r w:rsidRPr="002815F4">
        <w:t xml:space="preserve">tate. </w:t>
      </w:r>
      <w:r w:rsidR="00460A37" w:rsidRPr="002815F4">
        <w:t>Secretariat staff explained that the 1993 protocol between the two governments establishing the AGC was accessible online.</w:t>
      </w:r>
      <w:r w:rsidR="00460A37" w:rsidRPr="002815F4">
        <w:rPr>
          <w:rStyle w:val="FootnoteReference"/>
        </w:rPr>
        <w:footnoteReference w:id="56"/>
      </w:r>
      <w:r w:rsidR="00460A37" w:rsidRPr="002815F4">
        <w:t xml:space="preserve"> </w:t>
      </w:r>
      <w:r w:rsidR="00C93FF6" w:rsidRPr="002815F4">
        <w:t xml:space="preserve">The </w:t>
      </w:r>
      <w:r w:rsidRPr="002815F4">
        <w:t xml:space="preserve">AGC was incorporated under Senegalese law and the MSG had requested unilateral disclosure from AGC. However, the letter from AGC </w:t>
      </w:r>
      <w:r w:rsidR="00451E68" w:rsidRPr="002815F4">
        <w:t xml:space="preserve">provided by the secretariat </w:t>
      </w:r>
      <w:r w:rsidRPr="002815F4">
        <w:t>indicated that the agency was supranational and didn’t depend on any entity in Senegal.</w:t>
      </w:r>
      <w:r w:rsidR="00451E68" w:rsidRPr="002815F4">
        <w:rPr>
          <w:rStyle w:val="FootnoteReference"/>
        </w:rPr>
        <w:footnoteReference w:id="57"/>
      </w:r>
      <w:r w:rsidRPr="002815F4">
        <w:t xml:space="preserve"> The Treasury confirmed that there were no payments from AGC to the Treasury in 2014, however the report noted that AGC paid Ipres, </w:t>
      </w:r>
      <w:r w:rsidR="00C93FF6" w:rsidRPr="002815F4">
        <w:t>the tax on salaries</w:t>
      </w:r>
      <w:r w:rsidRPr="002815F4">
        <w:t xml:space="preserve">. </w:t>
      </w:r>
      <w:r w:rsidR="00063448" w:rsidRPr="002815F4">
        <w:t xml:space="preserve"> </w:t>
      </w:r>
    </w:p>
    <w:p w14:paraId="2C1077A2" w14:textId="04481553" w:rsidR="00A96F99" w:rsidRPr="002815F4" w:rsidRDefault="00A96F99" w:rsidP="009B3E66">
      <w:pPr>
        <w:pStyle w:val="Heading3"/>
      </w:pPr>
      <w:bookmarkStart w:id="184" w:name="_Toc459133118"/>
      <w:bookmarkStart w:id="185" w:name="_Toc461803067"/>
      <w:r w:rsidRPr="002815F4">
        <w:t xml:space="preserve">Initial assessment </w:t>
      </w:r>
    </w:p>
    <w:bookmarkEnd w:id="184"/>
    <w:bookmarkEnd w:id="185"/>
    <w:p w14:paraId="1AB97C15" w14:textId="20D2B8A8" w:rsidR="00405360" w:rsidRPr="002815F4" w:rsidRDefault="00F425D1" w:rsidP="00405360">
      <w:pPr>
        <w:spacing w:before="120"/>
        <w:rPr>
          <w:rFonts w:ascii="Calibri" w:hAnsi="Calibri"/>
        </w:rPr>
      </w:pPr>
      <w:r w:rsidRPr="002815F4">
        <w:rPr>
          <w:rFonts w:ascii="Calibri" w:hAnsi="Calibri"/>
        </w:rPr>
        <w:t xml:space="preserve">The International Secretariat’s initial assessment is that </w:t>
      </w:r>
      <w:r w:rsidR="00A96F99" w:rsidRPr="002815F4">
        <w:rPr>
          <w:rFonts w:ascii="Calibri" w:hAnsi="Calibri"/>
          <w:bCs/>
        </w:rPr>
        <w:t>Senegal</w:t>
      </w:r>
      <w:r w:rsidR="00A96F99" w:rsidRPr="002815F4">
        <w:rPr>
          <w:rFonts w:ascii="Calibri" w:hAnsi="Calibri"/>
          <w:b/>
          <w:bCs/>
        </w:rPr>
        <w:t xml:space="preserve"> </w:t>
      </w:r>
      <w:r w:rsidRPr="002815F4">
        <w:rPr>
          <w:rFonts w:ascii="Calibri" w:hAnsi="Calibri"/>
        </w:rPr>
        <w:t xml:space="preserve">has made </w:t>
      </w:r>
      <w:r w:rsidR="00A96F99" w:rsidRPr="002815F4">
        <w:rPr>
          <w:rFonts w:ascii="Calibri" w:hAnsi="Calibri"/>
          <w:bCs/>
        </w:rPr>
        <w:t>meaningful</w:t>
      </w:r>
      <w:r w:rsidR="00A96F99" w:rsidRPr="002815F4">
        <w:rPr>
          <w:rFonts w:ascii="Calibri" w:hAnsi="Calibri"/>
          <w:b/>
          <w:bCs/>
        </w:rPr>
        <w:t xml:space="preserve"> </w:t>
      </w:r>
      <w:r w:rsidRPr="002815F4">
        <w:rPr>
          <w:rFonts w:ascii="Calibri" w:hAnsi="Calibri"/>
        </w:rPr>
        <w:t xml:space="preserve">progress in meeting this </w:t>
      </w:r>
      <w:commentRangeStart w:id="186"/>
      <w:r w:rsidRPr="002815F4">
        <w:rPr>
          <w:rFonts w:ascii="Calibri" w:hAnsi="Calibri"/>
        </w:rPr>
        <w:t>requirement</w:t>
      </w:r>
      <w:commentRangeEnd w:id="186"/>
      <w:r w:rsidR="00D27A59">
        <w:rPr>
          <w:rStyle w:val="CommentReference"/>
          <w:szCs w:val="20"/>
        </w:rPr>
        <w:commentReference w:id="186"/>
      </w:r>
      <w:r w:rsidRPr="002815F4">
        <w:rPr>
          <w:rFonts w:ascii="Calibri" w:hAnsi="Calibri"/>
        </w:rPr>
        <w:t xml:space="preserve">. </w:t>
      </w:r>
      <w:r w:rsidR="00AF41EA" w:rsidRPr="002815F4">
        <w:rPr>
          <w:rFonts w:ascii="Calibri" w:hAnsi="Calibri"/>
        </w:rPr>
        <w:t xml:space="preserve">The 2014 EITI Report provides a comprehensive list of companies in which the government holds equity and clarifies that state participation in Petrosen gives rise to material revenues. The report clarifies the actual practice of financial relations between the two SOEs Miferso and Petrosen in 2014, but does not </w:t>
      </w:r>
      <w:r w:rsidR="0067551A" w:rsidRPr="002815F4">
        <w:rPr>
          <w:rFonts w:ascii="Calibri" w:hAnsi="Calibri"/>
        </w:rPr>
        <w:t xml:space="preserve">clearly </w:t>
      </w:r>
      <w:r w:rsidR="00AF41EA" w:rsidRPr="002815F4">
        <w:rPr>
          <w:rFonts w:ascii="Calibri" w:hAnsi="Calibri"/>
        </w:rPr>
        <w:t>describe the statutory rules governing the financial relations</w:t>
      </w:r>
      <w:r w:rsidR="0067551A" w:rsidRPr="002815F4">
        <w:rPr>
          <w:rFonts w:ascii="Calibri" w:hAnsi="Calibri"/>
        </w:rPr>
        <w:t xml:space="preserve"> between Petrosen and Mi</w:t>
      </w:r>
      <w:r w:rsidR="00FC1E48" w:rsidRPr="002815F4">
        <w:rPr>
          <w:rFonts w:ascii="Calibri" w:hAnsi="Calibri"/>
        </w:rPr>
        <w:t>f</w:t>
      </w:r>
      <w:r w:rsidR="0067551A" w:rsidRPr="002815F4">
        <w:rPr>
          <w:rFonts w:ascii="Calibri" w:hAnsi="Calibri"/>
        </w:rPr>
        <w:t>erso and the national government, aside from referring to them as commercially incorporated companies</w:t>
      </w:r>
      <w:r w:rsidR="00AF41EA" w:rsidRPr="002815F4">
        <w:rPr>
          <w:rFonts w:ascii="Calibri" w:hAnsi="Calibri"/>
        </w:rPr>
        <w:t xml:space="preserve">. While the report provides information on the terms associated with state equity in the mining sector, it </w:t>
      </w:r>
      <w:r w:rsidR="007E6166" w:rsidRPr="002815F4">
        <w:rPr>
          <w:rFonts w:ascii="Calibri" w:hAnsi="Calibri"/>
        </w:rPr>
        <w:t xml:space="preserve">only states that the terms of Petrosen’s stakes in </w:t>
      </w:r>
      <w:r w:rsidR="00AF41EA" w:rsidRPr="002815F4">
        <w:rPr>
          <w:rFonts w:ascii="Calibri" w:hAnsi="Calibri"/>
        </w:rPr>
        <w:t xml:space="preserve">oil and gas </w:t>
      </w:r>
      <w:r w:rsidR="007E6166" w:rsidRPr="002815F4">
        <w:rPr>
          <w:rFonts w:ascii="Calibri" w:hAnsi="Calibri"/>
        </w:rPr>
        <w:t>projects is defined in each contract</w:t>
      </w:r>
      <w:r w:rsidR="00AF41EA" w:rsidRPr="002815F4">
        <w:rPr>
          <w:rFonts w:ascii="Calibri" w:hAnsi="Calibri"/>
        </w:rPr>
        <w:t xml:space="preserve">. </w:t>
      </w:r>
      <w:r w:rsidR="007E6166" w:rsidRPr="002815F4">
        <w:rPr>
          <w:rFonts w:ascii="Calibri" w:hAnsi="Calibri"/>
        </w:rPr>
        <w:t xml:space="preserve">While the full-text of all but Total’s 2017 oil and gas contract has been published and the 2014 EITI Report provides guidance on how to access them, it does not clearly describe the terms associated with Petrosen equity in each PSC in the report itself. </w:t>
      </w:r>
      <w:r w:rsidR="00AF41EA" w:rsidRPr="002815F4">
        <w:rPr>
          <w:rFonts w:ascii="Calibri" w:hAnsi="Calibri"/>
        </w:rPr>
        <w:t>The report clarifies the lack of changes in state participation in the mining sector in 2014, but not in oil and gas. Finally, while the report clarifies that the government did not provide any loans or guarantees to the two SOEs in 2014 and that these two SOEs did not provide any loans or guarantees to extractives companies in 2014, it does not clarify whether the government extended any loans or guarantees to other extra</w:t>
      </w:r>
      <w:r w:rsidR="0020507D" w:rsidRPr="002815F4">
        <w:rPr>
          <w:rFonts w:ascii="Calibri" w:hAnsi="Calibri"/>
        </w:rPr>
        <w:t>c</w:t>
      </w:r>
      <w:r w:rsidR="00AF41EA" w:rsidRPr="002815F4">
        <w:rPr>
          <w:rFonts w:ascii="Calibri" w:hAnsi="Calibri"/>
        </w:rPr>
        <w:t xml:space="preserve">tives companies directly in 2014. </w:t>
      </w:r>
    </w:p>
    <w:p w14:paraId="5BAEC145" w14:textId="76BA9B77" w:rsidR="005A308C" w:rsidRPr="002815F4" w:rsidRDefault="00270F09">
      <w:pPr>
        <w:spacing w:before="120"/>
        <w:rPr>
          <w:rFonts w:ascii="Calibri" w:hAnsi="Calibri"/>
        </w:rPr>
      </w:pPr>
      <w:r>
        <w:rPr>
          <w:rFonts w:ascii="Calibri" w:hAnsi="Calibri"/>
        </w:rPr>
        <w:t>In line with Requirement 2.6</w:t>
      </w:r>
      <w:r w:rsidR="00AF41EA" w:rsidRPr="002815F4">
        <w:rPr>
          <w:rFonts w:ascii="Calibri" w:hAnsi="Calibri"/>
        </w:rPr>
        <w:t>, the MSG should</w:t>
      </w:r>
      <w:r w:rsidR="00820071" w:rsidRPr="002815F4">
        <w:rPr>
          <w:rFonts w:ascii="Calibri" w:hAnsi="Calibri"/>
        </w:rPr>
        <w:t xml:space="preserve"> clarify the statutory regulations on the financial relationship between P</w:t>
      </w:r>
      <w:r w:rsidR="00FC1E48" w:rsidRPr="002815F4">
        <w:rPr>
          <w:rFonts w:ascii="Calibri" w:hAnsi="Calibri"/>
        </w:rPr>
        <w:t>etrosen</w:t>
      </w:r>
      <w:r w:rsidR="001C74BD" w:rsidRPr="002815F4">
        <w:rPr>
          <w:rFonts w:ascii="Calibri" w:hAnsi="Calibri"/>
        </w:rPr>
        <w:t>, M</w:t>
      </w:r>
      <w:r w:rsidR="00FC1E48" w:rsidRPr="002815F4">
        <w:rPr>
          <w:rFonts w:ascii="Calibri" w:hAnsi="Calibri"/>
        </w:rPr>
        <w:t>iferso</w:t>
      </w:r>
      <w:r w:rsidR="00820071" w:rsidRPr="002815F4">
        <w:rPr>
          <w:rFonts w:ascii="Calibri" w:hAnsi="Calibri"/>
        </w:rPr>
        <w:t xml:space="preserve"> and the government</w:t>
      </w:r>
      <w:r w:rsidR="001C74BD" w:rsidRPr="002815F4">
        <w:rPr>
          <w:rFonts w:ascii="Calibri" w:hAnsi="Calibri"/>
        </w:rPr>
        <w:t xml:space="preserve"> in future EITI Reports</w:t>
      </w:r>
      <w:r w:rsidR="00820071" w:rsidRPr="002815F4">
        <w:rPr>
          <w:rFonts w:ascii="Calibri" w:hAnsi="Calibri"/>
        </w:rPr>
        <w:t xml:space="preserve">. The government is also encouraged to continue its efforts to equip the </w:t>
      </w:r>
      <w:r w:rsidR="0020507D" w:rsidRPr="002815F4">
        <w:rPr>
          <w:rFonts w:ascii="Calibri" w:hAnsi="Calibri"/>
        </w:rPr>
        <w:t xml:space="preserve">Hydrocarbons </w:t>
      </w:r>
      <w:r w:rsidR="00820071" w:rsidRPr="002815F4">
        <w:rPr>
          <w:rFonts w:ascii="Calibri" w:hAnsi="Calibri"/>
        </w:rPr>
        <w:t>D</w:t>
      </w:r>
      <w:r w:rsidR="0020507D" w:rsidRPr="002815F4">
        <w:rPr>
          <w:rFonts w:ascii="Calibri" w:hAnsi="Calibri"/>
        </w:rPr>
        <w:t xml:space="preserve">epartment </w:t>
      </w:r>
      <w:r w:rsidR="00820071" w:rsidRPr="002815F4">
        <w:rPr>
          <w:rFonts w:ascii="Calibri" w:hAnsi="Calibri"/>
        </w:rPr>
        <w:t>with monitoring tool</w:t>
      </w:r>
      <w:r w:rsidR="0020507D" w:rsidRPr="002815F4">
        <w:rPr>
          <w:rFonts w:ascii="Calibri" w:hAnsi="Calibri"/>
        </w:rPr>
        <w:t>s</w:t>
      </w:r>
      <w:r w:rsidR="00820071" w:rsidRPr="002815F4">
        <w:rPr>
          <w:rFonts w:ascii="Calibri" w:hAnsi="Calibri"/>
        </w:rPr>
        <w:t xml:space="preserve"> to better </w:t>
      </w:r>
      <w:r w:rsidR="00820071" w:rsidRPr="002815F4">
        <w:rPr>
          <w:rFonts w:ascii="Calibri" w:hAnsi="Calibri"/>
        </w:rPr>
        <w:lastRenderedPageBreak/>
        <w:t xml:space="preserve">track </w:t>
      </w:r>
      <w:r w:rsidR="0020507D" w:rsidRPr="002815F4">
        <w:rPr>
          <w:rFonts w:ascii="Calibri" w:hAnsi="Calibri"/>
        </w:rPr>
        <w:t xml:space="preserve">work plans and payments to government </w:t>
      </w:r>
      <w:r w:rsidR="00820071" w:rsidRPr="002815F4">
        <w:rPr>
          <w:rFonts w:ascii="Calibri" w:hAnsi="Calibri"/>
        </w:rPr>
        <w:t xml:space="preserve">as the </w:t>
      </w:r>
      <w:r w:rsidR="0020507D" w:rsidRPr="002815F4">
        <w:rPr>
          <w:rFonts w:ascii="Calibri" w:hAnsi="Calibri"/>
        </w:rPr>
        <w:t xml:space="preserve">industry </w:t>
      </w:r>
      <w:r w:rsidR="00820071" w:rsidRPr="002815F4">
        <w:rPr>
          <w:rFonts w:ascii="Calibri" w:hAnsi="Calibri"/>
        </w:rPr>
        <w:t xml:space="preserve">develops. </w:t>
      </w:r>
    </w:p>
    <w:p w14:paraId="49DF4EF6" w14:textId="76E42181" w:rsidR="00D47A3F" w:rsidRPr="002815F4" w:rsidRDefault="0045114B" w:rsidP="00F97CA1">
      <w:pPr>
        <w:pStyle w:val="Caption"/>
        <w:rPr>
          <w:rFonts w:ascii="Calibri" w:hAnsi="Calibri"/>
          <w:i/>
          <w:color w:val="000000"/>
        </w:rPr>
      </w:pPr>
      <w:bookmarkStart w:id="187" w:name="_Toc485385503"/>
      <w:r w:rsidRPr="002815F4">
        <w:t xml:space="preserve">Table </w:t>
      </w:r>
      <w:r w:rsidR="0002611B">
        <w:fldChar w:fldCharType="begin"/>
      </w:r>
      <w:r w:rsidR="0002611B">
        <w:instrText xml:space="preserve"> SEQ Table \* ARABIC </w:instrText>
      </w:r>
      <w:r w:rsidR="0002611B">
        <w:fldChar w:fldCharType="separate"/>
      </w:r>
      <w:r w:rsidR="0083320D" w:rsidRPr="002815F4">
        <w:rPr>
          <w:noProof/>
        </w:rPr>
        <w:t>2</w:t>
      </w:r>
      <w:r w:rsidR="0002611B">
        <w:rPr>
          <w:noProof/>
        </w:rPr>
        <w:fldChar w:fldCharType="end"/>
      </w:r>
      <w:r w:rsidR="000722F1" w:rsidRPr="002815F4">
        <w:rPr>
          <w:color w:val="000000"/>
        </w:rPr>
        <w:t xml:space="preserve">- </w:t>
      </w:r>
      <w:r w:rsidR="000722F1" w:rsidRPr="002815F4">
        <w:rPr>
          <w:rFonts w:eastAsia="Calibri"/>
        </w:rPr>
        <w:t xml:space="preserve">Summary </w:t>
      </w:r>
      <w:r w:rsidR="002215D2" w:rsidRPr="002815F4">
        <w:rPr>
          <w:rFonts w:eastAsia="Calibri"/>
        </w:rPr>
        <w:t xml:space="preserve">initial </w:t>
      </w:r>
      <w:r w:rsidR="000722F1" w:rsidRPr="002815F4">
        <w:rPr>
          <w:rFonts w:eastAsia="Calibri"/>
        </w:rPr>
        <w:t>assessment table: Award of contracts and licenses</w:t>
      </w:r>
      <w:bookmarkEnd w:id="187"/>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4394"/>
        <w:gridCol w:w="3402"/>
      </w:tblGrid>
      <w:tr w:rsidR="00451E68" w:rsidRPr="002815F4" w14:paraId="242C0E3A" w14:textId="77777777" w:rsidTr="00482C28">
        <w:trPr>
          <w:trHeight w:val="675"/>
        </w:trPr>
        <w:tc>
          <w:tcPr>
            <w:tcW w:w="2439" w:type="dxa"/>
            <w:shd w:val="clear" w:color="auto" w:fill="D9D9D9"/>
            <w:vAlign w:val="center"/>
          </w:tcPr>
          <w:p w14:paraId="16E5105B" w14:textId="77777777" w:rsidR="00601017" w:rsidRPr="002815F4" w:rsidRDefault="00601017" w:rsidP="0088774C">
            <w:pPr>
              <w:pStyle w:val="Tabletext"/>
              <w:rPr>
                <w:lang w:val="en-GB"/>
              </w:rPr>
            </w:pPr>
            <w:r w:rsidRPr="002815F4">
              <w:rPr>
                <w:lang w:val="en-GB"/>
              </w:rPr>
              <w:t>EITI provisions</w:t>
            </w:r>
          </w:p>
        </w:tc>
        <w:tc>
          <w:tcPr>
            <w:tcW w:w="4394" w:type="dxa"/>
            <w:shd w:val="clear" w:color="auto" w:fill="D9D9D9"/>
            <w:vAlign w:val="center"/>
          </w:tcPr>
          <w:p w14:paraId="6CB1367E" w14:textId="77777777" w:rsidR="00601017" w:rsidRPr="002815F4" w:rsidRDefault="00601017" w:rsidP="0088774C">
            <w:pPr>
              <w:pStyle w:val="Tabletext"/>
              <w:rPr>
                <w:lang w:val="en-GB"/>
              </w:rPr>
            </w:pPr>
            <w:r w:rsidRPr="002815F4">
              <w:rPr>
                <w:lang w:val="en-GB"/>
              </w:rPr>
              <w:t>Summary of main findings</w:t>
            </w:r>
          </w:p>
        </w:tc>
        <w:tc>
          <w:tcPr>
            <w:tcW w:w="3402" w:type="dxa"/>
            <w:shd w:val="clear" w:color="auto" w:fill="D9D9D9"/>
            <w:vAlign w:val="center"/>
          </w:tcPr>
          <w:p w14:paraId="65846BE5" w14:textId="772C30F9" w:rsidR="00601017" w:rsidRPr="002815F4" w:rsidRDefault="00B64A7F" w:rsidP="007474FE">
            <w:pPr>
              <w:pStyle w:val="Tabletext"/>
              <w:rPr>
                <w:lang w:val="en-GB"/>
              </w:rPr>
            </w:pPr>
            <w:r w:rsidRPr="002815F4">
              <w:rPr>
                <w:lang w:val="en-GB"/>
              </w:rPr>
              <w:t xml:space="preserve">International Secretariat’s initial assessment of progress with the EITI provisions </w:t>
            </w:r>
          </w:p>
        </w:tc>
      </w:tr>
      <w:tr w:rsidR="00451E68" w:rsidRPr="002815F4" w14:paraId="5880D3E5" w14:textId="77777777" w:rsidTr="00482C28">
        <w:trPr>
          <w:trHeight w:val="1381"/>
        </w:trPr>
        <w:tc>
          <w:tcPr>
            <w:tcW w:w="2439" w:type="dxa"/>
            <w:shd w:val="clear" w:color="auto" w:fill="auto"/>
            <w:vAlign w:val="center"/>
          </w:tcPr>
          <w:p w14:paraId="492A9F56" w14:textId="77777777" w:rsidR="00F425D1" w:rsidRPr="002815F4" w:rsidRDefault="00F425D1" w:rsidP="0088774C">
            <w:pPr>
              <w:pStyle w:val="Tabletext"/>
              <w:rPr>
                <w:lang w:val="en-GB"/>
              </w:rPr>
            </w:pPr>
            <w:r w:rsidRPr="002815F4">
              <w:rPr>
                <w:lang w:val="en-GB"/>
              </w:rPr>
              <w:t>Legal framework (#2.1)</w:t>
            </w:r>
          </w:p>
        </w:tc>
        <w:tc>
          <w:tcPr>
            <w:tcW w:w="4394" w:type="dxa"/>
            <w:shd w:val="clear" w:color="auto" w:fill="auto"/>
            <w:vAlign w:val="center"/>
          </w:tcPr>
          <w:p w14:paraId="032F7F09" w14:textId="763C1C40" w:rsidR="00F425D1" w:rsidRPr="002815F4" w:rsidRDefault="00253E7F" w:rsidP="0088774C">
            <w:pPr>
              <w:pStyle w:val="Tabletext"/>
              <w:rPr>
                <w:lang w:val="en-GB"/>
              </w:rPr>
            </w:pPr>
            <w:r w:rsidRPr="002815F4">
              <w:rPr>
                <w:lang w:val="en-GB"/>
              </w:rPr>
              <w:t>The 2014 EITI Report provides an overview of relevant laws and regulations, government entities and fiscal terms, including the degree of fiscal devolution, in the mining, oil and gas sectors as well as brief commentary on current reforms.</w:t>
            </w:r>
          </w:p>
        </w:tc>
        <w:tc>
          <w:tcPr>
            <w:tcW w:w="3402" w:type="dxa"/>
            <w:vAlign w:val="center"/>
          </w:tcPr>
          <w:p w14:paraId="5029391C" w14:textId="293D4447" w:rsidR="00F425D1" w:rsidRPr="002815F4" w:rsidRDefault="00EE7205" w:rsidP="0088774C">
            <w:pPr>
              <w:pStyle w:val="Tabletext"/>
              <w:rPr>
                <w:lang w:val="en-GB"/>
              </w:rPr>
            </w:pPr>
            <w:r w:rsidRPr="002815F4">
              <w:rPr>
                <w:lang w:val="en-GB"/>
              </w:rPr>
              <w:t>Satisfactory</w:t>
            </w:r>
            <w:r w:rsidR="00AE65B6">
              <w:rPr>
                <w:lang w:val="en-GB"/>
              </w:rPr>
              <w:t xml:space="preserve"> progress</w:t>
            </w:r>
          </w:p>
        </w:tc>
      </w:tr>
      <w:tr w:rsidR="00451E68" w:rsidRPr="002815F4" w14:paraId="04E3127E" w14:textId="77777777" w:rsidTr="00482C28">
        <w:tc>
          <w:tcPr>
            <w:tcW w:w="2439" w:type="dxa"/>
            <w:shd w:val="clear" w:color="auto" w:fill="auto"/>
            <w:vAlign w:val="center"/>
          </w:tcPr>
          <w:p w14:paraId="614DD82C" w14:textId="77777777" w:rsidR="00F425D1" w:rsidRPr="002815F4" w:rsidRDefault="00F425D1" w:rsidP="0088774C">
            <w:pPr>
              <w:pStyle w:val="Tabletext"/>
              <w:rPr>
                <w:lang w:val="en-GB"/>
              </w:rPr>
            </w:pPr>
            <w:r w:rsidRPr="002815F4">
              <w:rPr>
                <w:lang w:val="en-GB"/>
              </w:rPr>
              <w:t>License allocations (#2.2)</w:t>
            </w:r>
          </w:p>
        </w:tc>
        <w:tc>
          <w:tcPr>
            <w:tcW w:w="4394" w:type="dxa"/>
            <w:shd w:val="clear" w:color="auto" w:fill="auto"/>
            <w:vAlign w:val="center"/>
          </w:tcPr>
          <w:p w14:paraId="5E844830" w14:textId="72778C1F" w:rsidR="00F425D1" w:rsidRPr="002815F4" w:rsidRDefault="00253E7F" w:rsidP="0088774C">
            <w:pPr>
              <w:pStyle w:val="Tabletext"/>
              <w:rPr>
                <w:lang w:val="en-GB"/>
              </w:rPr>
            </w:pPr>
            <w:r w:rsidRPr="002815F4">
              <w:rPr>
                <w:lang w:val="en-GB"/>
              </w:rPr>
              <w:t xml:space="preserve">The 2014 EITI Report highlights the mining, oil and gas licenses awarded and transferred in 2014 and describes the general statutory procedures for awarding and transferring such licenses, which is vague in terms of the specific technical and financial criteria assessed. It provides a description of the actual procedures followed for awarding and transferring the licenses in 2014, including some technical and financial criteria assessed. Given the lack of specificity in the regulations, the IA considers that the transfer of oil and gas licenses was in line with statutory procedures. The descriptions provided of the mining license awards in 2014 appear in line with statutory procedures, even if this is not explicitly stated in the 2014 EITI Report. </w:t>
            </w:r>
            <w:r w:rsidR="00480E3A">
              <w:rPr>
                <w:color w:val="000000" w:themeColor="text1"/>
                <w:lang w:eastAsia="x-none"/>
              </w:rPr>
              <w:t xml:space="preserve">However, the 2014 EITI Report does not comment on any non-trivial deviations in the award of 14 artisanal mining licenses and 21 quarrying licenses awarded in 2014. </w:t>
            </w:r>
            <w:r w:rsidRPr="002815F4">
              <w:rPr>
                <w:lang w:val="en-GB"/>
              </w:rPr>
              <w:t>The MSG has contracted a dedicated study into mining, oil and gas license allocations and transfers in the 2014-16 period to support concrete policy reform proposals, which it expects to publish in the final quarter of 2017.</w:t>
            </w:r>
          </w:p>
        </w:tc>
        <w:tc>
          <w:tcPr>
            <w:tcW w:w="3402" w:type="dxa"/>
            <w:vAlign w:val="center"/>
          </w:tcPr>
          <w:p w14:paraId="13D24663" w14:textId="6F476450" w:rsidR="00F425D1" w:rsidRPr="002815F4" w:rsidRDefault="00AE65B6" w:rsidP="0088774C">
            <w:pPr>
              <w:pStyle w:val="Tabletext"/>
              <w:rPr>
                <w:lang w:val="en-GB"/>
              </w:rPr>
            </w:pPr>
            <w:r w:rsidRPr="002815F4">
              <w:rPr>
                <w:lang w:val="en-GB"/>
              </w:rPr>
              <w:t>Satisfactory</w:t>
            </w:r>
            <w:r>
              <w:rPr>
                <w:lang w:val="en-GB"/>
              </w:rPr>
              <w:t xml:space="preserve"> progress</w:t>
            </w:r>
          </w:p>
        </w:tc>
      </w:tr>
      <w:tr w:rsidR="00451E68" w:rsidRPr="002815F4" w14:paraId="09345DD9" w14:textId="77777777" w:rsidTr="00482C28">
        <w:tc>
          <w:tcPr>
            <w:tcW w:w="2439" w:type="dxa"/>
            <w:shd w:val="clear" w:color="auto" w:fill="auto"/>
            <w:vAlign w:val="center"/>
          </w:tcPr>
          <w:p w14:paraId="16492D0A" w14:textId="77777777" w:rsidR="00F425D1" w:rsidRPr="002815F4" w:rsidRDefault="00F425D1" w:rsidP="0088774C">
            <w:pPr>
              <w:pStyle w:val="Tabletext"/>
              <w:rPr>
                <w:lang w:val="en-GB"/>
              </w:rPr>
            </w:pPr>
            <w:r w:rsidRPr="002815F4">
              <w:rPr>
                <w:lang w:val="en-GB"/>
              </w:rPr>
              <w:lastRenderedPageBreak/>
              <w:t>License registers (#2.3)</w:t>
            </w:r>
          </w:p>
        </w:tc>
        <w:tc>
          <w:tcPr>
            <w:tcW w:w="4394" w:type="dxa"/>
            <w:shd w:val="clear" w:color="auto" w:fill="auto"/>
            <w:vAlign w:val="center"/>
          </w:tcPr>
          <w:p w14:paraId="24AC7202" w14:textId="195BA026" w:rsidR="00F425D1" w:rsidRPr="002815F4" w:rsidRDefault="00F425D1" w:rsidP="0088774C">
            <w:pPr>
              <w:pStyle w:val="Tabletext"/>
              <w:rPr>
                <w:lang w:val="en-GB"/>
              </w:rPr>
            </w:pPr>
            <w:r w:rsidRPr="002815F4">
              <w:rPr>
                <w:lang w:val="en-GB"/>
              </w:rPr>
              <w:t xml:space="preserve"> </w:t>
            </w:r>
            <w:r w:rsidR="00253E7F" w:rsidRPr="002815F4">
              <w:rPr>
                <w:lang w:val="en-GB"/>
              </w:rPr>
              <w:t>While the 2014 EITI Report and EITI Senegal website provide most of the information on mining, oil and gas licenses held by material companies, the date of expiry of one mining exploration license is missing. However, stakeholders confirmed that this license, held by the government as an artisanal gold mining corridor, did not have a date of expiry in 2014. While dates of award and/or expiry are missing for a handful of quarrying licenses, none of these is held by a material company included in the scope of reporting for the 2014 EITI Report.</w:t>
            </w:r>
          </w:p>
        </w:tc>
        <w:tc>
          <w:tcPr>
            <w:tcW w:w="3402" w:type="dxa"/>
            <w:vAlign w:val="center"/>
          </w:tcPr>
          <w:p w14:paraId="069E7D2A" w14:textId="6981F8EB" w:rsidR="00F425D1" w:rsidRPr="002815F4" w:rsidRDefault="00253E7F" w:rsidP="0088774C">
            <w:pPr>
              <w:pStyle w:val="Tabletext"/>
              <w:rPr>
                <w:lang w:val="en-GB"/>
              </w:rPr>
            </w:pPr>
            <w:r w:rsidRPr="002815F4">
              <w:rPr>
                <w:lang w:val="en-GB"/>
              </w:rPr>
              <w:t>Satisfactory</w:t>
            </w:r>
            <w:r w:rsidR="00AE65B6">
              <w:rPr>
                <w:lang w:val="en-GB"/>
              </w:rPr>
              <w:t xml:space="preserve"> progress</w:t>
            </w:r>
          </w:p>
        </w:tc>
      </w:tr>
      <w:tr w:rsidR="00451E68" w:rsidRPr="002815F4" w14:paraId="446A967A" w14:textId="77777777" w:rsidTr="00482C28">
        <w:tc>
          <w:tcPr>
            <w:tcW w:w="2439" w:type="dxa"/>
            <w:shd w:val="clear" w:color="auto" w:fill="auto"/>
            <w:vAlign w:val="center"/>
          </w:tcPr>
          <w:p w14:paraId="3900FA0A" w14:textId="77777777" w:rsidR="00F425D1" w:rsidRPr="002815F4" w:rsidRDefault="00F425D1" w:rsidP="0088774C">
            <w:pPr>
              <w:pStyle w:val="Tabletext"/>
              <w:rPr>
                <w:lang w:val="en-GB"/>
              </w:rPr>
            </w:pPr>
            <w:r w:rsidRPr="002815F4">
              <w:rPr>
                <w:lang w:val="en-GB"/>
              </w:rPr>
              <w:t>Contract disclosures (#2.4)</w:t>
            </w:r>
          </w:p>
        </w:tc>
        <w:tc>
          <w:tcPr>
            <w:tcW w:w="4394" w:type="dxa"/>
            <w:shd w:val="clear" w:color="auto" w:fill="auto"/>
            <w:vAlign w:val="center"/>
          </w:tcPr>
          <w:p w14:paraId="758531EA" w14:textId="179E9744" w:rsidR="00F425D1" w:rsidRPr="002815F4" w:rsidRDefault="00253E7F" w:rsidP="0088774C">
            <w:pPr>
              <w:pStyle w:val="Tabletext"/>
              <w:rPr>
                <w:lang w:val="en-GB"/>
              </w:rPr>
            </w:pPr>
            <w:r w:rsidRPr="002815F4">
              <w:rPr>
                <w:lang w:val="en-GB"/>
              </w:rPr>
              <w:t>The 2014 EITI Report clarifies the government’s policy on publishing all mining, oil and gas contracts and describes the actual practice. In the Secretariat’s view, Senegal has also gone beyond the minimum requirements by making contracts public as encouraged by the EITI Standard.</w:t>
            </w:r>
          </w:p>
        </w:tc>
        <w:tc>
          <w:tcPr>
            <w:tcW w:w="3402" w:type="dxa"/>
            <w:tcBorders>
              <w:bottom w:val="single" w:sz="4" w:space="0" w:color="auto"/>
            </w:tcBorders>
            <w:vAlign w:val="center"/>
          </w:tcPr>
          <w:p w14:paraId="11D8C783" w14:textId="6F7D04FC" w:rsidR="00F425D1" w:rsidRPr="002815F4" w:rsidRDefault="00EB7029" w:rsidP="0088774C">
            <w:pPr>
              <w:pStyle w:val="Tabletext"/>
              <w:rPr>
                <w:lang w:val="en-GB"/>
              </w:rPr>
            </w:pPr>
            <w:r>
              <w:rPr>
                <w:lang w:val="en-GB"/>
              </w:rPr>
              <w:t>Satisfactory progress (</w:t>
            </w:r>
            <w:r w:rsidR="009E7A85" w:rsidRPr="002815F4">
              <w:rPr>
                <w:lang w:val="en-GB"/>
              </w:rPr>
              <w:t>Beyond</w:t>
            </w:r>
            <w:r>
              <w:rPr>
                <w:lang w:val="en-GB"/>
              </w:rPr>
              <w:t>)</w:t>
            </w:r>
          </w:p>
        </w:tc>
      </w:tr>
      <w:tr w:rsidR="00451E68" w:rsidRPr="002815F4" w14:paraId="33FC2459" w14:textId="77777777" w:rsidTr="00482C28">
        <w:tc>
          <w:tcPr>
            <w:tcW w:w="2439" w:type="dxa"/>
            <w:shd w:val="clear" w:color="auto" w:fill="auto"/>
            <w:vAlign w:val="center"/>
          </w:tcPr>
          <w:p w14:paraId="481B8E67" w14:textId="77777777" w:rsidR="00E0305D" w:rsidRPr="002815F4" w:rsidRDefault="00E0305D" w:rsidP="0088774C">
            <w:pPr>
              <w:pStyle w:val="Tabletext"/>
              <w:rPr>
                <w:lang w:val="en-GB"/>
              </w:rPr>
            </w:pPr>
            <w:r w:rsidRPr="002815F4">
              <w:rPr>
                <w:lang w:val="en-GB"/>
              </w:rPr>
              <w:t>Beneficial ownership disclosure (#2.5)</w:t>
            </w:r>
          </w:p>
        </w:tc>
        <w:tc>
          <w:tcPr>
            <w:tcW w:w="4394" w:type="dxa"/>
            <w:shd w:val="clear" w:color="auto" w:fill="auto"/>
            <w:vAlign w:val="center"/>
          </w:tcPr>
          <w:p w14:paraId="6432D537" w14:textId="7639A68A" w:rsidR="00E0305D" w:rsidRPr="002815F4" w:rsidRDefault="00253E7F" w:rsidP="0088774C">
            <w:pPr>
              <w:pStyle w:val="Tabletext"/>
              <w:rPr>
                <w:lang w:val="en-GB"/>
              </w:rPr>
            </w:pPr>
            <w:r w:rsidRPr="002815F4">
              <w:rPr>
                <w:lang w:val="en-GB"/>
              </w:rPr>
              <w:t>The Government of Senegal has publicly stated its policy on beneficial ownership disclosure and the 2014 EITI Report provides the names of legal owners and their level of ownership of all but four material companies.</w:t>
            </w:r>
          </w:p>
        </w:tc>
        <w:tc>
          <w:tcPr>
            <w:tcW w:w="3402" w:type="dxa"/>
            <w:shd w:val="clear" w:color="auto" w:fill="BFBFBF" w:themeFill="background1" w:themeFillShade="BF"/>
            <w:vAlign w:val="center"/>
          </w:tcPr>
          <w:p w14:paraId="0D2A89FB" w14:textId="08BFCF38" w:rsidR="00E0305D" w:rsidRPr="002815F4" w:rsidRDefault="00E0305D" w:rsidP="0088774C">
            <w:pPr>
              <w:pStyle w:val="Tabletext"/>
              <w:rPr>
                <w:lang w:val="en-GB"/>
              </w:rPr>
            </w:pPr>
          </w:p>
        </w:tc>
      </w:tr>
      <w:tr w:rsidR="00451E68" w:rsidRPr="002815F4" w14:paraId="72A0C0DD" w14:textId="77777777" w:rsidTr="00482C28">
        <w:tc>
          <w:tcPr>
            <w:tcW w:w="2439" w:type="dxa"/>
            <w:shd w:val="clear" w:color="auto" w:fill="auto"/>
            <w:vAlign w:val="center"/>
          </w:tcPr>
          <w:p w14:paraId="6B0B2CB7" w14:textId="77777777" w:rsidR="00E0305D" w:rsidRPr="002815F4" w:rsidRDefault="00E0305D" w:rsidP="0088774C">
            <w:pPr>
              <w:pStyle w:val="Tabletext"/>
              <w:rPr>
                <w:lang w:val="en-GB"/>
              </w:rPr>
            </w:pPr>
            <w:r w:rsidRPr="002815F4">
              <w:rPr>
                <w:lang w:val="en-GB"/>
              </w:rPr>
              <w:lastRenderedPageBreak/>
              <w:t>State-participation (#2.6)</w:t>
            </w:r>
          </w:p>
        </w:tc>
        <w:tc>
          <w:tcPr>
            <w:tcW w:w="4394" w:type="dxa"/>
            <w:shd w:val="clear" w:color="auto" w:fill="auto"/>
            <w:vAlign w:val="center"/>
          </w:tcPr>
          <w:p w14:paraId="26BF6623" w14:textId="233E2A06" w:rsidR="00E0305D" w:rsidRPr="002815F4" w:rsidRDefault="00E0305D" w:rsidP="0088774C">
            <w:pPr>
              <w:pStyle w:val="Tabletext"/>
              <w:rPr>
                <w:lang w:val="en-GB"/>
              </w:rPr>
            </w:pPr>
            <w:r w:rsidRPr="002815F4">
              <w:rPr>
                <w:lang w:val="en-GB"/>
              </w:rPr>
              <w:t xml:space="preserve"> </w:t>
            </w:r>
            <w:r w:rsidR="00253E7F" w:rsidRPr="002815F4">
              <w:rPr>
                <w:lang w:val="en-GB"/>
              </w:rPr>
              <w:t>The 2014 EITI Report provides a comprehensive list of companies in which the government holds equity and clarifies that state participation in Petrosen gives rise to material revenues. The report clarifies the actual practice of financial relations between the two SOEs Miferso and Petrosen in 2014, but does not clearly describe the statutory rules governing the financial re</w:t>
            </w:r>
            <w:r w:rsidR="002815F4">
              <w:rPr>
                <w:lang w:val="en-GB"/>
              </w:rPr>
              <w:t>lations between Petrosen and Mif</w:t>
            </w:r>
            <w:r w:rsidR="00253E7F" w:rsidRPr="002815F4">
              <w:rPr>
                <w:lang w:val="en-GB"/>
              </w:rPr>
              <w:t>erso and the national government, aside from referring to them as commercially incorporated companies. While the report provides information on the terms associated with state equity in the mining sector, it only states that the terms of Petrosen’s stakes in oil and gas projects is defined in each contract. While the full-text of all but Total’s 2017 oil and gas contract has been published and the 2014 EITI Report provides guidance on how to access them, it does not clearly describe the terms associated with Petrosen equity in each PSC in the report itself. The report clarifies the lack of changes in state participation in the mining sector in 2014, but not in oil and gas. Finally, while the report clarifies that the government did not provide any loans or guarantees to the two SOEs in 2014 and that these two SOEs did not provide any loans or guarantees to extractives companies in 2014, it does not clarify whether the government extended any loans or guarantees to other extractives companies directly in 2014.</w:t>
            </w:r>
          </w:p>
        </w:tc>
        <w:tc>
          <w:tcPr>
            <w:tcW w:w="3402" w:type="dxa"/>
            <w:shd w:val="clear" w:color="auto" w:fill="FFFFFF"/>
            <w:vAlign w:val="center"/>
          </w:tcPr>
          <w:p w14:paraId="17BE17B9" w14:textId="0C46F17F" w:rsidR="00E0305D" w:rsidRPr="002815F4" w:rsidRDefault="009E7A85" w:rsidP="0088774C">
            <w:pPr>
              <w:pStyle w:val="Tabletext"/>
              <w:rPr>
                <w:lang w:val="en-GB"/>
              </w:rPr>
            </w:pPr>
            <w:r w:rsidRPr="002815F4">
              <w:rPr>
                <w:lang w:val="en-GB"/>
              </w:rPr>
              <w:t>Meaningful</w:t>
            </w:r>
            <w:r w:rsidR="00AE65B6">
              <w:rPr>
                <w:lang w:val="en-GB"/>
              </w:rPr>
              <w:t xml:space="preserve"> progress</w:t>
            </w:r>
          </w:p>
        </w:tc>
      </w:tr>
      <w:tr w:rsidR="00451E68" w:rsidRPr="002815F4" w14:paraId="2130C11B" w14:textId="77777777" w:rsidTr="006A2D13">
        <w:tc>
          <w:tcPr>
            <w:tcW w:w="10235" w:type="dxa"/>
            <w:gridSpan w:val="3"/>
            <w:shd w:val="clear" w:color="auto" w:fill="FFFFFF"/>
            <w:vAlign w:val="center"/>
          </w:tcPr>
          <w:p w14:paraId="1C13C204" w14:textId="7DFC0834" w:rsidR="00E0305D" w:rsidRPr="00E2507C" w:rsidRDefault="00E0305D" w:rsidP="0088774C">
            <w:pPr>
              <w:pStyle w:val="Tabletext"/>
              <w:rPr>
                <w:b/>
                <w:lang w:val="en-GB"/>
              </w:rPr>
            </w:pPr>
            <w:r w:rsidRPr="00E2507C">
              <w:rPr>
                <w:b/>
                <w:lang w:val="en-GB"/>
              </w:rPr>
              <w:lastRenderedPageBreak/>
              <w:t>Secretariat’s recommendations:</w:t>
            </w:r>
          </w:p>
          <w:p w14:paraId="4DDF2236" w14:textId="2B915377" w:rsidR="00270F09" w:rsidRPr="00E2507C" w:rsidRDefault="00253E7F" w:rsidP="00482C28">
            <w:pPr>
              <w:pStyle w:val="ListParagraph"/>
              <w:numPr>
                <w:ilvl w:val="0"/>
                <w:numId w:val="83"/>
              </w:numPr>
              <w:rPr>
                <w:rFonts w:eastAsia="Calibri"/>
              </w:rPr>
            </w:pPr>
            <w:r w:rsidRPr="002815F4">
              <w:t xml:space="preserve">To further strengthen implementation, the government is encouraged to continue its efforts to engage a broad range of stakeholders in governance reforms in the mining, oil and gas sectors, as it has done in revisions to the Mining Code in 2016. </w:t>
            </w:r>
          </w:p>
          <w:p w14:paraId="773C90E1" w14:textId="28AE8883" w:rsidR="00270F09" w:rsidRDefault="00E72A69" w:rsidP="00482C28">
            <w:pPr>
              <w:pStyle w:val="ListParagraph"/>
              <w:numPr>
                <w:ilvl w:val="0"/>
                <w:numId w:val="83"/>
              </w:numPr>
            </w:pPr>
            <w:r w:rsidRPr="00E72A69">
              <w:t>To further strengthen implementation, the MSG is encouraged to highlight any non-trivial deviations from the applicable legal and regulatory framework governing license transfers and awards in the allocation of licenses in the oil, gas and mining sectors in the year(s) under review. The government is encouraged to continue its efforts to standardize the technical and financial criteria for the allocation of licenses.</w:t>
            </w:r>
          </w:p>
          <w:p w14:paraId="15E7FF32" w14:textId="0B97EE55" w:rsidR="00270F09" w:rsidRDefault="00253E7F" w:rsidP="00482C28">
            <w:pPr>
              <w:pStyle w:val="ListParagraph"/>
              <w:numPr>
                <w:ilvl w:val="0"/>
                <w:numId w:val="83"/>
              </w:numPr>
              <w:rPr>
                <w:rFonts w:eastAsia="Calibri"/>
              </w:rPr>
            </w:pPr>
            <w:r w:rsidRPr="002815F4">
              <w:t>To strengthen implementation, the MSG may wish to maintain a publicly available register or cadastral system(s) with timely and comprehensive information on each of the mining, oil and gas licenses, including their coordinates.</w:t>
            </w:r>
          </w:p>
          <w:p w14:paraId="352AFB2D" w14:textId="625FC1AF" w:rsidR="00270F09" w:rsidRDefault="00253E7F" w:rsidP="00482C28">
            <w:pPr>
              <w:pStyle w:val="ListParagraph"/>
              <w:numPr>
                <w:ilvl w:val="0"/>
                <w:numId w:val="83"/>
              </w:numPr>
            </w:pPr>
            <w:r w:rsidRPr="00270F09">
              <w:rPr>
                <w:rFonts w:eastAsia="Calibri"/>
              </w:rPr>
              <w:t xml:space="preserve">To strengthen implementation, the MSG may wish </w:t>
            </w:r>
            <w:r w:rsidR="00503379" w:rsidRPr="00270F09">
              <w:rPr>
                <w:rFonts w:eastAsia="Calibri"/>
              </w:rPr>
              <w:t>to ensure that the legal obligations in the Transparency Code, sector legislation and actual practice in contract transparency are consistent</w:t>
            </w:r>
            <w:r w:rsidRPr="00270F09">
              <w:rPr>
                <w:rFonts w:eastAsia="Calibri"/>
              </w:rPr>
              <w:t>. The MSG is also encouraged to continue categorising the published contracts and training stakeholders on extracting key information and using published contracts.</w:t>
            </w:r>
            <w:r w:rsidR="00270F09">
              <w:rPr>
                <w:rFonts w:eastAsia="Calibri"/>
              </w:rPr>
              <w:t xml:space="preserve">  </w:t>
            </w:r>
            <w:r w:rsidRPr="00270F09">
              <w:rPr>
                <w:rFonts w:eastAsia="Calibri"/>
              </w:rPr>
              <w:t>To strengthen implementation, the MSG may wish to pilot beneficial ownership reporting in the forthcoming EITI Report in order to increase awareness of beneficial ownership transparency and pilot beneficial ownership definitions and thresholds. In particular, the MSG may wish to consider the various types of control that can be exercised over a company. Senegal EITI may also wish to conduct broader outreach to the companies on the objectives of beneficial ownership transparency, as well as hold conversations with government agencies on how to make such disclosures mandatory.</w:t>
            </w:r>
          </w:p>
          <w:p w14:paraId="57382D5A" w14:textId="2C4985F7" w:rsidR="00E0305D" w:rsidRPr="002815F4" w:rsidRDefault="00270F09" w:rsidP="00482C28">
            <w:pPr>
              <w:pStyle w:val="ListParagraph"/>
              <w:numPr>
                <w:ilvl w:val="0"/>
                <w:numId w:val="83"/>
              </w:numPr>
            </w:pPr>
            <w:r>
              <w:t>In line with Requirement 2.6</w:t>
            </w:r>
            <w:r w:rsidR="00253E7F" w:rsidRPr="002815F4">
              <w:t>, the MSG should clarify the statutory regulations on the financial relationship between Petrosen, Miferso and the government in future EITI Reports. The government is also encouraged to continue its efforts to equip the Hydrocarbons Department with monitoring tools to better track work plans and payments to government as the industry develops.</w:t>
            </w:r>
            <w:r w:rsidR="00253E7F" w:rsidRPr="002815F4" w:rsidDel="00253E7F">
              <w:t xml:space="preserve"> </w:t>
            </w:r>
          </w:p>
        </w:tc>
      </w:tr>
    </w:tbl>
    <w:p w14:paraId="46999B57" w14:textId="751A7F57" w:rsidR="000722F1" w:rsidRPr="002815F4" w:rsidRDefault="0085374F" w:rsidP="009B3E66">
      <w:pPr>
        <w:pStyle w:val="Heading2"/>
      </w:pPr>
      <w:bookmarkStart w:id="188" w:name="_Toc459133119"/>
      <w:bookmarkStart w:id="189" w:name="_Toc461803068"/>
      <w:bookmarkStart w:id="190" w:name="_Toc461787331"/>
      <w:bookmarkStart w:id="191" w:name="_Toc461795843"/>
      <w:bookmarkStart w:id="192" w:name="_Toc462149186"/>
      <w:r w:rsidRPr="002815F4">
        <w:t xml:space="preserve">3. </w:t>
      </w:r>
      <w:r w:rsidR="000722F1" w:rsidRPr="002815F4">
        <w:t>Monitoring and production</w:t>
      </w:r>
      <w:bookmarkEnd w:id="188"/>
      <w:bookmarkEnd w:id="189"/>
      <w:bookmarkEnd w:id="190"/>
      <w:bookmarkEnd w:id="191"/>
      <w:bookmarkEnd w:id="192"/>
      <w:r w:rsidR="000722F1" w:rsidRPr="002815F4">
        <w:t xml:space="preserve"> </w:t>
      </w:r>
    </w:p>
    <w:p w14:paraId="0DE92D34" w14:textId="3A41F4D0" w:rsidR="00C4408F" w:rsidRPr="002815F4" w:rsidRDefault="00E66A26" w:rsidP="009B3E66">
      <w:pPr>
        <w:pStyle w:val="Heading2notindexed"/>
      </w:pPr>
      <w:bookmarkStart w:id="193" w:name="_Toc459133120"/>
      <w:bookmarkStart w:id="194" w:name="_Toc461803069"/>
      <w:bookmarkStart w:id="195" w:name="_Toc461787332"/>
      <w:bookmarkStart w:id="196" w:name="_Toc461795844"/>
      <w:r w:rsidRPr="002815F4">
        <w:t xml:space="preserve">3.1 </w:t>
      </w:r>
      <w:r w:rsidR="000722F1" w:rsidRPr="002815F4">
        <w:t>Overview</w:t>
      </w:r>
      <w:bookmarkEnd w:id="193"/>
      <w:bookmarkEnd w:id="194"/>
      <w:bookmarkEnd w:id="195"/>
      <w:bookmarkEnd w:id="196"/>
    </w:p>
    <w:p w14:paraId="4577DA24" w14:textId="77777777" w:rsidR="000722F1" w:rsidRPr="002815F4" w:rsidRDefault="00C4408F" w:rsidP="000722F1">
      <w:pPr>
        <w:spacing w:before="120"/>
        <w:rPr>
          <w:rFonts w:ascii="Calibri" w:hAnsi="Calibri"/>
        </w:rPr>
      </w:pPr>
      <w:r w:rsidRPr="002815F4">
        <w:rPr>
          <w:rFonts w:ascii="Calibri" w:hAnsi="Calibri"/>
        </w:rPr>
        <w:t>This section provides details on the implementation of the EITI requirements related to exploration, production and exports.</w:t>
      </w:r>
    </w:p>
    <w:p w14:paraId="21F85E0A" w14:textId="76C227E0" w:rsidR="000722F1" w:rsidRPr="002815F4" w:rsidRDefault="00E66A26" w:rsidP="009B3E66">
      <w:pPr>
        <w:pStyle w:val="Heading2notindexed"/>
      </w:pPr>
      <w:bookmarkStart w:id="197" w:name="_Toc459133121"/>
      <w:bookmarkStart w:id="198" w:name="_Toc461803070"/>
      <w:bookmarkStart w:id="199" w:name="_Toc461787333"/>
      <w:bookmarkStart w:id="200" w:name="_Toc461795845"/>
      <w:r w:rsidRPr="002815F4">
        <w:t xml:space="preserve">3.2 </w:t>
      </w:r>
      <w:r w:rsidR="000722F1" w:rsidRPr="002815F4">
        <w:t>Assessment</w:t>
      </w:r>
      <w:bookmarkEnd w:id="197"/>
      <w:bookmarkEnd w:id="198"/>
      <w:bookmarkEnd w:id="199"/>
      <w:bookmarkEnd w:id="200"/>
    </w:p>
    <w:p w14:paraId="503C59A2" w14:textId="7FBD28CE" w:rsidR="000722F1" w:rsidRPr="002815F4" w:rsidRDefault="00F7195C" w:rsidP="009B3E66">
      <w:pPr>
        <w:pStyle w:val="Heading2"/>
      </w:pPr>
      <w:bookmarkStart w:id="201" w:name="_Toc459133122"/>
      <w:bookmarkStart w:id="202" w:name="_Toc461803071"/>
      <w:bookmarkStart w:id="203" w:name="_Toc461787334"/>
      <w:bookmarkStart w:id="204" w:name="_Toc461795846"/>
      <w:bookmarkStart w:id="205" w:name="_Toc462149187"/>
      <w:r w:rsidRPr="002815F4">
        <w:t>O</w:t>
      </w:r>
      <w:r w:rsidR="000722F1" w:rsidRPr="002815F4">
        <w:t>verview of the extractive sector, including exploration activities (#3.</w:t>
      </w:r>
      <w:r w:rsidR="007C5BEB" w:rsidRPr="002815F4">
        <w:t>1</w:t>
      </w:r>
      <w:r w:rsidR="000722F1" w:rsidRPr="002815F4">
        <w:t>)</w:t>
      </w:r>
      <w:bookmarkEnd w:id="201"/>
      <w:bookmarkEnd w:id="202"/>
      <w:bookmarkEnd w:id="203"/>
      <w:bookmarkEnd w:id="204"/>
      <w:bookmarkEnd w:id="205"/>
    </w:p>
    <w:p w14:paraId="5A1034D9" w14:textId="77777777" w:rsidR="00701856" w:rsidRPr="002815F4" w:rsidRDefault="00675030" w:rsidP="009B3E66">
      <w:pPr>
        <w:pStyle w:val="Heading3"/>
      </w:pPr>
      <w:r w:rsidRPr="002815F4">
        <w:t xml:space="preserve">Documentation of progress </w:t>
      </w:r>
    </w:p>
    <w:p w14:paraId="58AE1B7F" w14:textId="50DC34C1" w:rsidR="001073F9" w:rsidRPr="002815F4" w:rsidRDefault="001073F9" w:rsidP="00675030">
      <w:pPr>
        <w:spacing w:before="120"/>
        <w:rPr>
          <w:rFonts w:ascii="Calibri" w:hAnsi="Calibri"/>
          <w:bCs/>
        </w:rPr>
      </w:pPr>
      <w:r w:rsidRPr="002815F4">
        <w:rPr>
          <w:rFonts w:ascii="Calibri" w:hAnsi="Calibri"/>
          <w:bCs/>
        </w:rPr>
        <w:t xml:space="preserve">The 2014 EITI Report provides an overview of the mining sector (2014 EITI Report, pp.22-23), including significant exploration activities (2014 EITI Report, pp.32-34), and of the oil and gas sector (2014 EITI Report, pp.39-40), including </w:t>
      </w:r>
      <w:r w:rsidR="009770DA" w:rsidRPr="002815F4">
        <w:rPr>
          <w:rFonts w:ascii="Calibri" w:hAnsi="Calibri"/>
          <w:bCs/>
        </w:rPr>
        <w:t xml:space="preserve">activities in the joint maritime zone with Guinea-Bissau (2014 EITI Report, </w:t>
      </w:r>
      <w:r w:rsidR="009770DA" w:rsidRPr="002815F4">
        <w:rPr>
          <w:rFonts w:ascii="Calibri" w:hAnsi="Calibri"/>
          <w:bCs/>
        </w:rPr>
        <w:lastRenderedPageBreak/>
        <w:t xml:space="preserve">pp.47-49) and of </w:t>
      </w:r>
      <w:r w:rsidRPr="002815F4">
        <w:rPr>
          <w:rFonts w:ascii="Calibri" w:hAnsi="Calibri"/>
          <w:bCs/>
        </w:rPr>
        <w:t xml:space="preserve">significant exploration activities (2014 EITI Report, pp.45-48). </w:t>
      </w:r>
    </w:p>
    <w:p w14:paraId="6BBFB834" w14:textId="5818979A" w:rsidR="00AC3CE6" w:rsidRPr="002815F4" w:rsidRDefault="00675030" w:rsidP="009B3E66">
      <w:pPr>
        <w:pStyle w:val="Heading3"/>
      </w:pPr>
      <w:r w:rsidRPr="002815F4">
        <w:t xml:space="preserve">Stakeholder views </w:t>
      </w:r>
    </w:p>
    <w:p w14:paraId="1F511891" w14:textId="63A6612C" w:rsidR="005A308C" w:rsidRPr="002815F4" w:rsidRDefault="00ED7E9D" w:rsidP="005A308C">
      <w:r w:rsidRPr="002815F4">
        <w:t xml:space="preserve">Government, companies and civil society representatives did not express any reservations about the overview of the extractive sector in the </w:t>
      </w:r>
      <w:r w:rsidR="003F2C46" w:rsidRPr="002815F4">
        <w:t>2014 EITI R</w:t>
      </w:r>
      <w:r w:rsidRPr="002815F4">
        <w:t>eport</w:t>
      </w:r>
      <w:r w:rsidR="003F2C46" w:rsidRPr="002815F4">
        <w:t>,</w:t>
      </w:r>
      <w:r w:rsidRPr="002815F4">
        <w:t xml:space="preserve"> including </w:t>
      </w:r>
      <w:r w:rsidR="003F2C46" w:rsidRPr="002815F4">
        <w:t xml:space="preserve">its overview of </w:t>
      </w:r>
      <w:r w:rsidRPr="002815F4">
        <w:t xml:space="preserve">exploration activities. </w:t>
      </w:r>
      <w:r w:rsidR="003F2C46" w:rsidRPr="002815F4">
        <w:t xml:space="preserve">Several MSG members from all constituencies considered that the 2014 EITI Report was far more comprehensive and accurate than the first EITI Report, given the MSG’s strong engagement in drafting large parts of the contextual information. </w:t>
      </w:r>
      <w:r w:rsidR="005A308C" w:rsidRPr="002815F4">
        <w:t xml:space="preserve">Representatives of the press noted that a new project for the exploration of zircon </w:t>
      </w:r>
      <w:r w:rsidRPr="002815F4">
        <w:t>in Zinguinchor had experienced problems between the company and affected communities</w:t>
      </w:r>
      <w:r w:rsidR="005A308C" w:rsidRPr="002815F4">
        <w:t xml:space="preserve">. </w:t>
      </w:r>
    </w:p>
    <w:p w14:paraId="5F158EFC" w14:textId="1076A72F" w:rsidR="00675030" w:rsidRPr="002815F4" w:rsidRDefault="00675030" w:rsidP="009B3E66">
      <w:pPr>
        <w:pStyle w:val="Heading3"/>
      </w:pPr>
      <w:bookmarkStart w:id="206" w:name="_Toc459133125"/>
      <w:bookmarkStart w:id="207" w:name="_Toc461803074"/>
      <w:r w:rsidRPr="002815F4">
        <w:t>Initial assessment</w:t>
      </w:r>
      <w:bookmarkEnd w:id="206"/>
      <w:bookmarkEnd w:id="207"/>
    </w:p>
    <w:p w14:paraId="3F03F0E6" w14:textId="1817F472" w:rsidR="00A96C3E" w:rsidRPr="002815F4" w:rsidRDefault="00675030" w:rsidP="00E66A26">
      <w:pPr>
        <w:spacing w:before="120"/>
        <w:rPr>
          <w:rFonts w:ascii="Calibri" w:hAnsi="Calibri"/>
        </w:rPr>
      </w:pPr>
      <w:r w:rsidRPr="002815F4">
        <w:rPr>
          <w:rFonts w:ascii="Calibri" w:hAnsi="Calibri"/>
        </w:rPr>
        <w:t xml:space="preserve">The International Secretariat’s initial assessment is that </w:t>
      </w:r>
      <w:r w:rsidR="00B853F9" w:rsidRPr="002815F4">
        <w:rPr>
          <w:rFonts w:ascii="Calibri" w:hAnsi="Calibri"/>
          <w:bCs/>
        </w:rPr>
        <w:t xml:space="preserve">Senegal </w:t>
      </w:r>
      <w:r w:rsidRPr="002815F4">
        <w:rPr>
          <w:rFonts w:ascii="Calibri" w:hAnsi="Calibri"/>
        </w:rPr>
        <w:t xml:space="preserve">has made </w:t>
      </w:r>
      <w:r w:rsidR="00B853F9" w:rsidRPr="002815F4">
        <w:rPr>
          <w:rFonts w:ascii="Calibri" w:hAnsi="Calibri"/>
          <w:bCs/>
        </w:rPr>
        <w:t>satisfactory</w:t>
      </w:r>
      <w:r w:rsidR="00B853F9" w:rsidRPr="002815F4">
        <w:rPr>
          <w:rFonts w:ascii="Calibri" w:hAnsi="Calibri"/>
          <w:b/>
          <w:bCs/>
        </w:rPr>
        <w:t xml:space="preserve"> </w:t>
      </w:r>
      <w:r w:rsidRPr="002815F4">
        <w:rPr>
          <w:rFonts w:ascii="Calibri" w:hAnsi="Calibri"/>
        </w:rPr>
        <w:t xml:space="preserve">progress towards meeting this </w:t>
      </w:r>
      <w:commentRangeStart w:id="208"/>
      <w:r w:rsidRPr="002815F4">
        <w:rPr>
          <w:rFonts w:ascii="Calibri" w:hAnsi="Calibri"/>
        </w:rPr>
        <w:t>requirement</w:t>
      </w:r>
      <w:commentRangeEnd w:id="208"/>
      <w:r w:rsidR="00D27A59">
        <w:rPr>
          <w:rStyle w:val="CommentReference"/>
          <w:szCs w:val="20"/>
        </w:rPr>
        <w:commentReference w:id="208"/>
      </w:r>
      <w:r w:rsidRPr="002815F4">
        <w:rPr>
          <w:rFonts w:ascii="Calibri" w:hAnsi="Calibri"/>
        </w:rPr>
        <w:t xml:space="preserve">. </w:t>
      </w:r>
      <w:r w:rsidR="00B853F9" w:rsidRPr="002815F4">
        <w:rPr>
          <w:rFonts w:ascii="Calibri" w:hAnsi="Calibri"/>
        </w:rPr>
        <w:t xml:space="preserve">The 2014 EITI Report provides an overview of the extractives industries, including significant exploration activities. </w:t>
      </w:r>
    </w:p>
    <w:p w14:paraId="08159A86" w14:textId="0F17BA0C" w:rsidR="000722F1" w:rsidRPr="002815F4" w:rsidRDefault="000722F1" w:rsidP="009B3E66">
      <w:pPr>
        <w:pStyle w:val="Heading2"/>
      </w:pPr>
      <w:bookmarkStart w:id="209" w:name="_Toc459133126"/>
      <w:bookmarkStart w:id="210" w:name="_Toc461803075"/>
      <w:bookmarkStart w:id="211" w:name="_Toc461787335"/>
      <w:bookmarkStart w:id="212" w:name="_Toc461795847"/>
      <w:r w:rsidRPr="002815F4">
        <w:t>Production data (#3.</w:t>
      </w:r>
      <w:r w:rsidR="007C5BEB" w:rsidRPr="002815F4">
        <w:t>2</w:t>
      </w:r>
      <w:r w:rsidRPr="002815F4">
        <w:t>)</w:t>
      </w:r>
      <w:bookmarkEnd w:id="209"/>
      <w:bookmarkEnd w:id="210"/>
      <w:bookmarkEnd w:id="211"/>
      <w:bookmarkEnd w:id="212"/>
      <w:r w:rsidRPr="002815F4">
        <w:t xml:space="preserve"> </w:t>
      </w:r>
    </w:p>
    <w:p w14:paraId="631906BB" w14:textId="77777777" w:rsidR="009B332B" w:rsidRPr="002815F4" w:rsidRDefault="00675030" w:rsidP="009B3E66">
      <w:pPr>
        <w:pStyle w:val="Heading3"/>
      </w:pPr>
      <w:r w:rsidRPr="002815F4">
        <w:t xml:space="preserve">Documentation of progress </w:t>
      </w:r>
    </w:p>
    <w:p w14:paraId="032B7810" w14:textId="27E32CD4" w:rsidR="00D3270A" w:rsidRPr="002815F4" w:rsidRDefault="007F5931">
      <w:pPr>
        <w:spacing w:before="120"/>
        <w:rPr>
          <w:rFonts w:ascii="Calibri" w:hAnsi="Calibri"/>
        </w:rPr>
      </w:pPr>
      <w:r w:rsidRPr="002815F4">
        <w:rPr>
          <w:rFonts w:ascii="Calibri" w:hAnsi="Calibri"/>
        </w:rPr>
        <w:t>The 2014 EITI Report provides production volumes for each of the 15 mineral commodities</w:t>
      </w:r>
      <w:r w:rsidRPr="002815F4">
        <w:rPr>
          <w:rStyle w:val="FootnoteReference"/>
          <w:rFonts w:ascii="Calibri" w:hAnsi="Calibri"/>
        </w:rPr>
        <w:footnoteReference w:id="58"/>
      </w:r>
      <w:r w:rsidRPr="002815F4">
        <w:rPr>
          <w:rFonts w:ascii="Calibri" w:hAnsi="Calibri"/>
        </w:rPr>
        <w:t xml:space="preserve"> produced in 2014 sourced from material companies’ EITI reporting (2014 EITI Report, p.10), but only provides production values for natural gas (2014 EITI Report, p.10), not for the other 14 minerals produced. The detail of company reporting of production data in Annex 9 reveals that nine companies reported both production volumes and values while five reported only volumes (2014 EITI Report, pp.108-109). </w:t>
      </w:r>
      <w:r w:rsidR="00D3270A" w:rsidRPr="002815F4">
        <w:rPr>
          <w:rFonts w:ascii="Calibri" w:hAnsi="Calibri"/>
        </w:rPr>
        <w:t xml:space="preserve">The report provides the location of major deposits and production in both mining (2014 EITI Report, pp.22-23) and oil and gas (2014 EITI Report, pp.39-40). </w:t>
      </w:r>
    </w:p>
    <w:p w14:paraId="31955BCC" w14:textId="77777777" w:rsidR="008C1A47" w:rsidRPr="002815F4" w:rsidRDefault="00675030" w:rsidP="009B3E66">
      <w:pPr>
        <w:pStyle w:val="Heading3"/>
      </w:pPr>
      <w:r w:rsidRPr="002815F4">
        <w:t xml:space="preserve">Stakeholder views </w:t>
      </w:r>
    </w:p>
    <w:p w14:paraId="1731BD3A" w14:textId="696A379F" w:rsidR="007D707C" w:rsidRPr="002815F4" w:rsidRDefault="005A308C" w:rsidP="007474FE">
      <w:r w:rsidRPr="002815F4">
        <w:t>Government representatives noted that they were most interested in roy</w:t>
      </w:r>
      <w:r w:rsidR="00F11D76" w:rsidRPr="002815F4">
        <w:t>alties based on the product</w:t>
      </w:r>
      <w:r w:rsidR="007A6719" w:rsidRPr="002815F4">
        <w:t xml:space="preserve"> values</w:t>
      </w:r>
      <w:r w:rsidR="00F11D76" w:rsidRPr="002815F4">
        <w:t xml:space="preserve"> exported and sometimes use</w:t>
      </w:r>
      <w:r w:rsidR="007A6719" w:rsidRPr="002815F4">
        <w:t>d</w:t>
      </w:r>
      <w:r w:rsidR="00F11D76" w:rsidRPr="002815F4">
        <w:t xml:space="preserve"> this as an estimate of the value of production, although th</w:t>
      </w:r>
      <w:r w:rsidR="007A6719" w:rsidRPr="002815F4">
        <w:t>ese estimates</w:t>
      </w:r>
      <w:r w:rsidR="00F11D76" w:rsidRPr="002815F4">
        <w:t xml:space="preserve"> d</w:t>
      </w:r>
      <w:r w:rsidR="007A6719" w:rsidRPr="002815F4">
        <w:t>id</w:t>
      </w:r>
      <w:r w:rsidR="00F11D76" w:rsidRPr="002815F4">
        <w:t xml:space="preserve"> not take account </w:t>
      </w:r>
      <w:r w:rsidR="007A6719" w:rsidRPr="002815F4">
        <w:t xml:space="preserve">of </w:t>
      </w:r>
      <w:r w:rsidR="00F11D76" w:rsidRPr="002815F4">
        <w:t>stock</w:t>
      </w:r>
      <w:r w:rsidR="007A6719" w:rsidRPr="002815F4">
        <w:t>-piling of minerals for later export</w:t>
      </w:r>
      <w:r w:rsidRPr="002815F4">
        <w:t xml:space="preserve">. </w:t>
      </w:r>
      <w:r w:rsidR="007A6719" w:rsidRPr="002815F4">
        <w:t xml:space="preserve">Several government representatives </w:t>
      </w:r>
      <w:r w:rsidR="00F11D76" w:rsidRPr="002815F4">
        <w:t>indicated that they we</w:t>
      </w:r>
      <w:r w:rsidRPr="002815F4">
        <w:t xml:space="preserve">re working towards </w:t>
      </w:r>
      <w:r w:rsidR="007A6719" w:rsidRPr="002815F4">
        <w:t xml:space="preserve">addressing </w:t>
      </w:r>
      <w:r w:rsidRPr="002815F4">
        <w:t>this gap</w:t>
      </w:r>
      <w:r w:rsidR="007A6719" w:rsidRPr="002815F4">
        <w:t xml:space="preserve"> in government oversight by strengthening the DMG’s monitoring of mining companies</w:t>
      </w:r>
      <w:r w:rsidRPr="002815F4">
        <w:t>. Civil society</w:t>
      </w:r>
      <w:r w:rsidR="00F11D76" w:rsidRPr="002815F4">
        <w:t xml:space="preserve"> and stakeholders outside the capital</w:t>
      </w:r>
      <w:r w:rsidRPr="002815F4">
        <w:t xml:space="preserve"> noted that they were interested in production dat</w:t>
      </w:r>
      <w:r w:rsidR="00F11D76" w:rsidRPr="002815F4">
        <w:t>a to ensure that the companies we</w:t>
      </w:r>
      <w:r w:rsidRPr="002815F4">
        <w:t xml:space="preserve">re fulfilling their </w:t>
      </w:r>
      <w:r w:rsidR="007A6719" w:rsidRPr="002815F4">
        <w:t xml:space="preserve">contractual </w:t>
      </w:r>
      <w:r w:rsidRPr="002815F4">
        <w:t>commitments. Compan</w:t>
      </w:r>
      <w:r w:rsidR="007A6719" w:rsidRPr="002815F4">
        <w:t>y representatives</w:t>
      </w:r>
      <w:r w:rsidRPr="002815F4">
        <w:t xml:space="preserve"> noted that there were no public fig</w:t>
      </w:r>
      <w:r w:rsidR="00F11D76" w:rsidRPr="002815F4">
        <w:t xml:space="preserve">ures on the value of production, noting that </w:t>
      </w:r>
      <w:r w:rsidR="007A6719" w:rsidRPr="002815F4">
        <w:t>a</w:t>
      </w:r>
      <w:r w:rsidR="00F11D76" w:rsidRPr="002815F4">
        <w:t>side f</w:t>
      </w:r>
      <w:r w:rsidR="007A6719" w:rsidRPr="002815F4">
        <w:t>rom</w:t>
      </w:r>
      <w:r w:rsidR="00F11D76" w:rsidRPr="002815F4">
        <w:t xml:space="preserve"> gold, the </w:t>
      </w:r>
      <w:r w:rsidRPr="002815F4">
        <w:t>value of minerals depends on the buyer</w:t>
      </w:r>
      <w:r w:rsidR="00F11D76" w:rsidRPr="002815F4">
        <w:t>,</w:t>
      </w:r>
      <w:r w:rsidRPr="002815F4">
        <w:t xml:space="preserve"> given the </w:t>
      </w:r>
      <w:r w:rsidR="007A6719" w:rsidRPr="002815F4">
        <w:t>fact most of the minerals produced (such as ilmenite or zircon) were not openly traded on world markets</w:t>
      </w:r>
      <w:r w:rsidRPr="002815F4">
        <w:t xml:space="preserve">. </w:t>
      </w:r>
      <w:r w:rsidR="00F11D76" w:rsidRPr="002815F4">
        <w:t>With respect to phosphates</w:t>
      </w:r>
      <w:r w:rsidR="007A6719" w:rsidRPr="002815F4">
        <w:t>,</w:t>
      </w:r>
      <w:r w:rsidR="00F11D76" w:rsidRPr="002815F4">
        <w:t xml:space="preserve"> compan</w:t>
      </w:r>
      <w:r w:rsidR="007A6719" w:rsidRPr="002815F4">
        <w:t>y representatives</w:t>
      </w:r>
      <w:r w:rsidR="00F11D76" w:rsidRPr="002815F4">
        <w:t xml:space="preserve"> </w:t>
      </w:r>
      <w:r w:rsidR="007A6719" w:rsidRPr="002815F4">
        <w:t xml:space="preserve">explained </w:t>
      </w:r>
      <w:r w:rsidRPr="002815F4">
        <w:t xml:space="preserve">that </w:t>
      </w:r>
      <w:r w:rsidR="007A6719" w:rsidRPr="002815F4">
        <w:t xml:space="preserve">Senegal </w:t>
      </w:r>
      <w:r w:rsidRPr="002815F4">
        <w:t>export</w:t>
      </w:r>
      <w:r w:rsidR="007A6719" w:rsidRPr="002815F4">
        <w:t>ed</w:t>
      </w:r>
      <w:r w:rsidRPr="002815F4">
        <w:t xml:space="preserve"> </w:t>
      </w:r>
      <w:r w:rsidR="007A6719" w:rsidRPr="002815F4">
        <w:t xml:space="preserve">primarily </w:t>
      </w:r>
      <w:r w:rsidRPr="002815F4">
        <w:t xml:space="preserve">refined </w:t>
      </w:r>
      <w:r w:rsidRPr="002815F4">
        <w:lastRenderedPageBreak/>
        <w:t>product</w:t>
      </w:r>
      <w:r w:rsidR="007A6719" w:rsidRPr="002815F4">
        <w:t>, phosphoric acid, rather than phosphates themselves</w:t>
      </w:r>
      <w:r w:rsidRPr="002815F4">
        <w:t>.</w:t>
      </w:r>
      <w:r w:rsidR="00F11D76" w:rsidRPr="002815F4">
        <w:t xml:space="preserve"> Similarly, the</w:t>
      </w:r>
      <w:r w:rsidRPr="002815F4">
        <w:t xml:space="preserve"> </w:t>
      </w:r>
      <w:r w:rsidR="00F11D76" w:rsidRPr="002815F4">
        <w:t xml:space="preserve">IA </w:t>
      </w:r>
      <w:r w:rsidR="007A6719" w:rsidRPr="002815F4">
        <w:t>was</w:t>
      </w:r>
      <w:r w:rsidR="00F11D76" w:rsidRPr="002815F4">
        <w:t xml:space="preserve"> reluctan</w:t>
      </w:r>
      <w:r w:rsidR="007A6719" w:rsidRPr="002815F4">
        <w:t>t</w:t>
      </w:r>
      <w:r w:rsidR="00F11D76" w:rsidRPr="002815F4">
        <w:t xml:space="preserve"> </w:t>
      </w:r>
      <w:r w:rsidR="007A6719" w:rsidRPr="002815F4">
        <w:t xml:space="preserve">in estimating an </w:t>
      </w:r>
      <w:r w:rsidR="00F11D76" w:rsidRPr="002815F4">
        <w:t xml:space="preserve">approximate </w:t>
      </w:r>
      <w:r w:rsidR="007A6719" w:rsidRPr="002815F4">
        <w:t xml:space="preserve">value of </w:t>
      </w:r>
      <w:r w:rsidR="00F11D76" w:rsidRPr="002815F4">
        <w:t xml:space="preserve">production </w:t>
      </w:r>
      <w:r w:rsidR="007A6719" w:rsidRPr="002815F4">
        <w:t xml:space="preserve">for each commodity </w:t>
      </w:r>
      <w:r w:rsidR="00F11D76" w:rsidRPr="002815F4">
        <w:t xml:space="preserve">based on the </w:t>
      </w:r>
      <w:r w:rsidR="007A6719" w:rsidRPr="002815F4">
        <w:t xml:space="preserve">export </w:t>
      </w:r>
      <w:r w:rsidR="00F11D76" w:rsidRPr="002815F4">
        <w:t>price</w:t>
      </w:r>
      <w:r w:rsidR="007A6719" w:rsidRPr="002815F4">
        <w:t>s, considering that export prices would tend to be higher than the value of production</w:t>
      </w:r>
      <w:r w:rsidR="00F11D76" w:rsidRPr="002815F4">
        <w:t xml:space="preserve">. He added that </w:t>
      </w:r>
      <w:r w:rsidR="00E10A07" w:rsidRPr="002815F4">
        <w:t>R</w:t>
      </w:r>
      <w:r w:rsidRPr="002815F4">
        <w:t>eco</w:t>
      </w:r>
      <w:r w:rsidR="00F11D76" w:rsidRPr="002815F4">
        <w:t>mmendation 4 in the 2014 EITI Report</w:t>
      </w:r>
      <w:r w:rsidR="00E10A07" w:rsidRPr="002815F4">
        <w:t xml:space="preserve"> (p.88)</w:t>
      </w:r>
      <w:r w:rsidR="00F11D76" w:rsidRPr="002815F4">
        <w:t xml:space="preserve"> addressed the issue of monitoring of production and export data</w:t>
      </w:r>
      <w:r w:rsidR="007A6719" w:rsidRPr="002815F4">
        <w:t>,</w:t>
      </w:r>
      <w:r w:rsidR="00F11D76" w:rsidRPr="002815F4">
        <w:t xml:space="preserve"> </w:t>
      </w:r>
      <w:r w:rsidR="00601902" w:rsidRPr="002815F4">
        <w:t>not</w:t>
      </w:r>
      <w:r w:rsidR="007A6719" w:rsidRPr="002815F4">
        <w:t>ing</w:t>
      </w:r>
      <w:r w:rsidR="00601902" w:rsidRPr="002815F4">
        <w:t xml:space="preserve"> that the</w:t>
      </w:r>
      <w:r w:rsidRPr="002815F4">
        <w:t xml:space="preserve"> DMG </w:t>
      </w:r>
      <w:r w:rsidR="007A6719" w:rsidRPr="002815F4">
        <w:t xml:space="preserve">would </w:t>
      </w:r>
      <w:r w:rsidR="00F11D76" w:rsidRPr="002815F4">
        <w:t xml:space="preserve">be able to use companies’ quarterly reports to compile this information. With </w:t>
      </w:r>
      <w:r w:rsidR="00601902" w:rsidRPr="002815F4">
        <w:t xml:space="preserve">respect to oil and gas, the </w:t>
      </w:r>
      <w:r w:rsidR="007A6719" w:rsidRPr="002815F4">
        <w:t xml:space="preserve">IA </w:t>
      </w:r>
      <w:r w:rsidR="00601902" w:rsidRPr="002815F4">
        <w:t xml:space="preserve">confirmed that </w:t>
      </w:r>
      <w:r w:rsidR="00F11D76" w:rsidRPr="002815F4">
        <w:t>all</w:t>
      </w:r>
      <w:r w:rsidR="00601902" w:rsidRPr="002815F4">
        <w:t xml:space="preserve"> gas</w:t>
      </w:r>
      <w:r w:rsidR="00F11D76" w:rsidRPr="002815F4">
        <w:t xml:space="preserve"> production </w:t>
      </w:r>
      <w:r w:rsidR="007A6719" w:rsidRPr="002815F4">
        <w:t>wa</w:t>
      </w:r>
      <w:r w:rsidR="00F11D76" w:rsidRPr="002815F4">
        <w:t>s consumed locally. Independent analysts noted that production figures were not verified by the government but were unilaterally declared by companies.</w:t>
      </w:r>
      <w:r w:rsidR="007D707C" w:rsidRPr="002815F4">
        <w:t xml:space="preserve"> </w:t>
      </w:r>
    </w:p>
    <w:p w14:paraId="2CA7AAA8" w14:textId="45D6A336" w:rsidR="00597FC5" w:rsidRPr="002815F4" w:rsidRDefault="00675030" w:rsidP="009B3E66">
      <w:pPr>
        <w:pStyle w:val="Heading3"/>
      </w:pPr>
      <w:bookmarkStart w:id="213" w:name="_Toc459133129"/>
      <w:bookmarkStart w:id="214" w:name="_Toc461803078"/>
      <w:r w:rsidRPr="002815F4">
        <w:t>Initial assessment</w:t>
      </w:r>
      <w:bookmarkEnd w:id="213"/>
      <w:bookmarkEnd w:id="214"/>
    </w:p>
    <w:p w14:paraId="4ED9EE23" w14:textId="504349A0" w:rsidR="007D707C" w:rsidRPr="002815F4" w:rsidRDefault="00675030" w:rsidP="00405360">
      <w:pPr>
        <w:spacing w:before="120"/>
        <w:rPr>
          <w:rFonts w:ascii="Calibri" w:hAnsi="Calibri"/>
        </w:rPr>
      </w:pPr>
      <w:r w:rsidRPr="002815F4">
        <w:rPr>
          <w:rFonts w:ascii="Calibri" w:hAnsi="Calibri"/>
        </w:rPr>
        <w:t xml:space="preserve">The International Secretariat’s initial assessment is that </w:t>
      </w:r>
      <w:r w:rsidR="007D707C" w:rsidRPr="002815F4">
        <w:rPr>
          <w:rFonts w:ascii="Calibri" w:hAnsi="Calibri"/>
          <w:bCs/>
        </w:rPr>
        <w:t>Senegal</w:t>
      </w:r>
      <w:r w:rsidR="007D707C" w:rsidRPr="002815F4">
        <w:rPr>
          <w:rFonts w:ascii="Calibri" w:hAnsi="Calibri"/>
        </w:rPr>
        <w:t xml:space="preserve"> </w:t>
      </w:r>
      <w:r w:rsidRPr="002815F4">
        <w:rPr>
          <w:rFonts w:ascii="Calibri" w:hAnsi="Calibri"/>
        </w:rPr>
        <w:t xml:space="preserve">has made </w:t>
      </w:r>
      <w:r w:rsidR="007D707C" w:rsidRPr="002815F4">
        <w:rPr>
          <w:rFonts w:ascii="Calibri" w:hAnsi="Calibri"/>
          <w:bCs/>
        </w:rPr>
        <w:t>meaningful</w:t>
      </w:r>
      <w:r w:rsidR="007D707C" w:rsidRPr="002815F4">
        <w:rPr>
          <w:rFonts w:ascii="Calibri" w:hAnsi="Calibri"/>
          <w:b/>
          <w:bCs/>
        </w:rPr>
        <w:t xml:space="preserve"> </w:t>
      </w:r>
      <w:r w:rsidRPr="002815F4">
        <w:rPr>
          <w:rFonts w:ascii="Calibri" w:hAnsi="Calibri"/>
        </w:rPr>
        <w:t xml:space="preserve">progress towards meeting this </w:t>
      </w:r>
      <w:commentRangeStart w:id="215"/>
      <w:r w:rsidRPr="002815F4">
        <w:rPr>
          <w:rFonts w:ascii="Calibri" w:hAnsi="Calibri"/>
        </w:rPr>
        <w:t>requirement</w:t>
      </w:r>
      <w:commentRangeEnd w:id="215"/>
      <w:r w:rsidR="00D27A59">
        <w:rPr>
          <w:rStyle w:val="CommentReference"/>
          <w:szCs w:val="20"/>
        </w:rPr>
        <w:commentReference w:id="215"/>
      </w:r>
      <w:r w:rsidRPr="002815F4">
        <w:rPr>
          <w:rFonts w:ascii="Calibri" w:hAnsi="Calibri"/>
        </w:rPr>
        <w:t xml:space="preserve">. </w:t>
      </w:r>
      <w:r w:rsidR="007D707C" w:rsidRPr="002815F4">
        <w:rPr>
          <w:rFonts w:ascii="Calibri" w:hAnsi="Calibri"/>
        </w:rPr>
        <w:t>The 2014 EITI Report provides production volumes for all 15 mineral commodities produced in Senegal in 2014, but not values (other than for natural gas).</w:t>
      </w:r>
      <w:r w:rsidR="005524BF" w:rsidRPr="002815F4">
        <w:rPr>
          <w:rFonts w:ascii="Calibri" w:hAnsi="Calibri"/>
        </w:rPr>
        <w:t xml:space="preserve"> Given that reported production data is based on material companies’ EITI disclosures rather than on official data, the comprehensiveness of reported production data is unclear. </w:t>
      </w:r>
    </w:p>
    <w:p w14:paraId="3F74389F" w14:textId="2D7C6EDB" w:rsidR="005A308C" w:rsidRPr="002815F4" w:rsidRDefault="007D707C" w:rsidP="00405360">
      <w:pPr>
        <w:spacing w:before="120"/>
        <w:rPr>
          <w:rFonts w:ascii="Calibri" w:hAnsi="Calibri"/>
        </w:rPr>
      </w:pPr>
      <w:r w:rsidRPr="002815F4">
        <w:rPr>
          <w:rFonts w:ascii="Calibri" w:hAnsi="Calibri"/>
        </w:rPr>
        <w:t xml:space="preserve">To strengthen implementation, the MSG should </w:t>
      </w:r>
      <w:r w:rsidR="00BC1A0C" w:rsidRPr="002815F4">
        <w:rPr>
          <w:rFonts w:ascii="Calibri" w:hAnsi="Calibri"/>
        </w:rPr>
        <w:t>disclose production data for the fiscal year covered by the EITI Report, including total production volumes and the value of production by commodity, and, when relevant, by state/region. This could include sources of the production data and information on how the production volumes and values disclosed in the EITI Report have been calculated.</w:t>
      </w:r>
    </w:p>
    <w:p w14:paraId="6A9A6BE0" w14:textId="69F05C2E" w:rsidR="00675030" w:rsidRPr="002815F4" w:rsidRDefault="00675030" w:rsidP="009B3E66">
      <w:pPr>
        <w:pStyle w:val="Heading2"/>
      </w:pPr>
      <w:bookmarkStart w:id="216" w:name="_Toc459133130"/>
      <w:bookmarkStart w:id="217" w:name="_Toc461803079"/>
      <w:bookmarkStart w:id="218" w:name="_Toc461787336"/>
      <w:bookmarkStart w:id="219" w:name="_Toc461795848"/>
      <w:bookmarkStart w:id="220" w:name="_Toc462149188"/>
      <w:r w:rsidRPr="002815F4">
        <w:t>Export data (#3.3)</w:t>
      </w:r>
      <w:bookmarkEnd w:id="216"/>
      <w:bookmarkEnd w:id="217"/>
      <w:bookmarkEnd w:id="218"/>
      <w:bookmarkEnd w:id="219"/>
      <w:bookmarkEnd w:id="220"/>
    </w:p>
    <w:p w14:paraId="7F3CF03F" w14:textId="77777777" w:rsidR="00240C0D" w:rsidRPr="002815F4" w:rsidRDefault="00675030" w:rsidP="009B3E66">
      <w:pPr>
        <w:pStyle w:val="Heading3"/>
      </w:pPr>
      <w:r w:rsidRPr="002815F4">
        <w:t xml:space="preserve">Documentation of progress </w:t>
      </w:r>
    </w:p>
    <w:p w14:paraId="25E5D99C" w14:textId="5EBC7E3D" w:rsidR="0095278F" w:rsidRPr="002815F4" w:rsidRDefault="005524BF" w:rsidP="00675030">
      <w:pPr>
        <w:spacing w:before="120"/>
        <w:rPr>
          <w:rFonts w:ascii="Calibri" w:hAnsi="Calibri"/>
          <w:i/>
          <w:u w:val="single"/>
        </w:rPr>
      </w:pPr>
      <w:r w:rsidRPr="002815F4">
        <w:rPr>
          <w:rFonts w:ascii="Calibri" w:hAnsi="Calibri"/>
        </w:rPr>
        <w:t>The 2014 EITI Report provides the export volumes and values for each of the ten mineral commodities</w:t>
      </w:r>
      <w:r w:rsidRPr="002815F4">
        <w:rPr>
          <w:rStyle w:val="FootnoteReference"/>
          <w:rFonts w:ascii="Calibri" w:hAnsi="Calibri"/>
        </w:rPr>
        <w:footnoteReference w:id="59"/>
      </w:r>
      <w:r w:rsidRPr="002815F4">
        <w:rPr>
          <w:rFonts w:ascii="Calibri" w:hAnsi="Calibri"/>
        </w:rPr>
        <w:t xml:space="preserve"> exported in 2014, based on material companies’ EITI reporting (2014 EITI Report, p.10). The detail of company reporting of export data in Annex 9 reveals that 12 companies reported both export volumes and values (2014 EITI Report, pp.108-109). </w:t>
      </w:r>
      <w:r w:rsidR="00D25CF8" w:rsidRPr="002815F4">
        <w:rPr>
          <w:rFonts w:ascii="Calibri" w:hAnsi="Calibri"/>
        </w:rPr>
        <w:t xml:space="preserve">The report also provides the value of 2014 exports of </w:t>
      </w:r>
      <w:r w:rsidR="002815F4" w:rsidRPr="002815F4">
        <w:rPr>
          <w:rFonts w:ascii="Calibri" w:hAnsi="Calibri"/>
        </w:rPr>
        <w:t>phosphates</w:t>
      </w:r>
      <w:r w:rsidR="00D25CF8" w:rsidRPr="002815F4">
        <w:rPr>
          <w:rFonts w:ascii="Calibri" w:hAnsi="Calibri"/>
        </w:rPr>
        <w:t>, gold and cement sourced from official government sources (ANSD and DPEE) (2014 EITI Report, p.66), which are significantly higher than the values reported based on material companies’ reporting.</w:t>
      </w:r>
      <w:r w:rsidR="00D25CF8" w:rsidRPr="002815F4">
        <w:rPr>
          <w:rStyle w:val="FootnoteReference"/>
          <w:rFonts w:ascii="Calibri" w:hAnsi="Calibri"/>
        </w:rPr>
        <w:footnoteReference w:id="60"/>
      </w:r>
      <w:r w:rsidR="0095278F" w:rsidRPr="002815F4">
        <w:rPr>
          <w:rFonts w:ascii="Calibri" w:hAnsi="Calibri"/>
        </w:rPr>
        <w:t xml:space="preserve"> </w:t>
      </w:r>
    </w:p>
    <w:p w14:paraId="63C3A602" w14:textId="77777777" w:rsidR="00240C0D" w:rsidRPr="002815F4" w:rsidRDefault="00675030" w:rsidP="009B3E66">
      <w:pPr>
        <w:pStyle w:val="Heading3"/>
      </w:pPr>
      <w:r w:rsidRPr="002815F4">
        <w:t xml:space="preserve">Stakeholder views </w:t>
      </w:r>
    </w:p>
    <w:p w14:paraId="0BF1FC9B" w14:textId="6275F85B" w:rsidR="00B80D96" w:rsidRPr="002815F4" w:rsidRDefault="00BC1A0C" w:rsidP="007474FE">
      <w:r w:rsidRPr="002815F4">
        <w:t xml:space="preserve">With respect to the </w:t>
      </w:r>
      <w:r w:rsidR="005A308C" w:rsidRPr="002815F4">
        <w:t>significant</w:t>
      </w:r>
      <w:r w:rsidRPr="002815F4">
        <w:t xml:space="preserve">ly higher gold export values by the government compared to company data, government representatives noted </w:t>
      </w:r>
      <w:r w:rsidR="005A308C" w:rsidRPr="002815F4">
        <w:t xml:space="preserve">that </w:t>
      </w:r>
      <w:r w:rsidRPr="002815F4">
        <w:t xml:space="preserve">this may be due to </w:t>
      </w:r>
      <w:r w:rsidR="0012279C" w:rsidRPr="002815F4">
        <w:t>gold transiting through Senegal from other countries,</w:t>
      </w:r>
      <w:r w:rsidRPr="002815F4">
        <w:t xml:space="preserve"> as well as gold from ASM production.</w:t>
      </w:r>
      <w:r w:rsidR="0012279C" w:rsidRPr="002815F4">
        <w:t xml:space="preserve"> The national secretariat suggested that another source of data </w:t>
      </w:r>
      <w:r w:rsidR="007A6719" w:rsidRPr="002815F4">
        <w:t>included</w:t>
      </w:r>
      <w:r w:rsidR="0012279C" w:rsidRPr="002815F4">
        <w:t xml:space="preserve"> websites </w:t>
      </w:r>
      <w:r w:rsidR="007A6719" w:rsidRPr="002815F4">
        <w:t xml:space="preserve">such as </w:t>
      </w:r>
      <w:r w:rsidR="0012279C" w:rsidRPr="002815F4">
        <w:t>Switzerland</w:t>
      </w:r>
      <w:r w:rsidR="007A6719" w:rsidRPr="002815F4">
        <w:t>’s customs</w:t>
      </w:r>
      <w:r w:rsidR="007A6719" w:rsidRPr="002815F4">
        <w:rPr>
          <w:rStyle w:val="FootnoteReference"/>
        </w:rPr>
        <w:footnoteReference w:id="61"/>
      </w:r>
      <w:r w:rsidR="0012279C" w:rsidRPr="002815F4">
        <w:t xml:space="preserve"> on their </w:t>
      </w:r>
      <w:r w:rsidR="007A6719" w:rsidRPr="002815F4">
        <w:t xml:space="preserve">gold </w:t>
      </w:r>
      <w:r w:rsidR="0012279C" w:rsidRPr="002815F4">
        <w:t xml:space="preserve">imports from Senegal. </w:t>
      </w:r>
      <w:r w:rsidRPr="002815F4">
        <w:t xml:space="preserve">They noted </w:t>
      </w:r>
      <w:r w:rsidRPr="002815F4">
        <w:lastRenderedPageBreak/>
        <w:t>that the difference in phosphate export</w:t>
      </w:r>
      <w:r w:rsidR="005A308C" w:rsidRPr="002815F4">
        <w:t xml:space="preserve"> </w:t>
      </w:r>
      <w:r w:rsidRPr="002815F4">
        <w:t xml:space="preserve">values </w:t>
      </w:r>
      <w:r w:rsidR="007A6719" w:rsidRPr="002815F4">
        <w:t>was</w:t>
      </w:r>
      <w:r w:rsidR="0012279C" w:rsidRPr="002815F4">
        <w:t xml:space="preserve"> due to the fact that the </w:t>
      </w:r>
      <w:r w:rsidR="00D9109C" w:rsidRPr="002815F4">
        <w:t>national statistics</w:t>
      </w:r>
      <w:r w:rsidR="0012279C" w:rsidRPr="002815F4">
        <w:t xml:space="preserve"> </w:t>
      </w:r>
      <w:r w:rsidR="00D9109C" w:rsidRPr="002815F4">
        <w:t>include</w:t>
      </w:r>
      <w:r w:rsidR="007A6719" w:rsidRPr="002815F4">
        <w:t>d</w:t>
      </w:r>
      <w:r w:rsidR="00D9109C" w:rsidRPr="002815F4">
        <w:t xml:space="preserve"> </w:t>
      </w:r>
      <w:r w:rsidR="007A6719" w:rsidRPr="002815F4">
        <w:t xml:space="preserve">raw phosphates and </w:t>
      </w:r>
      <w:r w:rsidR="00D9109C" w:rsidRPr="002815F4">
        <w:t xml:space="preserve">refined </w:t>
      </w:r>
      <w:r w:rsidR="007A6719" w:rsidRPr="002815F4">
        <w:t>phosphoric acid exports</w:t>
      </w:r>
      <w:r w:rsidR="0012279C" w:rsidRPr="002815F4">
        <w:t xml:space="preserve">. </w:t>
      </w:r>
      <w:r w:rsidR="005A308C" w:rsidRPr="002815F4">
        <w:t xml:space="preserve">Civil society did not express any reservations on the quality of export data in the EITI </w:t>
      </w:r>
      <w:r w:rsidR="007A6719" w:rsidRPr="002815F4">
        <w:t>R</w:t>
      </w:r>
      <w:r w:rsidR="005A308C" w:rsidRPr="002815F4">
        <w:t>eport.</w:t>
      </w:r>
    </w:p>
    <w:p w14:paraId="69A57AC5" w14:textId="422E62B2" w:rsidR="00597FC5" w:rsidRPr="002815F4" w:rsidRDefault="00675030" w:rsidP="009B3E66">
      <w:pPr>
        <w:pStyle w:val="Heading3"/>
      </w:pPr>
      <w:bookmarkStart w:id="221" w:name="_Toc459133133"/>
      <w:bookmarkStart w:id="222" w:name="_Toc461803082"/>
      <w:r w:rsidRPr="002815F4">
        <w:t>Initial assessment</w:t>
      </w:r>
      <w:bookmarkEnd w:id="221"/>
      <w:bookmarkEnd w:id="222"/>
    </w:p>
    <w:p w14:paraId="63585469" w14:textId="12749FB5" w:rsidR="00405360" w:rsidRPr="002815F4" w:rsidRDefault="00675030" w:rsidP="00405360">
      <w:pPr>
        <w:spacing w:before="120"/>
        <w:rPr>
          <w:rFonts w:ascii="Calibri" w:hAnsi="Calibri"/>
        </w:rPr>
      </w:pPr>
      <w:r w:rsidRPr="002815F4">
        <w:rPr>
          <w:rFonts w:ascii="Calibri" w:hAnsi="Calibri"/>
        </w:rPr>
        <w:t xml:space="preserve">The International Secretariat’s initial assessment is that </w:t>
      </w:r>
      <w:r w:rsidR="00946110" w:rsidRPr="002815F4">
        <w:rPr>
          <w:rFonts w:ascii="Calibri" w:hAnsi="Calibri"/>
          <w:bCs/>
        </w:rPr>
        <w:t>Senegal</w:t>
      </w:r>
      <w:r w:rsidR="00946110" w:rsidRPr="002815F4">
        <w:rPr>
          <w:rFonts w:ascii="Calibri" w:hAnsi="Calibri"/>
        </w:rPr>
        <w:t xml:space="preserve"> </w:t>
      </w:r>
      <w:r w:rsidRPr="002815F4">
        <w:rPr>
          <w:rFonts w:ascii="Calibri" w:hAnsi="Calibri"/>
        </w:rPr>
        <w:t xml:space="preserve">has made </w:t>
      </w:r>
      <w:r w:rsidR="00D9109C" w:rsidRPr="002815F4">
        <w:rPr>
          <w:rFonts w:ascii="Calibri" w:hAnsi="Calibri"/>
          <w:bCs/>
        </w:rPr>
        <w:t>satisfactory</w:t>
      </w:r>
      <w:r w:rsidR="00D9109C" w:rsidRPr="002815F4">
        <w:rPr>
          <w:rFonts w:ascii="Calibri" w:hAnsi="Calibri"/>
          <w:b/>
          <w:bCs/>
        </w:rPr>
        <w:t xml:space="preserve"> </w:t>
      </w:r>
      <w:r w:rsidRPr="002815F4">
        <w:rPr>
          <w:rFonts w:ascii="Calibri" w:hAnsi="Calibri"/>
        </w:rPr>
        <w:t xml:space="preserve">progress in meeting this </w:t>
      </w:r>
      <w:commentRangeStart w:id="223"/>
      <w:r w:rsidRPr="002815F4">
        <w:rPr>
          <w:rFonts w:ascii="Calibri" w:hAnsi="Calibri"/>
        </w:rPr>
        <w:t>requirement</w:t>
      </w:r>
      <w:commentRangeEnd w:id="223"/>
      <w:r w:rsidR="00D27A59">
        <w:rPr>
          <w:rStyle w:val="CommentReference"/>
          <w:szCs w:val="20"/>
        </w:rPr>
        <w:commentReference w:id="223"/>
      </w:r>
      <w:r w:rsidRPr="002815F4">
        <w:rPr>
          <w:rFonts w:ascii="Calibri" w:hAnsi="Calibri"/>
        </w:rPr>
        <w:t xml:space="preserve">. </w:t>
      </w:r>
      <w:r w:rsidR="00813162" w:rsidRPr="002815F4">
        <w:rPr>
          <w:rFonts w:ascii="Calibri" w:hAnsi="Calibri"/>
        </w:rPr>
        <w:t>The 2014 EITI Report provides export volumes and values for all ten minerals exported from Senegal in 2014, although the sourcing of reported data from companies’ EITI disclosures and the significant discrepancies with official government data</w:t>
      </w:r>
      <w:r w:rsidR="00E94BA5" w:rsidRPr="002815F4">
        <w:rPr>
          <w:rFonts w:ascii="Calibri" w:hAnsi="Calibri"/>
        </w:rPr>
        <w:t xml:space="preserve"> raise significant questions regarding the comprehensiveness and reliability of data reported. </w:t>
      </w:r>
    </w:p>
    <w:p w14:paraId="26EC29E4" w14:textId="49CDDD06" w:rsidR="00E94BA5" w:rsidRPr="002815F4" w:rsidRDefault="00E94BA5" w:rsidP="00405360">
      <w:pPr>
        <w:spacing w:before="120"/>
        <w:rPr>
          <w:rFonts w:ascii="Calibri" w:hAnsi="Calibri"/>
        </w:rPr>
      </w:pPr>
      <w:r w:rsidRPr="002815F4">
        <w:rPr>
          <w:rFonts w:ascii="Calibri" w:hAnsi="Calibri"/>
        </w:rPr>
        <w:t xml:space="preserve">To strengthen implementation, the MSG </w:t>
      </w:r>
      <w:r w:rsidR="0019528D" w:rsidRPr="002815F4">
        <w:rPr>
          <w:rFonts w:ascii="Calibri" w:hAnsi="Calibri"/>
        </w:rPr>
        <w:t xml:space="preserve">is encouraged to </w:t>
      </w:r>
      <w:r w:rsidR="00D9109C" w:rsidRPr="002815F4">
        <w:rPr>
          <w:rFonts w:ascii="Calibri" w:hAnsi="Calibri"/>
        </w:rPr>
        <w:t>clarify the differences in export figures between companies’ EITI disclosures and official government data.</w:t>
      </w:r>
    </w:p>
    <w:p w14:paraId="3F6B5368" w14:textId="57AD00C2" w:rsidR="005A308C" w:rsidRPr="002815F4" w:rsidRDefault="005A308C" w:rsidP="00405360">
      <w:pPr>
        <w:spacing w:before="120"/>
        <w:rPr>
          <w:rFonts w:ascii="Calibri" w:hAnsi="Calibri"/>
        </w:rPr>
      </w:pPr>
    </w:p>
    <w:p w14:paraId="7FE1C478" w14:textId="6AE41636" w:rsidR="00675030" w:rsidRPr="002815F4" w:rsidRDefault="00045490" w:rsidP="00F97CA1">
      <w:pPr>
        <w:pStyle w:val="Caption"/>
        <w:rPr>
          <w:color w:val="000000"/>
        </w:rPr>
      </w:pPr>
      <w:r w:rsidRPr="002815F4">
        <w:rPr>
          <w:color w:val="000000"/>
        </w:rPr>
        <w:br w:type="column"/>
      </w:r>
      <w:bookmarkStart w:id="224" w:name="_Toc463537776"/>
      <w:bookmarkStart w:id="225" w:name="_Toc485385504"/>
      <w:r w:rsidRPr="002815F4">
        <w:lastRenderedPageBreak/>
        <w:t xml:space="preserve">Table </w:t>
      </w:r>
      <w:r w:rsidR="0002611B">
        <w:fldChar w:fldCharType="begin"/>
      </w:r>
      <w:r w:rsidR="0002611B">
        <w:instrText xml:space="preserve"> SEQ Table \* ARABIC </w:instrText>
      </w:r>
      <w:r w:rsidR="0002611B">
        <w:fldChar w:fldCharType="separate"/>
      </w:r>
      <w:r w:rsidR="0083320D" w:rsidRPr="002815F4">
        <w:rPr>
          <w:noProof/>
        </w:rPr>
        <w:t>3</w:t>
      </w:r>
      <w:r w:rsidR="0002611B">
        <w:rPr>
          <w:noProof/>
        </w:rPr>
        <w:fldChar w:fldCharType="end"/>
      </w:r>
      <w:r w:rsidRPr="002815F4">
        <w:t xml:space="preserve">- </w:t>
      </w:r>
      <w:r w:rsidR="00675030" w:rsidRPr="002815F4">
        <w:rPr>
          <w:color w:val="000000"/>
        </w:rPr>
        <w:t xml:space="preserve"> </w:t>
      </w:r>
      <w:r w:rsidR="00675030" w:rsidRPr="002815F4">
        <w:rPr>
          <w:rFonts w:eastAsia="Calibri"/>
        </w:rPr>
        <w:t>Summary initial assessment table: Monitoring and production</w:t>
      </w:r>
      <w:bookmarkEnd w:id="224"/>
      <w:bookmarkEnd w:id="2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3605"/>
        <w:gridCol w:w="3223"/>
      </w:tblGrid>
      <w:tr w:rsidR="00FC3899" w:rsidRPr="002815F4" w14:paraId="720A2BDA" w14:textId="77777777" w:rsidTr="008C1A47">
        <w:trPr>
          <w:trHeight w:val="879"/>
        </w:trPr>
        <w:tc>
          <w:tcPr>
            <w:tcW w:w="2842" w:type="dxa"/>
            <w:shd w:val="clear" w:color="auto" w:fill="D9D9D9"/>
            <w:vAlign w:val="center"/>
          </w:tcPr>
          <w:p w14:paraId="25182590" w14:textId="77777777" w:rsidR="00FC3899" w:rsidRPr="002815F4" w:rsidRDefault="00FC3899" w:rsidP="00E217A9">
            <w:pPr>
              <w:pStyle w:val="Tabletext"/>
              <w:rPr>
                <w:b/>
                <w:lang w:val="en-GB"/>
              </w:rPr>
            </w:pPr>
            <w:r w:rsidRPr="002815F4">
              <w:rPr>
                <w:b/>
                <w:lang w:val="en-GB"/>
              </w:rPr>
              <w:t>EITI provisions</w:t>
            </w:r>
          </w:p>
        </w:tc>
        <w:tc>
          <w:tcPr>
            <w:tcW w:w="3199" w:type="dxa"/>
            <w:shd w:val="clear" w:color="auto" w:fill="D9D9D9"/>
            <w:vAlign w:val="center"/>
          </w:tcPr>
          <w:p w14:paraId="2A65BF62" w14:textId="77777777" w:rsidR="00FC3899" w:rsidRPr="002815F4" w:rsidRDefault="00FC3899" w:rsidP="00E217A9">
            <w:pPr>
              <w:pStyle w:val="Tabletext"/>
              <w:rPr>
                <w:b/>
                <w:lang w:val="en-GB"/>
              </w:rPr>
            </w:pPr>
            <w:r w:rsidRPr="002815F4">
              <w:rPr>
                <w:b/>
                <w:lang w:val="en-GB"/>
              </w:rPr>
              <w:t>Summary of main findings</w:t>
            </w:r>
          </w:p>
        </w:tc>
        <w:tc>
          <w:tcPr>
            <w:tcW w:w="3336" w:type="dxa"/>
            <w:shd w:val="clear" w:color="auto" w:fill="D9D9D9"/>
            <w:vAlign w:val="center"/>
          </w:tcPr>
          <w:p w14:paraId="1C6BE3AD" w14:textId="621E86DB" w:rsidR="00FC3899" w:rsidRPr="002815F4" w:rsidRDefault="00FC3899" w:rsidP="00E217A9">
            <w:pPr>
              <w:pStyle w:val="Tabletext"/>
              <w:rPr>
                <w:b/>
                <w:lang w:val="en-GB"/>
              </w:rPr>
            </w:pPr>
            <w:r w:rsidRPr="002815F4">
              <w:rPr>
                <w:b/>
                <w:lang w:val="en-GB"/>
              </w:rPr>
              <w:t xml:space="preserve">International Secretariat’s initial assessment of progress with the EITI provisions </w:t>
            </w:r>
          </w:p>
        </w:tc>
      </w:tr>
      <w:tr w:rsidR="00675030" w:rsidRPr="002815F4" w14:paraId="44B21D36" w14:textId="77777777" w:rsidTr="00FC3899">
        <w:tc>
          <w:tcPr>
            <w:tcW w:w="2842" w:type="dxa"/>
            <w:shd w:val="clear" w:color="auto" w:fill="auto"/>
            <w:vAlign w:val="center"/>
          </w:tcPr>
          <w:p w14:paraId="133B38B7" w14:textId="09A374AD" w:rsidR="00675030" w:rsidRPr="002815F4" w:rsidRDefault="00675030" w:rsidP="00E217A9">
            <w:pPr>
              <w:pStyle w:val="Tabletext"/>
              <w:rPr>
                <w:lang w:val="en-GB"/>
              </w:rPr>
            </w:pPr>
            <w:r w:rsidRPr="002815F4">
              <w:rPr>
                <w:lang w:val="en-GB"/>
              </w:rPr>
              <w:t>Overview of the extractive sector, including exploration activities (#3.1)</w:t>
            </w:r>
          </w:p>
        </w:tc>
        <w:tc>
          <w:tcPr>
            <w:tcW w:w="3199" w:type="dxa"/>
            <w:shd w:val="clear" w:color="auto" w:fill="auto"/>
            <w:vAlign w:val="center"/>
          </w:tcPr>
          <w:p w14:paraId="17AF5FC8" w14:textId="65BF7EF4" w:rsidR="00675030" w:rsidRPr="002815F4" w:rsidRDefault="007A6719" w:rsidP="00E217A9">
            <w:pPr>
              <w:pStyle w:val="Tabletext"/>
              <w:rPr>
                <w:lang w:val="en-GB"/>
              </w:rPr>
            </w:pPr>
            <w:r w:rsidRPr="002815F4">
              <w:rPr>
                <w:lang w:val="en-GB"/>
              </w:rPr>
              <w:t>The 2014 EITI Report provides an overview of the extractives industries, including significant exploration activities.</w:t>
            </w:r>
          </w:p>
        </w:tc>
        <w:tc>
          <w:tcPr>
            <w:tcW w:w="3336" w:type="dxa"/>
            <w:vAlign w:val="center"/>
          </w:tcPr>
          <w:p w14:paraId="3DFA4191" w14:textId="75506700" w:rsidR="00675030" w:rsidRPr="002815F4" w:rsidRDefault="007A642B" w:rsidP="00E217A9">
            <w:pPr>
              <w:pStyle w:val="Tabletext"/>
              <w:rPr>
                <w:lang w:val="en-GB"/>
              </w:rPr>
            </w:pPr>
            <w:r w:rsidRPr="002815F4">
              <w:rPr>
                <w:lang w:val="en-GB"/>
              </w:rPr>
              <w:t>Satisfactory</w:t>
            </w:r>
            <w:r w:rsidR="00AE65B6">
              <w:rPr>
                <w:lang w:val="en-GB"/>
              </w:rPr>
              <w:t xml:space="preserve"> progress</w:t>
            </w:r>
          </w:p>
        </w:tc>
      </w:tr>
      <w:tr w:rsidR="00675030" w:rsidRPr="002815F4" w14:paraId="35F6E81A" w14:textId="77777777" w:rsidTr="008C1A47">
        <w:tc>
          <w:tcPr>
            <w:tcW w:w="2842" w:type="dxa"/>
            <w:shd w:val="clear" w:color="auto" w:fill="auto"/>
            <w:vAlign w:val="center"/>
          </w:tcPr>
          <w:p w14:paraId="001769AD" w14:textId="77777777" w:rsidR="00675030" w:rsidRPr="002815F4" w:rsidRDefault="00675030" w:rsidP="00E217A9">
            <w:pPr>
              <w:pStyle w:val="Tabletext"/>
              <w:rPr>
                <w:lang w:val="en-GB"/>
              </w:rPr>
            </w:pPr>
            <w:r w:rsidRPr="002815F4">
              <w:rPr>
                <w:lang w:val="en-GB"/>
              </w:rPr>
              <w:t>Production data (#3.2)</w:t>
            </w:r>
          </w:p>
        </w:tc>
        <w:tc>
          <w:tcPr>
            <w:tcW w:w="3199" w:type="dxa"/>
            <w:shd w:val="clear" w:color="auto" w:fill="auto"/>
            <w:vAlign w:val="center"/>
          </w:tcPr>
          <w:p w14:paraId="1D3DC926" w14:textId="4D715ED3" w:rsidR="00675030" w:rsidRPr="002815F4" w:rsidRDefault="007A6719" w:rsidP="00E217A9">
            <w:pPr>
              <w:pStyle w:val="Tabletext"/>
              <w:rPr>
                <w:lang w:val="en-GB"/>
              </w:rPr>
            </w:pPr>
            <w:r w:rsidRPr="002815F4">
              <w:rPr>
                <w:lang w:val="en-GB"/>
              </w:rPr>
              <w:t>The 2014 EITI Report provides production volumes for all 15 mineral commodities produced in Senegal in 2014, but not values (other than for natural gas). Given that reported production data is based on material companies’ EITI disclosures rather than on official data, the comprehensiveness of reported production data is unclear.</w:t>
            </w:r>
          </w:p>
        </w:tc>
        <w:tc>
          <w:tcPr>
            <w:tcW w:w="3336" w:type="dxa"/>
            <w:vAlign w:val="center"/>
          </w:tcPr>
          <w:p w14:paraId="665A6C3A" w14:textId="0E6DA803" w:rsidR="00675030" w:rsidRPr="002815F4" w:rsidRDefault="007A642B" w:rsidP="00E217A9">
            <w:pPr>
              <w:pStyle w:val="Tabletext"/>
              <w:rPr>
                <w:lang w:val="en-GB"/>
              </w:rPr>
            </w:pPr>
            <w:r w:rsidRPr="002815F4">
              <w:rPr>
                <w:lang w:val="en-GB"/>
              </w:rPr>
              <w:t>Meaningful</w:t>
            </w:r>
            <w:r w:rsidR="00AE65B6">
              <w:rPr>
                <w:lang w:val="en-GB"/>
              </w:rPr>
              <w:t xml:space="preserve"> progress</w:t>
            </w:r>
          </w:p>
        </w:tc>
      </w:tr>
      <w:tr w:rsidR="00675030" w:rsidRPr="002815F4" w14:paraId="1AC92263" w14:textId="77777777" w:rsidTr="008C1A47">
        <w:tc>
          <w:tcPr>
            <w:tcW w:w="2842" w:type="dxa"/>
            <w:shd w:val="clear" w:color="auto" w:fill="auto"/>
            <w:vAlign w:val="center"/>
          </w:tcPr>
          <w:p w14:paraId="5C331106" w14:textId="77777777" w:rsidR="00675030" w:rsidRPr="002815F4" w:rsidRDefault="00675030" w:rsidP="00E217A9">
            <w:pPr>
              <w:pStyle w:val="Tabletext"/>
              <w:rPr>
                <w:lang w:val="en-GB"/>
              </w:rPr>
            </w:pPr>
            <w:r w:rsidRPr="002815F4">
              <w:rPr>
                <w:lang w:val="en-GB"/>
              </w:rPr>
              <w:t>Export data (#3.3)</w:t>
            </w:r>
          </w:p>
        </w:tc>
        <w:tc>
          <w:tcPr>
            <w:tcW w:w="3199" w:type="dxa"/>
            <w:shd w:val="clear" w:color="auto" w:fill="auto"/>
            <w:vAlign w:val="center"/>
          </w:tcPr>
          <w:p w14:paraId="2E20FC61" w14:textId="000B1ECF" w:rsidR="00675030" w:rsidRPr="002815F4" w:rsidRDefault="007A6719" w:rsidP="00E217A9">
            <w:pPr>
              <w:pStyle w:val="Tabletext"/>
              <w:rPr>
                <w:lang w:val="en-GB"/>
              </w:rPr>
            </w:pPr>
            <w:r w:rsidRPr="002815F4">
              <w:rPr>
                <w:lang w:val="en-GB"/>
              </w:rPr>
              <w:t>The 2014 EITI Report provides export volumes and values for all ten minerals exported from Senegal in 2014, although the sourcing of reported data from companies’ EITI disclosures and the significant discrepancies with official government data raise significant questions regarding the comprehensiveness and reliability of data reported.</w:t>
            </w:r>
          </w:p>
        </w:tc>
        <w:tc>
          <w:tcPr>
            <w:tcW w:w="3336" w:type="dxa"/>
            <w:vAlign w:val="center"/>
          </w:tcPr>
          <w:p w14:paraId="427EEFFA" w14:textId="20519351" w:rsidR="00675030" w:rsidRPr="002815F4" w:rsidRDefault="00D9109C" w:rsidP="00E217A9">
            <w:pPr>
              <w:pStyle w:val="Tabletext"/>
              <w:rPr>
                <w:lang w:val="en-GB"/>
              </w:rPr>
            </w:pPr>
            <w:r w:rsidRPr="002815F4">
              <w:rPr>
                <w:lang w:val="en-GB"/>
              </w:rPr>
              <w:t>Satisfactory</w:t>
            </w:r>
            <w:r w:rsidR="00AE65B6">
              <w:rPr>
                <w:lang w:val="en-GB"/>
              </w:rPr>
              <w:t xml:space="preserve"> progress</w:t>
            </w:r>
          </w:p>
        </w:tc>
      </w:tr>
      <w:tr w:rsidR="00675030" w:rsidRPr="002815F4" w14:paraId="0B3315C8" w14:textId="77777777" w:rsidTr="008C1A47">
        <w:tc>
          <w:tcPr>
            <w:tcW w:w="0" w:type="auto"/>
            <w:gridSpan w:val="3"/>
            <w:shd w:val="clear" w:color="auto" w:fill="FFFFFF"/>
            <w:vAlign w:val="center"/>
          </w:tcPr>
          <w:p w14:paraId="3138FE44" w14:textId="1D96C38A" w:rsidR="00675030" w:rsidRPr="00E2507C" w:rsidRDefault="008C1A47" w:rsidP="00E217A9">
            <w:pPr>
              <w:pStyle w:val="Tabletext"/>
              <w:rPr>
                <w:b/>
                <w:lang w:val="en-GB"/>
              </w:rPr>
            </w:pPr>
            <w:r w:rsidRPr="00E2507C">
              <w:rPr>
                <w:b/>
                <w:lang w:val="en-GB"/>
              </w:rPr>
              <w:t xml:space="preserve">Secretariat’s </w:t>
            </w:r>
            <w:r w:rsidR="00675030" w:rsidRPr="00E2507C">
              <w:rPr>
                <w:b/>
                <w:lang w:val="en-GB"/>
              </w:rPr>
              <w:t>recommendations:</w:t>
            </w:r>
          </w:p>
          <w:p w14:paraId="148BAF2D" w14:textId="541654E2" w:rsidR="00240C0D" w:rsidRPr="004158A2" w:rsidRDefault="007A6719" w:rsidP="00E2507C">
            <w:pPr>
              <w:pStyle w:val="ListParagraph"/>
              <w:numPr>
                <w:ilvl w:val="0"/>
                <w:numId w:val="70"/>
              </w:numPr>
              <w:rPr>
                <w:rFonts w:eastAsia="Calibri"/>
              </w:rPr>
            </w:pPr>
            <w:r w:rsidRPr="002815F4">
              <w:t>To strengthen implementation, the MSG should disclose production data for the fiscal year covered by the EITI Report, including total production volumes and the value of production by commodity, and, when relevant, by state/region. This could include sources of the production data and information on how the production volumes and values disclosed in the EITI Report have been calculated.</w:t>
            </w:r>
            <w:r w:rsidRPr="002815F4" w:rsidDel="007A6719">
              <w:t xml:space="preserve"> </w:t>
            </w:r>
          </w:p>
          <w:p w14:paraId="2B237B04" w14:textId="27FC5174" w:rsidR="00675030" w:rsidRPr="004158A2" w:rsidRDefault="007A6719" w:rsidP="00E2507C">
            <w:pPr>
              <w:pStyle w:val="ListParagraph"/>
              <w:numPr>
                <w:ilvl w:val="0"/>
                <w:numId w:val="70"/>
              </w:numPr>
              <w:rPr>
                <w:rFonts w:eastAsia="Calibri"/>
              </w:rPr>
            </w:pPr>
            <w:r w:rsidRPr="002815F4">
              <w:t>To strengthen implementation, the MSG is encouraged to clarify the differences in export figures between companies’ EITI disclosures and official government data.</w:t>
            </w:r>
            <w:r w:rsidRPr="002815F4" w:rsidDel="007A6719">
              <w:t xml:space="preserve"> </w:t>
            </w:r>
          </w:p>
        </w:tc>
      </w:tr>
    </w:tbl>
    <w:p w14:paraId="7C1E0EBC" w14:textId="77777777" w:rsidR="00045490" w:rsidRPr="002815F4" w:rsidRDefault="00045490" w:rsidP="009B3E66">
      <w:pPr>
        <w:pStyle w:val="Heading2"/>
      </w:pPr>
      <w:bookmarkStart w:id="226" w:name="_Toc461796629"/>
      <w:bookmarkStart w:id="227" w:name="_Toc461803083"/>
      <w:bookmarkStart w:id="228" w:name="_Toc461786601"/>
      <w:bookmarkStart w:id="229" w:name="_Toc461787172"/>
      <w:bookmarkStart w:id="230" w:name="_Toc461787337"/>
      <w:bookmarkStart w:id="231" w:name="_Toc461792499"/>
      <w:bookmarkStart w:id="232" w:name="_Toc461792572"/>
      <w:bookmarkStart w:id="233" w:name="_Toc461792650"/>
      <w:bookmarkStart w:id="234" w:name="_Toc461795849"/>
      <w:bookmarkStart w:id="235" w:name="_Toc461816222"/>
      <w:bookmarkStart w:id="236" w:name="_Toc461808559"/>
      <w:bookmarkStart w:id="237" w:name="_Toc459133134"/>
      <w:bookmarkStart w:id="238" w:name="_Toc461803084"/>
      <w:bookmarkStart w:id="239" w:name="_Toc461787338"/>
      <w:bookmarkStart w:id="240" w:name="_Toc461795850"/>
      <w:bookmarkStart w:id="241" w:name="_Toc462149189"/>
      <w:bookmarkStart w:id="242" w:name="_Toc459133135"/>
      <w:bookmarkEnd w:id="226"/>
      <w:bookmarkEnd w:id="227"/>
      <w:bookmarkEnd w:id="228"/>
      <w:bookmarkEnd w:id="229"/>
      <w:bookmarkEnd w:id="230"/>
      <w:bookmarkEnd w:id="231"/>
      <w:bookmarkEnd w:id="232"/>
      <w:bookmarkEnd w:id="233"/>
      <w:bookmarkEnd w:id="234"/>
      <w:bookmarkEnd w:id="235"/>
      <w:bookmarkEnd w:id="236"/>
    </w:p>
    <w:p w14:paraId="2D498647" w14:textId="77777777" w:rsidR="00045490" w:rsidRPr="002815F4" w:rsidRDefault="00045490">
      <w:pPr>
        <w:widowControl/>
        <w:suppressAutoHyphens w:val="0"/>
        <w:spacing w:after="0" w:line="240" w:lineRule="auto"/>
        <w:rPr>
          <w:rFonts w:ascii="Calibri" w:hAnsi="Calibri"/>
          <w:b/>
          <w:bCs/>
          <w:color w:val="4F81BD"/>
          <w:sz w:val="28"/>
          <w:szCs w:val="26"/>
        </w:rPr>
      </w:pPr>
      <w:r w:rsidRPr="002815F4">
        <w:rPr>
          <w:rFonts w:ascii="Calibri" w:hAnsi="Calibri"/>
        </w:rPr>
        <w:br w:type="page"/>
      </w:r>
    </w:p>
    <w:p w14:paraId="61FB878A" w14:textId="187B0AE6" w:rsidR="000722F1" w:rsidRPr="002815F4" w:rsidRDefault="00E91ADB" w:rsidP="009B3E66">
      <w:pPr>
        <w:pStyle w:val="Heading2"/>
      </w:pPr>
      <w:r w:rsidRPr="002815F4">
        <w:lastRenderedPageBreak/>
        <w:t xml:space="preserve">4. </w:t>
      </w:r>
      <w:r w:rsidR="000722F1" w:rsidRPr="002815F4">
        <w:t>Revenue collection</w:t>
      </w:r>
      <w:bookmarkEnd w:id="237"/>
      <w:bookmarkEnd w:id="238"/>
      <w:bookmarkEnd w:id="239"/>
      <w:bookmarkEnd w:id="240"/>
      <w:bookmarkEnd w:id="241"/>
      <w:r w:rsidR="000722F1" w:rsidRPr="002815F4">
        <w:t xml:space="preserve"> </w:t>
      </w:r>
    </w:p>
    <w:p w14:paraId="30050D7B" w14:textId="04EB86F0" w:rsidR="006056F7" w:rsidRPr="002815F4" w:rsidRDefault="00E91ADB" w:rsidP="009B3E66">
      <w:pPr>
        <w:pStyle w:val="Heading2notindexed"/>
      </w:pPr>
      <w:bookmarkStart w:id="243" w:name="_Toc461803085"/>
      <w:bookmarkStart w:id="244" w:name="_Toc461787339"/>
      <w:bookmarkStart w:id="245" w:name="_Toc461795851"/>
      <w:r w:rsidRPr="002815F4">
        <w:t xml:space="preserve">4.1 </w:t>
      </w:r>
      <w:r w:rsidR="000722F1" w:rsidRPr="002815F4">
        <w:t>Overview</w:t>
      </w:r>
      <w:bookmarkEnd w:id="242"/>
      <w:bookmarkEnd w:id="243"/>
      <w:bookmarkEnd w:id="244"/>
      <w:bookmarkEnd w:id="245"/>
    </w:p>
    <w:p w14:paraId="472332B9" w14:textId="00DA7EC5" w:rsidR="000722F1" w:rsidRPr="002815F4" w:rsidRDefault="006056F7" w:rsidP="000722F1">
      <w:pPr>
        <w:spacing w:before="120"/>
        <w:rPr>
          <w:rFonts w:ascii="Calibri" w:hAnsi="Calibri"/>
        </w:rPr>
      </w:pPr>
      <w:r w:rsidRPr="002815F4">
        <w:rPr>
          <w:rFonts w:ascii="Calibri" w:hAnsi="Calibri"/>
        </w:rPr>
        <w:t>This section provides details on the implementation of the EITI requirements related to revenue transparency, including the comprehensiveness, quality and level of detail disclosed. It also considers compliance with the EITI Requirements related to procedures for producing EITI Reports.</w:t>
      </w:r>
    </w:p>
    <w:p w14:paraId="2C5DCAFC" w14:textId="3CA26FE6" w:rsidR="000722F1" w:rsidRPr="002815F4" w:rsidRDefault="00E91ADB" w:rsidP="009B3E66">
      <w:pPr>
        <w:pStyle w:val="Heading2notindexed"/>
      </w:pPr>
      <w:bookmarkStart w:id="246" w:name="_Toc459133136"/>
      <w:bookmarkStart w:id="247" w:name="_Toc461803086"/>
      <w:bookmarkStart w:id="248" w:name="_Toc461787340"/>
      <w:bookmarkStart w:id="249" w:name="_Toc461795852"/>
      <w:r w:rsidRPr="002815F4">
        <w:t xml:space="preserve">4.2 </w:t>
      </w:r>
      <w:r w:rsidR="000722F1" w:rsidRPr="002815F4">
        <w:t>Assessment</w:t>
      </w:r>
      <w:bookmarkEnd w:id="246"/>
      <w:bookmarkEnd w:id="247"/>
      <w:bookmarkEnd w:id="248"/>
      <w:bookmarkEnd w:id="249"/>
    </w:p>
    <w:p w14:paraId="26F4ECB0" w14:textId="64A381BA" w:rsidR="000722F1" w:rsidRPr="002815F4" w:rsidRDefault="003D5730" w:rsidP="009B3E66">
      <w:pPr>
        <w:pStyle w:val="Heading2"/>
      </w:pPr>
      <w:bookmarkStart w:id="250" w:name="_Toc459133137"/>
      <w:bookmarkStart w:id="251" w:name="_Toc461803087"/>
      <w:bookmarkStart w:id="252" w:name="_Toc461787341"/>
      <w:bookmarkStart w:id="253" w:name="_Toc461795853"/>
      <w:bookmarkStart w:id="254" w:name="_Toc462149190"/>
      <w:r w:rsidRPr="002815F4">
        <w:t>Materiality</w:t>
      </w:r>
      <w:r w:rsidR="00B32C5D" w:rsidRPr="002815F4">
        <w:t xml:space="preserve"> (#4.1</w:t>
      </w:r>
      <w:r w:rsidR="000722F1" w:rsidRPr="002815F4">
        <w:t>)</w:t>
      </w:r>
      <w:bookmarkEnd w:id="250"/>
      <w:bookmarkEnd w:id="251"/>
      <w:bookmarkEnd w:id="252"/>
      <w:bookmarkEnd w:id="253"/>
      <w:bookmarkEnd w:id="254"/>
    </w:p>
    <w:p w14:paraId="13B9B3FD" w14:textId="63D7DDC1" w:rsidR="00240C0D" w:rsidRPr="002815F4" w:rsidRDefault="00533AAF" w:rsidP="009B3E66">
      <w:pPr>
        <w:pStyle w:val="Heading3"/>
      </w:pPr>
      <w:r w:rsidRPr="002815F4">
        <w:t xml:space="preserve">Documentation of progress </w:t>
      </w:r>
    </w:p>
    <w:p w14:paraId="7FB05799" w14:textId="036FDB1C" w:rsidR="00C84F97" w:rsidRPr="002815F4" w:rsidRDefault="00C84F97" w:rsidP="00C8623E">
      <w:pPr>
        <w:spacing w:before="120"/>
        <w:rPr>
          <w:rFonts w:ascii="Calibri" w:hAnsi="Calibri"/>
        </w:rPr>
      </w:pPr>
      <w:r w:rsidRPr="002815F4">
        <w:rPr>
          <w:rFonts w:ascii="Calibri" w:hAnsi="Calibri"/>
        </w:rPr>
        <w:t xml:space="preserve">The </w:t>
      </w:r>
      <w:r w:rsidR="00611329" w:rsidRPr="002815F4">
        <w:rPr>
          <w:rFonts w:ascii="Calibri" w:hAnsi="Calibri"/>
        </w:rPr>
        <w:t xml:space="preserve">MSG’s </w:t>
      </w:r>
      <w:r w:rsidRPr="002815F4">
        <w:rPr>
          <w:rFonts w:ascii="Calibri" w:hAnsi="Calibri"/>
        </w:rPr>
        <w:t xml:space="preserve">annual process </w:t>
      </w:r>
      <w:r w:rsidR="00611329" w:rsidRPr="002815F4">
        <w:rPr>
          <w:rFonts w:ascii="Calibri" w:hAnsi="Calibri"/>
        </w:rPr>
        <w:t xml:space="preserve">for </w:t>
      </w:r>
      <w:r w:rsidRPr="002815F4">
        <w:rPr>
          <w:rFonts w:ascii="Calibri" w:hAnsi="Calibri"/>
        </w:rPr>
        <w:t>agree</w:t>
      </w:r>
      <w:r w:rsidR="00611329" w:rsidRPr="002815F4">
        <w:rPr>
          <w:rFonts w:ascii="Calibri" w:hAnsi="Calibri"/>
        </w:rPr>
        <w:t>ing</w:t>
      </w:r>
      <w:r w:rsidRPr="002815F4">
        <w:rPr>
          <w:rFonts w:ascii="Calibri" w:hAnsi="Calibri"/>
        </w:rPr>
        <w:t xml:space="preserve"> materiality thresholds for revenue streams and companies </w:t>
      </w:r>
      <w:r w:rsidR="00611329" w:rsidRPr="002815F4">
        <w:rPr>
          <w:rFonts w:ascii="Calibri" w:hAnsi="Calibri"/>
        </w:rPr>
        <w:t xml:space="preserve">included in reconciliation </w:t>
      </w:r>
      <w:r w:rsidRPr="002815F4">
        <w:rPr>
          <w:rFonts w:ascii="Calibri" w:hAnsi="Calibri"/>
        </w:rPr>
        <w:t>has been highly participative and consultative</w:t>
      </w:r>
      <w:r w:rsidR="00E13F32" w:rsidRPr="002815F4">
        <w:rPr>
          <w:rFonts w:ascii="Calibri" w:hAnsi="Calibri"/>
        </w:rPr>
        <w:t>, based on analysis of MSG meeting minutes and EITI Senegal press releases</w:t>
      </w:r>
      <w:r w:rsidRPr="002815F4">
        <w:rPr>
          <w:rFonts w:ascii="Calibri" w:hAnsi="Calibri"/>
        </w:rPr>
        <w:t xml:space="preserve">. The results of the MSG’s scoping decisions have been well circulated and published as press releases on the EITI website </w:t>
      </w:r>
      <w:sdt>
        <w:sdtPr>
          <w:rPr>
            <w:rFonts w:ascii="Calibri" w:hAnsi="Calibri"/>
          </w:rPr>
          <w:id w:val="-578284353"/>
          <w:citation/>
        </w:sdtPr>
        <w:sdtEndPr/>
        <w:sdtContent>
          <w:r w:rsidRPr="002815F4">
            <w:rPr>
              <w:rFonts w:ascii="Calibri" w:hAnsi="Calibri"/>
            </w:rPr>
            <w:fldChar w:fldCharType="begin"/>
          </w:r>
          <w:r w:rsidRPr="002815F4">
            <w:rPr>
              <w:rFonts w:ascii="Calibri" w:hAnsi="Calibri"/>
            </w:rPr>
            <w:instrText xml:space="preserve"> CITATION ITI1639 \l 1033 </w:instrText>
          </w:r>
          <w:r w:rsidRPr="002815F4">
            <w:rPr>
              <w:rFonts w:ascii="Calibri" w:hAnsi="Calibri"/>
            </w:rPr>
            <w:fldChar w:fldCharType="separate"/>
          </w:r>
          <w:r w:rsidR="003E626E" w:rsidRPr="002815F4">
            <w:rPr>
              <w:rFonts w:ascii="Calibri" w:hAnsi="Calibri"/>
              <w:noProof/>
            </w:rPr>
            <w:t>(ITIE Senegal, 2016)</w:t>
          </w:r>
          <w:r w:rsidRPr="002815F4">
            <w:rPr>
              <w:rFonts w:ascii="Calibri" w:hAnsi="Calibri"/>
            </w:rPr>
            <w:fldChar w:fldCharType="end"/>
          </w:r>
        </w:sdtContent>
      </w:sdt>
      <w:r w:rsidR="00505DFB" w:rsidRPr="002815F4">
        <w:rPr>
          <w:rFonts w:ascii="Calibri" w:hAnsi="Calibri"/>
        </w:rPr>
        <w:t>.</w:t>
      </w:r>
    </w:p>
    <w:p w14:paraId="08C7474D" w14:textId="6813B779" w:rsidR="00370F81" w:rsidRPr="002815F4" w:rsidRDefault="00533AAF" w:rsidP="00C8623E">
      <w:pPr>
        <w:spacing w:before="120"/>
        <w:rPr>
          <w:rFonts w:ascii="Calibri" w:hAnsi="Calibri"/>
        </w:rPr>
      </w:pPr>
      <w:r w:rsidRPr="002815F4">
        <w:rPr>
          <w:rFonts w:ascii="Calibri" w:hAnsi="Calibri"/>
          <w:i/>
          <w:u w:val="single"/>
        </w:rPr>
        <w:t>Materiality threshold for revenue streams</w:t>
      </w:r>
      <w:r w:rsidRPr="002815F4">
        <w:rPr>
          <w:rFonts w:ascii="Calibri" w:hAnsi="Calibri"/>
        </w:rPr>
        <w:t xml:space="preserve">: </w:t>
      </w:r>
      <w:r w:rsidR="005751BD" w:rsidRPr="002815F4">
        <w:rPr>
          <w:rFonts w:ascii="Calibri" w:hAnsi="Calibri"/>
        </w:rPr>
        <w:t>The 2014 EITI Report describes the MSG’s approach to defining the materiality threshold for selecting revenue streams for reconciliation</w:t>
      </w:r>
      <w:r w:rsidR="00B53726">
        <w:rPr>
          <w:rFonts w:ascii="Calibri" w:hAnsi="Calibri"/>
        </w:rPr>
        <w:t>,</w:t>
      </w:r>
      <w:r w:rsidR="005751BD" w:rsidRPr="002815F4">
        <w:rPr>
          <w:rFonts w:ascii="Calibri" w:hAnsi="Calibri"/>
        </w:rPr>
        <w:t xml:space="preserve"> based on </w:t>
      </w:r>
      <w:r w:rsidR="00000C8B" w:rsidRPr="002815F4">
        <w:rPr>
          <w:rFonts w:ascii="Calibri" w:hAnsi="Calibri"/>
        </w:rPr>
        <w:t xml:space="preserve">a reconciliation coverage </w:t>
      </w:r>
      <w:r w:rsidR="005F22A5" w:rsidRPr="002815F4">
        <w:rPr>
          <w:rFonts w:ascii="Calibri" w:hAnsi="Calibri"/>
        </w:rPr>
        <w:t xml:space="preserve">target </w:t>
      </w:r>
      <w:r w:rsidR="00000C8B" w:rsidRPr="002815F4">
        <w:rPr>
          <w:rFonts w:ascii="Calibri" w:hAnsi="Calibri"/>
        </w:rPr>
        <w:t>of 98</w:t>
      </w:r>
      <w:r w:rsidR="005751BD" w:rsidRPr="002815F4">
        <w:rPr>
          <w:rFonts w:ascii="Calibri" w:hAnsi="Calibri"/>
        </w:rPr>
        <w:t xml:space="preserve">% of government extractives revenues, the need to </w:t>
      </w:r>
      <w:r w:rsidR="00B53726">
        <w:rPr>
          <w:rFonts w:ascii="Calibri" w:hAnsi="Calibri"/>
        </w:rPr>
        <w:t xml:space="preserve">cover </w:t>
      </w:r>
      <w:r w:rsidR="005751BD" w:rsidRPr="002815F4">
        <w:rPr>
          <w:rFonts w:ascii="Calibri" w:hAnsi="Calibri"/>
        </w:rPr>
        <w:t>all revenue flows listed in Requirement 4.1.b</w:t>
      </w:r>
      <w:r w:rsidR="00B53726">
        <w:rPr>
          <w:rFonts w:ascii="Calibri" w:hAnsi="Calibri"/>
        </w:rPr>
        <w:t xml:space="preserve"> and </w:t>
      </w:r>
      <w:r w:rsidR="005751BD" w:rsidRPr="002815F4">
        <w:rPr>
          <w:rFonts w:ascii="Calibri" w:hAnsi="Calibri"/>
        </w:rPr>
        <w:t>all revenue flows reconciled in the 2013 EITI Report to ensure continuity</w:t>
      </w:r>
      <w:r w:rsidR="00B53726">
        <w:rPr>
          <w:rFonts w:ascii="Calibri" w:hAnsi="Calibri"/>
        </w:rPr>
        <w:t>,</w:t>
      </w:r>
      <w:r w:rsidR="005751BD" w:rsidRPr="002815F4">
        <w:rPr>
          <w:rFonts w:ascii="Calibri" w:hAnsi="Calibri"/>
        </w:rPr>
        <w:t xml:space="preserve"> and the </w:t>
      </w:r>
      <w:r w:rsidR="005F22A5" w:rsidRPr="002815F4">
        <w:rPr>
          <w:rFonts w:ascii="Calibri" w:hAnsi="Calibri"/>
        </w:rPr>
        <w:t xml:space="preserve">inclusion of </w:t>
      </w:r>
      <w:r w:rsidR="005751BD" w:rsidRPr="002815F4">
        <w:rPr>
          <w:rFonts w:ascii="Calibri" w:hAnsi="Calibri"/>
        </w:rPr>
        <w:t xml:space="preserve">any </w:t>
      </w:r>
      <w:r w:rsidR="005F22A5" w:rsidRPr="002815F4">
        <w:rPr>
          <w:rFonts w:ascii="Calibri" w:hAnsi="Calibri"/>
        </w:rPr>
        <w:t xml:space="preserve">“other </w:t>
      </w:r>
      <w:r w:rsidR="005751BD" w:rsidRPr="002815F4">
        <w:rPr>
          <w:rFonts w:ascii="Calibri" w:hAnsi="Calibri"/>
        </w:rPr>
        <w:t>payments</w:t>
      </w:r>
      <w:r w:rsidR="005F22A5" w:rsidRPr="002815F4">
        <w:rPr>
          <w:rFonts w:ascii="Calibri" w:hAnsi="Calibri"/>
        </w:rPr>
        <w:t>”</w:t>
      </w:r>
      <w:r w:rsidR="005751BD" w:rsidRPr="002815F4">
        <w:rPr>
          <w:rFonts w:ascii="Calibri" w:hAnsi="Calibri"/>
        </w:rPr>
        <w:t xml:space="preserve"> of more than XOF 25m (2014 EITI Report, p.17). </w:t>
      </w:r>
      <w:r w:rsidR="00BA7898" w:rsidRPr="002815F4">
        <w:rPr>
          <w:rFonts w:ascii="Calibri" w:hAnsi="Calibri"/>
        </w:rPr>
        <w:t xml:space="preserve">The report confirms that the MSG agreed a materiality threshold </w:t>
      </w:r>
      <w:r w:rsidR="005F22A5" w:rsidRPr="002815F4">
        <w:rPr>
          <w:rFonts w:ascii="Calibri" w:hAnsi="Calibri"/>
        </w:rPr>
        <w:t xml:space="preserve">of zero </w:t>
      </w:r>
      <w:r w:rsidR="00BA7898" w:rsidRPr="002815F4">
        <w:rPr>
          <w:rFonts w:ascii="Calibri" w:hAnsi="Calibri"/>
        </w:rPr>
        <w:t>for selecting material revenue streams in both mining and oil and gas (2014 EITI Report, p.17)</w:t>
      </w:r>
      <w:r w:rsidR="00B53726">
        <w:rPr>
          <w:rFonts w:ascii="Calibri" w:hAnsi="Calibri"/>
        </w:rPr>
        <w:t>,</w:t>
      </w:r>
      <w:r w:rsidR="00DF686B" w:rsidRPr="002815F4">
        <w:rPr>
          <w:rFonts w:ascii="Calibri" w:hAnsi="Calibri"/>
        </w:rPr>
        <w:t xml:space="preserve"> </w:t>
      </w:r>
      <w:r w:rsidR="00B53726">
        <w:rPr>
          <w:rFonts w:ascii="Calibri" w:hAnsi="Calibri"/>
        </w:rPr>
        <w:t xml:space="preserve">with all </w:t>
      </w:r>
      <w:r w:rsidR="00DF686B" w:rsidRPr="002815F4">
        <w:rPr>
          <w:rFonts w:ascii="Calibri" w:hAnsi="Calibri"/>
        </w:rPr>
        <w:t xml:space="preserve">revenue flows listed in Requirement 4.1.b </w:t>
      </w:r>
      <w:r w:rsidR="00B53726">
        <w:rPr>
          <w:rFonts w:ascii="Calibri" w:hAnsi="Calibri"/>
        </w:rPr>
        <w:t xml:space="preserve">included </w:t>
      </w:r>
      <w:r w:rsidR="00DF686B" w:rsidRPr="002815F4">
        <w:rPr>
          <w:rFonts w:ascii="Calibri" w:hAnsi="Calibri"/>
        </w:rPr>
        <w:t>(2014 EITI Report, pp.18-20)</w:t>
      </w:r>
      <w:r w:rsidR="00B53726">
        <w:rPr>
          <w:rFonts w:ascii="Calibri" w:hAnsi="Calibri"/>
        </w:rPr>
        <w:t>, notably</w:t>
      </w:r>
      <w:r w:rsidR="00370F81" w:rsidRPr="002815F4">
        <w:rPr>
          <w:rFonts w:ascii="Calibri" w:hAnsi="Calibri"/>
        </w:rPr>
        <w:t xml:space="preserve"> two signature bonuses paid in 2014 by AZ Petroleum and Rex Atlantic (2014 EITI Report, p.87).</w:t>
      </w:r>
    </w:p>
    <w:p w14:paraId="072E0891" w14:textId="4C3AFB47" w:rsidR="006B454A" w:rsidRPr="002815F4" w:rsidRDefault="006B454A" w:rsidP="00C8623E">
      <w:pPr>
        <w:spacing w:before="120"/>
        <w:rPr>
          <w:rFonts w:ascii="Calibri" w:hAnsi="Calibri"/>
        </w:rPr>
      </w:pPr>
      <w:r w:rsidRPr="002815F4">
        <w:rPr>
          <w:rFonts w:ascii="Calibri" w:hAnsi="Calibri"/>
        </w:rPr>
        <w:t xml:space="preserve">However, </w:t>
      </w:r>
      <w:r w:rsidR="00C51A96" w:rsidRPr="002815F4">
        <w:rPr>
          <w:rFonts w:ascii="Calibri" w:hAnsi="Calibri"/>
        </w:rPr>
        <w:t xml:space="preserve">the report notes the </w:t>
      </w:r>
      <w:r w:rsidR="002815F4" w:rsidRPr="002815F4">
        <w:rPr>
          <w:rFonts w:ascii="Calibri" w:hAnsi="Calibri"/>
        </w:rPr>
        <w:t>exclusion</w:t>
      </w:r>
      <w:r w:rsidR="00C51A96" w:rsidRPr="002815F4">
        <w:rPr>
          <w:rFonts w:ascii="Calibri" w:hAnsi="Calibri"/>
        </w:rPr>
        <w:t xml:space="preserve"> from reconciliation of </w:t>
      </w:r>
      <w:r w:rsidRPr="002815F4">
        <w:rPr>
          <w:rFonts w:ascii="Calibri" w:hAnsi="Calibri"/>
        </w:rPr>
        <w:t>a</w:t>
      </w:r>
      <w:r w:rsidR="006A414D" w:rsidRPr="002815F4">
        <w:rPr>
          <w:rFonts w:ascii="Calibri" w:hAnsi="Calibri"/>
        </w:rPr>
        <w:t xml:space="preserve"> XOF 49bn</w:t>
      </w:r>
      <w:r w:rsidRPr="002815F4">
        <w:rPr>
          <w:rFonts w:ascii="Calibri" w:hAnsi="Calibri"/>
        </w:rPr>
        <w:t xml:space="preserve"> “exceptional” payment from Mittal Steel Holding AG</w:t>
      </w:r>
      <w:r w:rsidR="006A414D" w:rsidRPr="002815F4">
        <w:rPr>
          <w:rFonts w:ascii="Calibri" w:hAnsi="Calibri"/>
        </w:rPr>
        <w:t>, paid</w:t>
      </w:r>
      <w:r w:rsidR="00C51A96" w:rsidRPr="002815F4">
        <w:rPr>
          <w:rFonts w:ascii="Calibri" w:hAnsi="Calibri"/>
        </w:rPr>
        <w:t xml:space="preserve"> as </w:t>
      </w:r>
      <w:r w:rsidR="00C7056E" w:rsidRPr="002815F4">
        <w:rPr>
          <w:rFonts w:ascii="Calibri" w:hAnsi="Calibri"/>
        </w:rPr>
        <w:t xml:space="preserve">a </w:t>
      </w:r>
      <w:r w:rsidR="006A414D" w:rsidRPr="002815F4">
        <w:rPr>
          <w:rFonts w:ascii="Calibri" w:hAnsi="Calibri"/>
        </w:rPr>
        <w:t xml:space="preserve">result of the resolution of its </w:t>
      </w:r>
      <w:r w:rsidR="00C7056E" w:rsidRPr="002815F4">
        <w:rPr>
          <w:rFonts w:ascii="Calibri" w:hAnsi="Calibri"/>
        </w:rPr>
        <w:t xml:space="preserve">dispute </w:t>
      </w:r>
      <w:r w:rsidR="00C51A96" w:rsidRPr="002815F4">
        <w:rPr>
          <w:rFonts w:ascii="Calibri" w:hAnsi="Calibri"/>
        </w:rPr>
        <w:t>(</w:t>
      </w:r>
      <w:r w:rsidR="00C51A96" w:rsidRPr="002815F4">
        <w:rPr>
          <w:rFonts w:ascii="Calibri" w:hAnsi="Calibri"/>
          <w:i/>
        </w:rPr>
        <w:t>resolution d’un contentieux</w:t>
      </w:r>
      <w:r w:rsidR="00C51A96" w:rsidRPr="002815F4">
        <w:rPr>
          <w:rFonts w:ascii="Calibri" w:hAnsi="Calibri"/>
        </w:rPr>
        <w:t>)</w:t>
      </w:r>
      <w:r w:rsidR="006A414D" w:rsidRPr="002815F4">
        <w:rPr>
          <w:rFonts w:ascii="Calibri" w:hAnsi="Calibri"/>
        </w:rPr>
        <w:t xml:space="preserve"> with the Government of Senegal</w:t>
      </w:r>
      <w:r w:rsidR="00C51A96" w:rsidRPr="002815F4">
        <w:rPr>
          <w:rFonts w:ascii="Calibri" w:hAnsi="Calibri"/>
        </w:rPr>
        <w:t xml:space="preserve">, but states that this payment was included in calculations of the total extractives contribution to budget in the 2014 EITI Report </w:t>
      </w:r>
      <w:r w:rsidRPr="002815F4">
        <w:rPr>
          <w:rFonts w:ascii="Calibri" w:hAnsi="Calibri"/>
        </w:rPr>
        <w:t xml:space="preserve">(2014 EITI Report, </w:t>
      </w:r>
      <w:r w:rsidR="00163D0A" w:rsidRPr="002815F4">
        <w:rPr>
          <w:rFonts w:ascii="Calibri" w:hAnsi="Calibri"/>
        </w:rPr>
        <w:t>p</w:t>
      </w:r>
      <w:r w:rsidRPr="002815F4">
        <w:rPr>
          <w:rFonts w:ascii="Calibri" w:hAnsi="Calibri"/>
        </w:rPr>
        <w:t>p.10</w:t>
      </w:r>
      <w:r w:rsidR="00C51A96" w:rsidRPr="002815F4">
        <w:rPr>
          <w:rFonts w:ascii="Calibri" w:hAnsi="Calibri"/>
        </w:rPr>
        <w:t>-11,</w:t>
      </w:r>
      <w:r w:rsidR="00E8595B" w:rsidRPr="002815F4">
        <w:rPr>
          <w:rFonts w:ascii="Calibri" w:hAnsi="Calibri"/>
        </w:rPr>
        <w:t>59</w:t>
      </w:r>
      <w:r w:rsidR="00163D0A" w:rsidRPr="002815F4">
        <w:rPr>
          <w:rFonts w:ascii="Calibri" w:hAnsi="Calibri"/>
        </w:rPr>
        <w:t>,65,110</w:t>
      </w:r>
      <w:r w:rsidRPr="002815F4">
        <w:rPr>
          <w:rFonts w:ascii="Calibri" w:hAnsi="Calibri"/>
        </w:rPr>
        <w:t xml:space="preserve">). </w:t>
      </w:r>
      <w:r w:rsidR="00163D0A" w:rsidRPr="002815F4">
        <w:rPr>
          <w:rFonts w:ascii="Calibri" w:hAnsi="Calibri"/>
        </w:rPr>
        <w:t>The Mittal payment is unilaterally disclosed by the Treasury (DGTCP) (2014 EITI Report, p</w:t>
      </w:r>
      <w:r w:rsidR="007B7BDA" w:rsidRPr="002815F4">
        <w:rPr>
          <w:rFonts w:ascii="Calibri" w:hAnsi="Calibri"/>
        </w:rPr>
        <w:t>p</w:t>
      </w:r>
      <w:r w:rsidR="00163D0A" w:rsidRPr="002815F4">
        <w:rPr>
          <w:rFonts w:ascii="Calibri" w:hAnsi="Calibri"/>
        </w:rPr>
        <w:t>.</w:t>
      </w:r>
      <w:r w:rsidR="007B7BDA" w:rsidRPr="002815F4">
        <w:rPr>
          <w:rFonts w:ascii="Calibri" w:hAnsi="Calibri"/>
        </w:rPr>
        <w:t>66,</w:t>
      </w:r>
      <w:r w:rsidR="00163D0A" w:rsidRPr="002815F4">
        <w:rPr>
          <w:rFonts w:ascii="Calibri" w:hAnsi="Calibri"/>
        </w:rPr>
        <w:t>110)</w:t>
      </w:r>
      <w:r w:rsidR="00B217D8" w:rsidRPr="002815F4">
        <w:rPr>
          <w:rFonts w:ascii="Calibri" w:hAnsi="Calibri"/>
        </w:rPr>
        <w:t xml:space="preserve"> and the Court of Counts certified the Treasury’s receipt of this payment on 20 August 2014 as part of its certification of government’s EITI reporting </w:t>
      </w:r>
      <w:sdt>
        <w:sdtPr>
          <w:rPr>
            <w:rFonts w:ascii="Calibri" w:hAnsi="Calibri"/>
          </w:rPr>
          <w:id w:val="-1694995005"/>
          <w:citation/>
        </w:sdtPr>
        <w:sdtEndPr/>
        <w:sdtContent>
          <w:r w:rsidR="00B217D8" w:rsidRPr="002815F4">
            <w:rPr>
              <w:rFonts w:ascii="Calibri" w:hAnsi="Calibri"/>
            </w:rPr>
            <w:fldChar w:fldCharType="begin"/>
          </w:r>
          <w:r w:rsidR="00B217D8" w:rsidRPr="002815F4">
            <w:rPr>
              <w:rFonts w:ascii="Calibri" w:hAnsi="Calibri"/>
            </w:rPr>
            <w:instrText xml:space="preserve">CITATION Cou16 \p 24 \l 1033 </w:instrText>
          </w:r>
          <w:r w:rsidR="00B217D8" w:rsidRPr="002815F4">
            <w:rPr>
              <w:rFonts w:ascii="Calibri" w:hAnsi="Calibri"/>
            </w:rPr>
            <w:fldChar w:fldCharType="separate"/>
          </w:r>
          <w:r w:rsidR="00B217D8" w:rsidRPr="002815F4">
            <w:rPr>
              <w:rFonts w:ascii="Calibri" w:hAnsi="Calibri"/>
              <w:noProof/>
            </w:rPr>
            <w:t>(Cour des Comptes, 2016, p. 24)</w:t>
          </w:r>
          <w:r w:rsidR="00B217D8" w:rsidRPr="002815F4">
            <w:rPr>
              <w:rFonts w:ascii="Calibri" w:hAnsi="Calibri"/>
            </w:rPr>
            <w:fldChar w:fldCharType="end"/>
          </w:r>
        </w:sdtContent>
      </w:sdt>
      <w:r w:rsidR="00163D0A" w:rsidRPr="002815F4">
        <w:rPr>
          <w:rFonts w:ascii="Calibri" w:hAnsi="Calibri"/>
        </w:rPr>
        <w:t>.</w:t>
      </w:r>
      <w:r w:rsidR="00740FEA" w:rsidRPr="002815F4">
        <w:rPr>
          <w:rFonts w:ascii="Calibri" w:hAnsi="Calibri"/>
        </w:rPr>
        <w:t xml:space="preserve"> While the 2014 EITI Report does not refer to Mittal’s reporting of its XOF 49bn payment to the Government of Senegal in 2014, </w:t>
      </w:r>
      <w:r w:rsidR="00DD3CF9" w:rsidRPr="002815F4">
        <w:rPr>
          <w:rFonts w:ascii="Calibri" w:hAnsi="Calibri"/>
        </w:rPr>
        <w:t>Arcelor</w:t>
      </w:r>
      <w:r w:rsidR="00740FEA" w:rsidRPr="002815F4">
        <w:rPr>
          <w:rFonts w:ascii="Calibri" w:hAnsi="Calibri"/>
        </w:rPr>
        <w:t>Mittal</w:t>
      </w:r>
      <w:r w:rsidR="00DD3CF9" w:rsidRPr="002815F4">
        <w:rPr>
          <w:rFonts w:ascii="Calibri" w:hAnsi="Calibri"/>
        </w:rPr>
        <w:t xml:space="preserve">’s consolidated group 2014 annual report, audited under IFRS, </w:t>
      </w:r>
      <w:r w:rsidR="00655D8B" w:rsidRPr="002815F4">
        <w:rPr>
          <w:rFonts w:ascii="Calibri" w:hAnsi="Calibri"/>
        </w:rPr>
        <w:t xml:space="preserve">show that the company provisioned for the </w:t>
      </w:r>
      <w:r w:rsidR="00DD3CF9" w:rsidRPr="002815F4">
        <w:rPr>
          <w:rFonts w:ascii="Calibri" w:hAnsi="Calibri"/>
        </w:rPr>
        <w:t>payment of USD 101m</w:t>
      </w:r>
      <w:r w:rsidR="004A485B" w:rsidRPr="002815F4">
        <w:rPr>
          <w:rStyle w:val="FootnoteReference"/>
          <w:rFonts w:ascii="Calibri" w:hAnsi="Calibri"/>
        </w:rPr>
        <w:footnoteReference w:id="62"/>
      </w:r>
      <w:r w:rsidR="00DD3CF9" w:rsidRPr="002815F4">
        <w:rPr>
          <w:rFonts w:ascii="Calibri" w:hAnsi="Calibri"/>
        </w:rPr>
        <w:t xml:space="preserve"> to the government </w:t>
      </w:r>
      <w:r w:rsidR="00655D8B" w:rsidRPr="002815F4">
        <w:rPr>
          <w:rFonts w:ascii="Calibri" w:hAnsi="Calibri"/>
        </w:rPr>
        <w:t xml:space="preserve">in its 2013 accounts </w:t>
      </w:r>
      <w:sdt>
        <w:sdtPr>
          <w:rPr>
            <w:rFonts w:ascii="Calibri" w:hAnsi="Calibri"/>
          </w:rPr>
          <w:id w:val="2031225756"/>
          <w:citation/>
        </w:sdtPr>
        <w:sdtEndPr/>
        <w:sdtContent>
          <w:r w:rsidR="00D62A50" w:rsidRPr="002815F4">
            <w:rPr>
              <w:rFonts w:ascii="Calibri" w:hAnsi="Calibri"/>
            </w:rPr>
            <w:fldChar w:fldCharType="begin"/>
          </w:r>
          <w:r w:rsidR="004A485B" w:rsidRPr="002815F4">
            <w:rPr>
              <w:rFonts w:ascii="Calibri" w:hAnsi="Calibri"/>
            </w:rPr>
            <w:instrText xml:space="preserve">CITATION Arc15 \p 18,20,90,128,151,198 \l 1033 </w:instrText>
          </w:r>
          <w:r w:rsidR="00D62A50" w:rsidRPr="002815F4">
            <w:rPr>
              <w:rFonts w:ascii="Calibri" w:hAnsi="Calibri"/>
            </w:rPr>
            <w:fldChar w:fldCharType="separate"/>
          </w:r>
          <w:r w:rsidR="004A485B" w:rsidRPr="002815F4">
            <w:rPr>
              <w:rFonts w:ascii="Calibri" w:hAnsi="Calibri"/>
              <w:noProof/>
            </w:rPr>
            <w:t>(ArcelorMittal, 2015, pp. 18,20,90,128,151,198)</w:t>
          </w:r>
          <w:r w:rsidR="00D62A50" w:rsidRPr="002815F4">
            <w:rPr>
              <w:rFonts w:ascii="Calibri" w:hAnsi="Calibri"/>
            </w:rPr>
            <w:fldChar w:fldCharType="end"/>
          </w:r>
        </w:sdtContent>
      </w:sdt>
      <w:r w:rsidR="004A485B" w:rsidRPr="002815F4">
        <w:rPr>
          <w:rFonts w:ascii="Calibri" w:hAnsi="Calibri"/>
        </w:rPr>
        <w:t xml:space="preserve">. </w:t>
      </w:r>
    </w:p>
    <w:p w14:paraId="54B12267" w14:textId="6E93D055" w:rsidR="00533AAF" w:rsidRPr="002815F4" w:rsidRDefault="00533AAF" w:rsidP="00533AAF">
      <w:pPr>
        <w:spacing w:before="120"/>
        <w:rPr>
          <w:rFonts w:ascii="Calibri" w:hAnsi="Calibri"/>
        </w:rPr>
      </w:pPr>
      <w:r w:rsidRPr="002815F4">
        <w:rPr>
          <w:rFonts w:ascii="Calibri" w:hAnsi="Calibri"/>
          <w:i/>
          <w:u w:val="single"/>
        </w:rPr>
        <w:lastRenderedPageBreak/>
        <w:t>Descriptions of material revenue streams</w:t>
      </w:r>
      <w:r w:rsidR="00BA7898" w:rsidRPr="002815F4">
        <w:rPr>
          <w:rFonts w:ascii="Calibri" w:hAnsi="Calibri"/>
        </w:rPr>
        <w:t>:</w:t>
      </w:r>
      <w:r w:rsidR="00BA7898" w:rsidRPr="002815F4">
        <w:rPr>
          <w:rFonts w:ascii="Calibri" w:hAnsi="Calibri"/>
          <w:i/>
          <w:u w:val="single"/>
        </w:rPr>
        <w:t xml:space="preserve"> </w:t>
      </w:r>
      <w:r w:rsidR="00BA7898" w:rsidRPr="002815F4">
        <w:rPr>
          <w:rFonts w:ascii="Calibri" w:hAnsi="Calibri"/>
        </w:rPr>
        <w:t xml:space="preserve">The 2014 EITI Report lists all material revenue streams (2014 EITI Report, pp.18-20) and provides descriptions of each (2014 EITI Report, pp.154-158). </w:t>
      </w:r>
    </w:p>
    <w:p w14:paraId="370EB360" w14:textId="193E5B82" w:rsidR="00C84F97" w:rsidRPr="002815F4" w:rsidRDefault="00533AAF" w:rsidP="00C8623E">
      <w:pPr>
        <w:rPr>
          <w:rFonts w:ascii="Calibri" w:hAnsi="Calibri"/>
        </w:rPr>
      </w:pPr>
      <w:r w:rsidRPr="002815F4">
        <w:rPr>
          <w:rFonts w:ascii="Calibri" w:hAnsi="Calibri"/>
          <w:i/>
          <w:u w:val="single"/>
        </w:rPr>
        <w:t>Materiality threshold for companies</w:t>
      </w:r>
      <w:r w:rsidRPr="002815F4">
        <w:rPr>
          <w:rFonts w:ascii="Calibri" w:hAnsi="Calibri"/>
        </w:rPr>
        <w:t xml:space="preserve">: </w:t>
      </w:r>
      <w:r w:rsidR="005751BD" w:rsidRPr="002815F4">
        <w:rPr>
          <w:rFonts w:ascii="Calibri" w:hAnsi="Calibri"/>
        </w:rPr>
        <w:t xml:space="preserve">The 2014 EITI Report </w:t>
      </w:r>
      <w:r w:rsidR="0043193D" w:rsidRPr="002815F4">
        <w:rPr>
          <w:rFonts w:ascii="Calibri" w:hAnsi="Calibri"/>
        </w:rPr>
        <w:t xml:space="preserve">describes the MSG’s agreed materiality threshold for selecting reporting mining, oil and gas companies, set at XOF 200m in aggregate payments to government (2014 EITI Report, pp.10-11,18). These materiality calculations were based on unilateral disclosures from the revenue-collecting agencies (DGID, DMG, DGD, DGTCP and DEEC), excluding disclosures from government entities collecting off-budget revenues and contributions (IPRES, DEFCCS and CSS) (2014 EITI Report, p.18). </w:t>
      </w:r>
      <w:r w:rsidR="00173A12" w:rsidRPr="002815F4">
        <w:rPr>
          <w:rFonts w:ascii="Calibri" w:hAnsi="Calibri"/>
        </w:rPr>
        <w:t xml:space="preserve">The report </w:t>
      </w:r>
      <w:r w:rsidR="0043193D" w:rsidRPr="002815F4">
        <w:rPr>
          <w:rFonts w:ascii="Calibri" w:hAnsi="Calibri"/>
        </w:rPr>
        <w:t xml:space="preserve">also </w:t>
      </w:r>
      <w:r w:rsidR="005751BD" w:rsidRPr="002815F4">
        <w:rPr>
          <w:rFonts w:ascii="Calibri" w:hAnsi="Calibri"/>
        </w:rPr>
        <w:t>states that companies involved in barter arrangements or license transfers were included in the scope of reporting regardless of the materiality of their payments to government (2014 EITI Report, p</w:t>
      </w:r>
      <w:r w:rsidR="0043193D" w:rsidRPr="002815F4">
        <w:rPr>
          <w:rFonts w:ascii="Calibri" w:hAnsi="Calibri"/>
        </w:rPr>
        <w:t>p</w:t>
      </w:r>
      <w:r w:rsidR="005751BD" w:rsidRPr="002815F4">
        <w:rPr>
          <w:rFonts w:ascii="Calibri" w:hAnsi="Calibri"/>
        </w:rPr>
        <w:t>.</w:t>
      </w:r>
      <w:r w:rsidR="0043193D" w:rsidRPr="002815F4">
        <w:rPr>
          <w:rFonts w:ascii="Calibri" w:hAnsi="Calibri"/>
        </w:rPr>
        <w:t>10-11,</w:t>
      </w:r>
      <w:r w:rsidR="005751BD" w:rsidRPr="002815F4">
        <w:rPr>
          <w:rFonts w:ascii="Calibri" w:hAnsi="Calibri"/>
        </w:rPr>
        <w:t>17</w:t>
      </w:r>
      <w:r w:rsidR="0043193D" w:rsidRPr="002815F4">
        <w:rPr>
          <w:rFonts w:ascii="Calibri" w:hAnsi="Calibri"/>
        </w:rPr>
        <w:t>-18</w:t>
      </w:r>
      <w:r w:rsidR="005751BD" w:rsidRPr="002815F4">
        <w:rPr>
          <w:rFonts w:ascii="Calibri" w:hAnsi="Calibri"/>
        </w:rPr>
        <w:t xml:space="preserve">). </w:t>
      </w:r>
      <w:r w:rsidR="0043193D" w:rsidRPr="002815F4">
        <w:rPr>
          <w:rFonts w:ascii="Calibri" w:hAnsi="Calibri"/>
        </w:rPr>
        <w:t>As such, the report expl</w:t>
      </w:r>
      <w:r w:rsidR="002815F4">
        <w:rPr>
          <w:rFonts w:ascii="Calibri" w:hAnsi="Calibri"/>
        </w:rPr>
        <w:t xml:space="preserve">ains that two companies (Timis </w:t>
      </w:r>
      <w:r w:rsidR="0043193D" w:rsidRPr="002815F4">
        <w:rPr>
          <w:rFonts w:ascii="Calibri" w:hAnsi="Calibri"/>
        </w:rPr>
        <w:t xml:space="preserve">Corp. </w:t>
      </w:r>
      <w:r w:rsidR="00EB5FCA" w:rsidRPr="002815F4">
        <w:rPr>
          <w:rFonts w:ascii="Calibri" w:hAnsi="Calibri"/>
        </w:rPr>
        <w:t>a</w:t>
      </w:r>
      <w:r w:rsidR="0043193D" w:rsidRPr="002815F4">
        <w:rPr>
          <w:rFonts w:ascii="Calibri" w:hAnsi="Calibri"/>
        </w:rPr>
        <w:t xml:space="preserve">nd Petro-Tim Ltd) were included in the scope of reporting regardless of the materiality of their payments to government to respond to public demands for information amidst a national debate on the transactions and payments </w:t>
      </w:r>
      <w:r w:rsidR="00227DF9" w:rsidRPr="002815F4">
        <w:rPr>
          <w:rFonts w:ascii="Calibri" w:hAnsi="Calibri"/>
        </w:rPr>
        <w:t xml:space="preserve">from </w:t>
      </w:r>
      <w:r w:rsidR="0043193D" w:rsidRPr="002815F4">
        <w:rPr>
          <w:rFonts w:ascii="Calibri" w:hAnsi="Calibri"/>
        </w:rPr>
        <w:t>these companies (2014 EITI Report, p.10).</w:t>
      </w:r>
    </w:p>
    <w:p w14:paraId="7B4B7102" w14:textId="12296476" w:rsidR="00533AAF" w:rsidRPr="002815F4" w:rsidRDefault="00533AAF" w:rsidP="00533AAF">
      <w:pPr>
        <w:spacing w:before="120"/>
        <w:rPr>
          <w:rFonts w:ascii="Calibri" w:hAnsi="Calibri"/>
        </w:rPr>
      </w:pPr>
      <w:r w:rsidRPr="002815F4">
        <w:rPr>
          <w:rFonts w:ascii="Calibri" w:hAnsi="Calibri"/>
          <w:i/>
          <w:u w:val="single"/>
        </w:rPr>
        <w:t>Material companies</w:t>
      </w:r>
      <w:r w:rsidRPr="002815F4">
        <w:rPr>
          <w:rFonts w:ascii="Calibri" w:hAnsi="Calibri"/>
          <w:u w:val="single"/>
        </w:rPr>
        <w:t>:</w:t>
      </w:r>
      <w:r w:rsidRPr="002815F4">
        <w:rPr>
          <w:rFonts w:ascii="Calibri" w:hAnsi="Calibri"/>
        </w:rPr>
        <w:t xml:space="preserve"> </w:t>
      </w:r>
      <w:r w:rsidR="001655CF" w:rsidRPr="002815F4">
        <w:rPr>
          <w:rFonts w:ascii="Calibri" w:hAnsi="Calibri"/>
        </w:rPr>
        <w:t xml:space="preserve">The 2014 EITI Report lists all 17 mining companies and eight oil and gas companies selected for reporting (2014 EITI Report, pp.20-21,98-99). </w:t>
      </w:r>
    </w:p>
    <w:p w14:paraId="183B536A" w14:textId="701EA95A" w:rsidR="00533AAF" w:rsidRPr="002815F4" w:rsidRDefault="001655CF" w:rsidP="00533AAF">
      <w:pPr>
        <w:spacing w:before="120"/>
        <w:rPr>
          <w:rFonts w:ascii="Calibri" w:hAnsi="Calibri"/>
          <w:bCs/>
        </w:rPr>
      </w:pPr>
      <w:r w:rsidRPr="002815F4">
        <w:rPr>
          <w:rFonts w:ascii="Calibri" w:hAnsi="Calibri"/>
          <w:i/>
          <w:u w:val="single"/>
        </w:rPr>
        <w:t>C</w:t>
      </w:r>
      <w:r w:rsidR="00533AAF" w:rsidRPr="002815F4">
        <w:rPr>
          <w:rFonts w:ascii="Calibri" w:hAnsi="Calibri"/>
          <w:i/>
          <w:u w:val="single"/>
        </w:rPr>
        <w:t>ompany reporting</w:t>
      </w:r>
      <w:r w:rsidR="00533AAF" w:rsidRPr="002815F4">
        <w:rPr>
          <w:rFonts w:ascii="Calibri" w:hAnsi="Calibri"/>
        </w:rPr>
        <w:t xml:space="preserve">: </w:t>
      </w:r>
      <w:r w:rsidR="00472C0D" w:rsidRPr="002815F4">
        <w:rPr>
          <w:rFonts w:ascii="Calibri" w:hAnsi="Calibri"/>
        </w:rPr>
        <w:t>The 2014 EITI Report states that all material companies submitted their completed reporting templates (2014 EITI Report, p.11)</w:t>
      </w:r>
      <w:r w:rsidR="00A63501" w:rsidRPr="002815F4">
        <w:rPr>
          <w:rFonts w:ascii="Calibri" w:hAnsi="Calibri"/>
        </w:rPr>
        <w:t>, which is confirmed in the detail of reconciliation (2014 EITI Report, pp.67-71)</w:t>
      </w:r>
      <w:r w:rsidR="00472C0D" w:rsidRPr="002815F4">
        <w:rPr>
          <w:rFonts w:ascii="Calibri" w:hAnsi="Calibri"/>
        </w:rPr>
        <w:t xml:space="preserve">. </w:t>
      </w:r>
    </w:p>
    <w:p w14:paraId="7276E240" w14:textId="2216FCDC" w:rsidR="00533AAF" w:rsidRPr="002815F4" w:rsidRDefault="00533AAF" w:rsidP="00C8623E">
      <w:pPr>
        <w:spacing w:before="120"/>
        <w:rPr>
          <w:rFonts w:ascii="Calibri" w:hAnsi="Calibri"/>
        </w:rPr>
      </w:pPr>
      <w:r w:rsidRPr="002815F4">
        <w:rPr>
          <w:rFonts w:ascii="Calibri" w:hAnsi="Calibri"/>
          <w:i/>
          <w:u w:val="single"/>
        </w:rPr>
        <w:t>Material government entities</w:t>
      </w:r>
      <w:r w:rsidRPr="002815F4">
        <w:rPr>
          <w:rFonts w:ascii="Calibri" w:hAnsi="Calibri"/>
        </w:rPr>
        <w:t xml:space="preserve">: </w:t>
      </w:r>
      <w:r w:rsidR="00000C8B" w:rsidRPr="002815F4">
        <w:rPr>
          <w:rFonts w:ascii="Calibri" w:hAnsi="Calibri"/>
        </w:rPr>
        <w:t>The 2014 EITI Report confirms that all government entities collecting revenues from both the mining and oil and gas sectors were included in the scope of reporting (2014 EITI Report, p.18). The list of nine material government entities</w:t>
      </w:r>
      <w:r w:rsidR="00000C8B" w:rsidRPr="002815F4">
        <w:rPr>
          <w:rStyle w:val="FootnoteReference"/>
          <w:rFonts w:ascii="Calibri" w:hAnsi="Calibri"/>
        </w:rPr>
        <w:footnoteReference w:id="63"/>
      </w:r>
      <w:r w:rsidR="00000C8B" w:rsidRPr="002815F4">
        <w:rPr>
          <w:rFonts w:ascii="Calibri" w:hAnsi="Calibri"/>
        </w:rPr>
        <w:t xml:space="preserve"> is provided (2014 EITI Report, pp.10-11,21). </w:t>
      </w:r>
    </w:p>
    <w:p w14:paraId="55D2AB9B" w14:textId="24482B0A" w:rsidR="00533AAF" w:rsidRPr="002815F4" w:rsidRDefault="00533AAF" w:rsidP="00533AAF">
      <w:pPr>
        <w:spacing w:before="120"/>
        <w:rPr>
          <w:rFonts w:ascii="Calibri" w:hAnsi="Calibri"/>
        </w:rPr>
      </w:pPr>
      <w:r w:rsidRPr="002815F4">
        <w:rPr>
          <w:rFonts w:ascii="Calibri" w:hAnsi="Calibri"/>
          <w:i/>
          <w:u w:val="single"/>
        </w:rPr>
        <w:t>Government reporting</w:t>
      </w:r>
      <w:r w:rsidRPr="002815F4">
        <w:rPr>
          <w:rFonts w:ascii="Calibri" w:hAnsi="Calibri"/>
          <w:u w:val="single"/>
        </w:rPr>
        <w:t>:</w:t>
      </w:r>
      <w:r w:rsidRPr="002815F4">
        <w:rPr>
          <w:rFonts w:ascii="Calibri" w:hAnsi="Calibri"/>
        </w:rPr>
        <w:t xml:space="preserve"> </w:t>
      </w:r>
      <w:r w:rsidR="00000C8B" w:rsidRPr="002815F4">
        <w:rPr>
          <w:rFonts w:ascii="Calibri" w:hAnsi="Calibri"/>
        </w:rPr>
        <w:t>The 2014 EITI Report confirms that all nine material government entities submitted completed reporting templates (2014 EITI Report, p.11), confirmed in the detail of reconciliation (2014 EITI Report, pp.67-71).</w:t>
      </w:r>
    </w:p>
    <w:p w14:paraId="555F215A" w14:textId="322FAA5B" w:rsidR="00533AAF" w:rsidRPr="002815F4" w:rsidRDefault="00533AAF" w:rsidP="00C8623E">
      <w:pPr>
        <w:spacing w:before="120"/>
        <w:rPr>
          <w:rFonts w:ascii="Calibri" w:hAnsi="Calibri"/>
        </w:rPr>
      </w:pPr>
      <w:r w:rsidRPr="002815F4">
        <w:rPr>
          <w:rFonts w:ascii="Calibri" w:hAnsi="Calibri"/>
          <w:i/>
          <w:u w:val="single"/>
        </w:rPr>
        <w:t>Discrepancies</w:t>
      </w:r>
      <w:r w:rsidRPr="002815F4">
        <w:rPr>
          <w:rFonts w:ascii="Calibri" w:hAnsi="Calibri"/>
        </w:rPr>
        <w:t xml:space="preserve">: </w:t>
      </w:r>
      <w:r w:rsidR="00EB5FCA" w:rsidRPr="002815F4">
        <w:rPr>
          <w:rFonts w:ascii="Calibri" w:hAnsi="Calibri"/>
        </w:rPr>
        <w:t>The 2014 EITI Report sets two different thresholds for investigating discrepancies, at 2% of total government revenues (2014 EITI Report, p.11) and XOF 1m (2014 EITI Report, p.15).</w:t>
      </w:r>
      <w:r w:rsidR="00956496" w:rsidRPr="002815F4">
        <w:rPr>
          <w:rFonts w:ascii="Calibri" w:hAnsi="Calibri"/>
        </w:rPr>
        <w:t xml:space="preserve"> </w:t>
      </w:r>
      <w:r w:rsidR="003B4171" w:rsidRPr="002815F4">
        <w:rPr>
          <w:rFonts w:ascii="Calibri" w:hAnsi="Calibri"/>
        </w:rPr>
        <w:t xml:space="preserve">However, it appears that the first threshold (of 2%) refers to the level of acceptable aggregate discrepancies in the final reconciliation (2014 EITI Report, p.11) while the second (XOF 1m) refers to the threshold for investigating discrepancies in individual companies’ reporting (2014 EITI Report, p.15). </w:t>
      </w:r>
      <w:r w:rsidR="00956496" w:rsidRPr="002815F4">
        <w:rPr>
          <w:rFonts w:ascii="Calibri" w:hAnsi="Calibri"/>
        </w:rPr>
        <w:t>The report describes the process of reconciling initial discrepancies, outlining the causes of initial discrepancies (2014 EITI Report, pp.72-74), and provides an overview of final net discrepancies post-reconciliation, including the six main types of net discrepancies and reasons for the discrepancies, disaggregated by company and government entity (2014 EITI Report, pp.74-77).</w:t>
      </w:r>
      <w:r w:rsidR="00E4025A" w:rsidRPr="002815F4">
        <w:rPr>
          <w:rFonts w:ascii="Calibri" w:hAnsi="Calibri"/>
        </w:rPr>
        <w:t xml:space="preserve"> The report finds the final net unreconciled discrepancies, at 0.</w:t>
      </w:r>
      <w:r w:rsidR="00C90440" w:rsidRPr="002815F4">
        <w:rPr>
          <w:rFonts w:ascii="Calibri" w:hAnsi="Calibri"/>
        </w:rPr>
        <w:t>59% of total reconciled government revenues, was acceptable given that it was below the 2% materiality threshold for aggregate net discrepancies (2014 EITI Report, p.11).</w:t>
      </w:r>
    </w:p>
    <w:p w14:paraId="467A51B1" w14:textId="77777777" w:rsidR="008B305F" w:rsidRPr="002815F4" w:rsidRDefault="00533AAF" w:rsidP="00C8623E">
      <w:pPr>
        <w:spacing w:before="120"/>
        <w:rPr>
          <w:rFonts w:ascii="Calibri" w:hAnsi="Calibri"/>
        </w:rPr>
      </w:pPr>
      <w:r w:rsidRPr="002815F4">
        <w:rPr>
          <w:rFonts w:ascii="Calibri" w:hAnsi="Calibri"/>
          <w:i/>
          <w:u w:val="single"/>
        </w:rPr>
        <w:lastRenderedPageBreak/>
        <w:t>Full government disclosure</w:t>
      </w:r>
      <w:r w:rsidRPr="002815F4">
        <w:rPr>
          <w:rFonts w:ascii="Calibri" w:hAnsi="Calibri"/>
          <w:u w:val="single"/>
        </w:rPr>
        <w:t>:</w:t>
      </w:r>
      <w:r w:rsidRPr="002815F4">
        <w:rPr>
          <w:rFonts w:ascii="Calibri" w:hAnsi="Calibri"/>
        </w:rPr>
        <w:t xml:space="preserve"> </w:t>
      </w:r>
      <w:r w:rsidR="00B36C60" w:rsidRPr="002815F4">
        <w:rPr>
          <w:rFonts w:ascii="Calibri" w:hAnsi="Calibri"/>
        </w:rPr>
        <w:t xml:space="preserve">The 2014 EITI Report explicitly confirms that all government entities provided full unilateral disclosure of material revenue streams from non-material companies (2014 EITI Report, pp.10-11) and provides this full unilateral government disclosure disaggregated by company and receiving entity (2014 EITI Report, pp.100-113) and by revenue stream (2014 EITI Report, pp.114-115). </w:t>
      </w:r>
    </w:p>
    <w:p w14:paraId="50C0199B" w14:textId="2B6BF7DF" w:rsidR="007236DF" w:rsidRPr="002815F4" w:rsidRDefault="00533AAF" w:rsidP="009B3E66">
      <w:pPr>
        <w:pStyle w:val="Heading3"/>
      </w:pPr>
      <w:r w:rsidRPr="002815F4">
        <w:t xml:space="preserve">Stakeholder views </w:t>
      </w:r>
    </w:p>
    <w:p w14:paraId="363039DE" w14:textId="0FC28DBE" w:rsidR="00447530" w:rsidRPr="002815F4" w:rsidRDefault="00447530" w:rsidP="00533AAF">
      <w:pPr>
        <w:spacing w:before="120"/>
        <w:rPr>
          <w:rFonts w:ascii="Calibri" w:hAnsi="Calibri"/>
          <w:bCs/>
        </w:rPr>
      </w:pPr>
      <w:r w:rsidRPr="002815F4">
        <w:rPr>
          <w:rFonts w:ascii="Calibri" w:hAnsi="Calibri"/>
          <w:bCs/>
          <w:i/>
          <w:u w:val="single"/>
        </w:rPr>
        <w:t>Materiality</w:t>
      </w:r>
      <w:r w:rsidRPr="002815F4">
        <w:rPr>
          <w:rFonts w:ascii="Calibri" w:hAnsi="Calibri"/>
          <w:bCs/>
        </w:rPr>
        <w:t>:</w:t>
      </w:r>
      <w:r w:rsidR="00467964" w:rsidRPr="002815F4">
        <w:rPr>
          <w:rFonts w:ascii="Calibri" w:hAnsi="Calibri"/>
          <w:bCs/>
        </w:rPr>
        <w:t xml:space="preserve"> </w:t>
      </w:r>
      <w:r w:rsidR="00947787" w:rsidRPr="002815F4">
        <w:rPr>
          <w:rFonts w:ascii="Calibri" w:hAnsi="Calibri"/>
          <w:bCs/>
        </w:rPr>
        <w:t xml:space="preserve">There was consensus among MSG members consulted that the MSG had considered materiality options proposed by the IA and agreed to the approach adopted for the 2014 EITI Report. </w:t>
      </w:r>
      <w:r w:rsidR="00D72BCE" w:rsidRPr="002815F4">
        <w:rPr>
          <w:rFonts w:ascii="Calibri" w:hAnsi="Calibri"/>
          <w:bCs/>
        </w:rPr>
        <w:t>Secretariat staff and the IA confirmed that all revenues listed under Requirement 4.1.b had been included in the scope of reporting. The IA explained that while the two signature bonuses</w:t>
      </w:r>
      <w:r w:rsidR="00C66716">
        <w:rPr>
          <w:rFonts w:ascii="Calibri" w:hAnsi="Calibri"/>
          <w:bCs/>
        </w:rPr>
        <w:t xml:space="preserve"> paid in 2014</w:t>
      </w:r>
      <w:r w:rsidR="00D72BCE" w:rsidRPr="002815F4">
        <w:rPr>
          <w:rFonts w:ascii="Calibri" w:hAnsi="Calibri"/>
          <w:bCs/>
        </w:rPr>
        <w:t xml:space="preserve"> had not initially been detected during the preliminary scoping work </w:t>
      </w:r>
      <w:r w:rsidR="00C66716">
        <w:rPr>
          <w:rFonts w:ascii="Calibri" w:hAnsi="Calibri"/>
          <w:bCs/>
        </w:rPr>
        <w:t>ahead of</w:t>
      </w:r>
      <w:r w:rsidR="00D72BCE" w:rsidRPr="002815F4">
        <w:rPr>
          <w:rFonts w:ascii="Calibri" w:hAnsi="Calibri"/>
          <w:bCs/>
        </w:rPr>
        <w:t xml:space="preserve"> materiality decisions, signature bonuses had been included in the reporting templates and duly reported by both companies and </w:t>
      </w:r>
      <w:r w:rsidR="007100DD" w:rsidRPr="002815F4">
        <w:rPr>
          <w:rFonts w:ascii="Calibri" w:hAnsi="Calibri"/>
          <w:bCs/>
        </w:rPr>
        <w:t xml:space="preserve">Petrosen, the </w:t>
      </w:r>
      <w:r w:rsidR="00561301" w:rsidRPr="002815F4">
        <w:rPr>
          <w:rFonts w:ascii="Calibri" w:hAnsi="Calibri"/>
          <w:bCs/>
        </w:rPr>
        <w:t>collecting</w:t>
      </w:r>
      <w:r w:rsidR="007100DD" w:rsidRPr="002815F4">
        <w:rPr>
          <w:rFonts w:ascii="Calibri" w:hAnsi="Calibri"/>
          <w:bCs/>
        </w:rPr>
        <w:t xml:space="preserve"> government entity</w:t>
      </w:r>
      <w:r w:rsidR="00C66716">
        <w:rPr>
          <w:rFonts w:ascii="Calibri" w:hAnsi="Calibri"/>
          <w:bCs/>
        </w:rPr>
        <w:t xml:space="preserve">. </w:t>
      </w:r>
      <w:r w:rsidR="00947787" w:rsidRPr="002815F4">
        <w:rPr>
          <w:rFonts w:ascii="Calibri" w:hAnsi="Calibri"/>
          <w:bCs/>
        </w:rPr>
        <w:t>While company and civil society representatives as well as parliamentarians expressed their desire to include tax exemptions in the scope of future EITI reporting, they understood that such government payments to companies were not strictly covered by the EITI Standard</w:t>
      </w:r>
      <w:r w:rsidR="00C66716">
        <w:rPr>
          <w:rFonts w:ascii="Calibri" w:hAnsi="Calibri"/>
          <w:bCs/>
        </w:rPr>
        <w:t xml:space="preserve"> even if </w:t>
      </w:r>
      <w:r w:rsidR="00947787" w:rsidRPr="002815F4">
        <w:rPr>
          <w:rFonts w:ascii="Calibri" w:hAnsi="Calibri"/>
          <w:bCs/>
        </w:rPr>
        <w:t xml:space="preserve">the MSG </w:t>
      </w:r>
      <w:r w:rsidR="00C66716">
        <w:rPr>
          <w:rFonts w:ascii="Calibri" w:hAnsi="Calibri"/>
          <w:bCs/>
        </w:rPr>
        <w:t>could decide to include them</w:t>
      </w:r>
      <w:r w:rsidR="00947787" w:rsidRPr="002815F4">
        <w:rPr>
          <w:rFonts w:ascii="Calibri" w:hAnsi="Calibri"/>
          <w:bCs/>
        </w:rPr>
        <w:t xml:space="preserve">. None of the stakeholders consulted expressed any concern over the materiality thresholds adopted for the 2014 EITI Report and considered the scope of </w:t>
      </w:r>
      <w:r w:rsidR="002815F4" w:rsidRPr="002815F4">
        <w:rPr>
          <w:rFonts w:ascii="Calibri" w:hAnsi="Calibri"/>
          <w:bCs/>
        </w:rPr>
        <w:t>reconciliation</w:t>
      </w:r>
      <w:r w:rsidR="00947787" w:rsidRPr="002815F4">
        <w:rPr>
          <w:rFonts w:ascii="Calibri" w:hAnsi="Calibri"/>
          <w:bCs/>
        </w:rPr>
        <w:t xml:space="preserve"> to be comprehensive. </w:t>
      </w:r>
    </w:p>
    <w:p w14:paraId="2E03ED9D" w14:textId="36627A65" w:rsidR="00740FEA" w:rsidRPr="002815F4" w:rsidRDefault="00447530">
      <w:pPr>
        <w:spacing w:before="120"/>
        <w:rPr>
          <w:rFonts w:ascii="Calibri" w:hAnsi="Calibri"/>
        </w:rPr>
      </w:pPr>
      <w:r w:rsidRPr="002815F4">
        <w:rPr>
          <w:rFonts w:ascii="Calibri" w:hAnsi="Calibri"/>
          <w:bCs/>
          <w:i/>
          <w:u w:val="single"/>
        </w:rPr>
        <w:t>Mittal’s exceptional payment</w:t>
      </w:r>
      <w:r w:rsidRPr="002815F4">
        <w:rPr>
          <w:rFonts w:ascii="Calibri" w:hAnsi="Calibri"/>
          <w:bCs/>
        </w:rPr>
        <w:t xml:space="preserve">: </w:t>
      </w:r>
      <w:r w:rsidR="00467964" w:rsidRPr="002815F4">
        <w:rPr>
          <w:rFonts w:ascii="Calibri" w:hAnsi="Calibri"/>
          <w:bCs/>
        </w:rPr>
        <w:t xml:space="preserve">All stakeholders confirmed that Mittal Steel had not been included in the scope of reporting for the 2014 EITI Report despite the materiality of its XOF 49bn payment to government. MSG members, the IA and secretariat staff explained that the MSG would have wanted to include Mittal Steel in the scope of reporting but considered that this was not possible given that the company had no remaining contractual or operational link (or active license) with Senegal following the conclusion of arbitration proceedings. </w:t>
      </w:r>
      <w:r w:rsidR="007D5121" w:rsidRPr="002815F4">
        <w:rPr>
          <w:rFonts w:ascii="Calibri" w:hAnsi="Calibri"/>
          <w:bCs/>
        </w:rPr>
        <w:t xml:space="preserve">There was consensus on the MSG that Senegal had no jurisdiction over Mittal following the end of the arbitration case and that there were no means to force Mittal to participate in EITI reporting. </w:t>
      </w:r>
      <w:r w:rsidR="00DD137A" w:rsidRPr="002815F4">
        <w:rPr>
          <w:rFonts w:ascii="Calibri" w:hAnsi="Calibri"/>
          <w:bCs/>
        </w:rPr>
        <w:t>F</w:t>
      </w:r>
      <w:r w:rsidR="00467964" w:rsidRPr="002815F4">
        <w:rPr>
          <w:rFonts w:ascii="Calibri" w:hAnsi="Calibri"/>
          <w:bCs/>
        </w:rPr>
        <w:t xml:space="preserve">ormer </w:t>
      </w:r>
      <w:r w:rsidR="00DD137A" w:rsidRPr="002815F4">
        <w:rPr>
          <w:rFonts w:ascii="Calibri" w:hAnsi="Calibri"/>
          <w:bCs/>
        </w:rPr>
        <w:t xml:space="preserve">and current </w:t>
      </w:r>
      <w:r w:rsidR="00467964" w:rsidRPr="002815F4">
        <w:rPr>
          <w:rFonts w:ascii="Calibri" w:hAnsi="Calibri"/>
          <w:bCs/>
        </w:rPr>
        <w:t>secretariat staff explained that the MSG considered that this approach was in line with requirements of the EITI Standard, given that receipt of the payment was confirmed</w:t>
      </w:r>
      <w:r w:rsidR="00CD3E65" w:rsidRPr="002815F4">
        <w:rPr>
          <w:rFonts w:ascii="Calibri" w:hAnsi="Calibri"/>
          <w:bCs/>
        </w:rPr>
        <w:t xml:space="preserve"> with the Treasury, audited by the CdC and reflected in all third-party documents (e.g. press articles, Mittal’s annual report). </w:t>
      </w:r>
      <w:r w:rsidR="00C86FE2" w:rsidRPr="002815F4">
        <w:rPr>
          <w:rFonts w:ascii="Calibri" w:hAnsi="Calibri"/>
          <w:bCs/>
        </w:rPr>
        <w:t>Secretariat s</w:t>
      </w:r>
      <w:r w:rsidR="00CD3E65" w:rsidRPr="002815F4">
        <w:rPr>
          <w:rFonts w:ascii="Calibri" w:hAnsi="Calibri"/>
          <w:bCs/>
        </w:rPr>
        <w:t xml:space="preserve">taff also considered that the government’s </w:t>
      </w:r>
      <w:r w:rsidR="00C66716">
        <w:rPr>
          <w:rFonts w:ascii="Calibri" w:hAnsi="Calibri"/>
          <w:bCs/>
        </w:rPr>
        <w:t xml:space="preserve">unprecedented </w:t>
      </w:r>
      <w:r w:rsidR="00CD3E65" w:rsidRPr="002815F4">
        <w:rPr>
          <w:rFonts w:ascii="Calibri" w:hAnsi="Calibri"/>
          <w:bCs/>
        </w:rPr>
        <w:t>act of publishing the arbitration ruling online</w:t>
      </w:r>
      <w:r w:rsidR="00C66716">
        <w:rPr>
          <w:rFonts w:ascii="Calibri" w:hAnsi="Calibri"/>
          <w:bCs/>
        </w:rPr>
        <w:t xml:space="preserve"> </w:t>
      </w:r>
      <w:r w:rsidR="00CD3E65" w:rsidRPr="002815F4">
        <w:rPr>
          <w:rFonts w:ascii="Calibri" w:hAnsi="Calibri"/>
          <w:bCs/>
        </w:rPr>
        <w:t xml:space="preserve">reflected the government’s transparency on this exceptional revenue. </w:t>
      </w:r>
      <w:r w:rsidR="00C66716">
        <w:rPr>
          <w:rFonts w:ascii="Calibri" w:hAnsi="Calibri"/>
          <w:bCs/>
        </w:rPr>
        <w:t>F</w:t>
      </w:r>
      <w:r w:rsidR="007D5121" w:rsidRPr="002815F4">
        <w:rPr>
          <w:rFonts w:ascii="Calibri" w:hAnsi="Calibri"/>
          <w:bCs/>
        </w:rPr>
        <w:t xml:space="preserve">ormer </w:t>
      </w:r>
      <w:r w:rsidR="00C66716">
        <w:rPr>
          <w:rFonts w:ascii="Calibri" w:hAnsi="Calibri"/>
          <w:bCs/>
        </w:rPr>
        <w:t xml:space="preserve">secretariat </w:t>
      </w:r>
      <w:r w:rsidR="007D5121" w:rsidRPr="002815F4">
        <w:rPr>
          <w:rFonts w:ascii="Calibri" w:hAnsi="Calibri"/>
          <w:bCs/>
        </w:rPr>
        <w:t xml:space="preserve">staff also explained that the MSG had written to Mittal’s UK headquarters ahead of the scoping of the 2014 EITI Report but confirmed that the MSG had decided not to send a reporting template to Mittal. </w:t>
      </w:r>
      <w:r w:rsidR="00CD3E65" w:rsidRPr="002815F4">
        <w:rPr>
          <w:rFonts w:ascii="Calibri" w:hAnsi="Calibri"/>
          <w:bCs/>
        </w:rPr>
        <w:t xml:space="preserve">The MSG considered that the Treasury’s receipt of the XOF 49bn had been confirmed in government accounts, but that they had not confirmed the payment in ArcelorMittal’s audited financial statements at the group level. However, the IA noted that it had checked for evidence of the payment in all publicly-available documents including ArcelorMittal’s audited financial statements, </w:t>
      </w:r>
      <w:r w:rsidR="00655D8B" w:rsidRPr="002815F4">
        <w:rPr>
          <w:rFonts w:ascii="Calibri" w:hAnsi="Calibri"/>
          <w:bCs/>
        </w:rPr>
        <w:t xml:space="preserve">but explained that ArcelorMittal’s provisioning for </w:t>
      </w:r>
      <w:r w:rsidR="00CD3E65" w:rsidRPr="002815F4">
        <w:rPr>
          <w:rFonts w:ascii="Calibri" w:hAnsi="Calibri"/>
          <w:bCs/>
        </w:rPr>
        <w:t xml:space="preserve">this </w:t>
      </w:r>
      <w:r w:rsidR="00655D8B" w:rsidRPr="002815F4">
        <w:rPr>
          <w:rFonts w:ascii="Calibri" w:hAnsi="Calibri"/>
          <w:bCs/>
        </w:rPr>
        <w:t xml:space="preserve">payment was </w:t>
      </w:r>
      <w:r w:rsidR="00CD3E65" w:rsidRPr="002815F4">
        <w:rPr>
          <w:rFonts w:ascii="Calibri" w:hAnsi="Calibri"/>
          <w:bCs/>
        </w:rPr>
        <w:t xml:space="preserve">not </w:t>
      </w:r>
      <w:r w:rsidR="00655D8B" w:rsidRPr="002815F4">
        <w:rPr>
          <w:rFonts w:ascii="Calibri" w:hAnsi="Calibri"/>
          <w:bCs/>
        </w:rPr>
        <w:t>the equivalent of making the payment</w:t>
      </w:r>
      <w:r w:rsidR="00CD3E65" w:rsidRPr="002815F4">
        <w:rPr>
          <w:rFonts w:ascii="Calibri" w:hAnsi="Calibri"/>
          <w:bCs/>
        </w:rPr>
        <w:t xml:space="preserve">. </w:t>
      </w:r>
      <w:r w:rsidR="00655D8B" w:rsidRPr="002815F4">
        <w:rPr>
          <w:rFonts w:ascii="Calibri" w:hAnsi="Calibri"/>
          <w:bCs/>
        </w:rPr>
        <w:t xml:space="preserve">The IA explained that it was not possible to find evidence of the actual payment </w:t>
      </w:r>
      <w:r w:rsidR="00CD3E65" w:rsidRPr="002815F4">
        <w:rPr>
          <w:rFonts w:ascii="Calibri" w:hAnsi="Calibri"/>
          <w:bCs/>
        </w:rPr>
        <w:t xml:space="preserve">in </w:t>
      </w:r>
      <w:r w:rsidR="00655D8B" w:rsidRPr="002815F4">
        <w:rPr>
          <w:rFonts w:ascii="Calibri" w:hAnsi="Calibri"/>
          <w:bCs/>
        </w:rPr>
        <w:t xml:space="preserve">ArcelorMittal’s audited </w:t>
      </w:r>
      <w:r w:rsidR="002815F4" w:rsidRPr="002815F4">
        <w:rPr>
          <w:rFonts w:ascii="Calibri" w:hAnsi="Calibri"/>
          <w:bCs/>
        </w:rPr>
        <w:t>group</w:t>
      </w:r>
      <w:r w:rsidR="00655D8B" w:rsidRPr="002815F4">
        <w:rPr>
          <w:rFonts w:ascii="Calibri" w:hAnsi="Calibri"/>
          <w:bCs/>
        </w:rPr>
        <w:t xml:space="preserve"> financial statements given the lack of disaggregation in top-line figures provided. </w:t>
      </w:r>
      <w:r w:rsidR="00650C3E" w:rsidRPr="002815F4">
        <w:rPr>
          <w:rFonts w:ascii="Calibri" w:hAnsi="Calibri"/>
          <w:bCs/>
        </w:rPr>
        <w:t xml:space="preserve">Nonetheless, the IA considered that the </w:t>
      </w:r>
      <w:r w:rsidR="00CD3E65" w:rsidRPr="002815F4">
        <w:rPr>
          <w:rFonts w:ascii="Calibri" w:hAnsi="Calibri"/>
          <w:bCs/>
        </w:rPr>
        <w:t>2014 EITI Report</w:t>
      </w:r>
      <w:r w:rsidR="00650C3E" w:rsidRPr="002815F4">
        <w:rPr>
          <w:rFonts w:ascii="Calibri" w:hAnsi="Calibri"/>
          <w:bCs/>
        </w:rPr>
        <w:t xml:space="preserve"> had complied with Requirement 4.1.b.viii given that Mittal’s payment had been included in the scope of unilateral government reporting, with strong quality assurance, and highlighted its view that Requirement 4.1.b.viii mandated quality-assured disclosure of all significant revenue streams but not necessarily their reconciliation.</w:t>
      </w:r>
      <w:r w:rsidR="00CD3E65" w:rsidRPr="002815F4">
        <w:rPr>
          <w:rFonts w:ascii="Calibri" w:hAnsi="Calibri"/>
          <w:bCs/>
        </w:rPr>
        <w:t xml:space="preserve"> </w:t>
      </w:r>
      <w:r w:rsidR="00450575" w:rsidRPr="002815F4">
        <w:rPr>
          <w:rFonts w:ascii="Calibri" w:hAnsi="Calibri"/>
          <w:bCs/>
        </w:rPr>
        <w:t xml:space="preserve">None of the stakeholders consulted, including the CdC and civil society representatives, considered the Mittal exceptional payment as controversial and no doubts were expressed regarding the possibility of </w:t>
      </w:r>
      <w:r w:rsidR="00450575" w:rsidRPr="002815F4">
        <w:rPr>
          <w:rFonts w:ascii="Calibri" w:hAnsi="Calibri"/>
          <w:bCs/>
        </w:rPr>
        <w:lastRenderedPageBreak/>
        <w:t xml:space="preserve">discrepancies in this revenue to government. Several civil society representatives considered that the arbitration case that resulted in the payment was of more interest than the payment itself. </w:t>
      </w:r>
      <w:r w:rsidR="00F431EF" w:rsidRPr="002815F4">
        <w:rPr>
          <w:rFonts w:ascii="Calibri" w:hAnsi="Calibri"/>
          <w:bCs/>
        </w:rPr>
        <w:t>The MSG and IA confirmed that the remaining USD 50m tranche of Mittal’s payment was executed in 2015 and would be covered in the 2015 EITI Report in the same way as for the 2014 EITI Report.</w:t>
      </w:r>
    </w:p>
    <w:p w14:paraId="63085948" w14:textId="4DA5E4F0" w:rsidR="00447530" w:rsidRPr="002815F4" w:rsidRDefault="00447530" w:rsidP="00533AAF">
      <w:pPr>
        <w:spacing w:before="120"/>
        <w:rPr>
          <w:rFonts w:ascii="Calibri" w:hAnsi="Calibri"/>
          <w:bCs/>
        </w:rPr>
      </w:pPr>
      <w:r w:rsidRPr="002815F4">
        <w:rPr>
          <w:rFonts w:ascii="Calibri" w:hAnsi="Calibri"/>
          <w:bCs/>
          <w:i/>
          <w:u w:val="single"/>
        </w:rPr>
        <w:t>Reporting</w:t>
      </w:r>
      <w:r w:rsidRPr="002815F4">
        <w:rPr>
          <w:rFonts w:ascii="Calibri" w:hAnsi="Calibri"/>
          <w:bCs/>
        </w:rPr>
        <w:t xml:space="preserve">: </w:t>
      </w:r>
      <w:r w:rsidR="00D72BCE" w:rsidRPr="002815F4">
        <w:rPr>
          <w:rFonts w:ascii="Calibri" w:hAnsi="Calibri"/>
          <w:bCs/>
        </w:rPr>
        <w:t xml:space="preserve">All stakeholders consulted, including the IA, MSG and National Secretariat, confirmed that all material entities had reported comprehensively, including all information required in the reporting templates for the 2014 EITI Report. </w:t>
      </w:r>
      <w:r w:rsidR="006C45FD" w:rsidRPr="002815F4">
        <w:rPr>
          <w:rFonts w:ascii="Calibri" w:hAnsi="Calibri"/>
          <w:bCs/>
        </w:rPr>
        <w:t xml:space="preserve">Stakeholders also highlighted the significant improvement between the 2013 and 2014 EITI Reports in terms of participation in EITI reporting, with all material companies and government entities submitting reporting templates. Several industry and government representatives described the Ministry of Mining’s proactive role in writing to each company to ensure their participation in EITI reporting, which was seen as crucial. </w:t>
      </w:r>
    </w:p>
    <w:p w14:paraId="4FFB823B" w14:textId="3E25102F" w:rsidR="00592B1F" w:rsidRPr="002815F4" w:rsidRDefault="00447530" w:rsidP="007474FE">
      <w:pPr>
        <w:spacing w:before="120"/>
      </w:pPr>
      <w:r w:rsidRPr="002815F4">
        <w:rPr>
          <w:rFonts w:ascii="Calibri" w:hAnsi="Calibri"/>
          <w:bCs/>
          <w:i/>
          <w:u w:val="single"/>
        </w:rPr>
        <w:t>Comprehensiveness</w:t>
      </w:r>
      <w:r w:rsidRPr="002815F4">
        <w:rPr>
          <w:rFonts w:ascii="Calibri" w:hAnsi="Calibri"/>
          <w:bCs/>
        </w:rPr>
        <w:t xml:space="preserve">: </w:t>
      </w:r>
      <w:r w:rsidR="00D72BCE" w:rsidRPr="002815F4">
        <w:rPr>
          <w:rFonts w:ascii="Calibri" w:hAnsi="Calibri"/>
          <w:bCs/>
        </w:rPr>
        <w:t xml:space="preserve">The IA and National Secretariat confirmed that the two materiality thresholds for discrepancies cited in the 2014 EITI Report related to aggregate net discrepancies (2%) and for investigating discrepancies in initial reporting for each company (XOF 1m). </w:t>
      </w:r>
      <w:r w:rsidR="00FE2DC5" w:rsidRPr="002815F4">
        <w:rPr>
          <w:rFonts w:ascii="Calibri" w:hAnsi="Calibri"/>
          <w:bCs/>
        </w:rPr>
        <w:t xml:space="preserve">All stakeholders consulted expressed satisfaction at the comprehensiveness of the reconciled data in the 2014 EITI Report despite the </w:t>
      </w:r>
      <w:r w:rsidR="007D0591" w:rsidRPr="002815F4">
        <w:rPr>
          <w:rFonts w:ascii="Calibri" w:hAnsi="Calibri"/>
          <w:bCs/>
        </w:rPr>
        <w:t xml:space="preserve">exclusion of the Mittal payment from the scope of reconciliation. </w:t>
      </w:r>
      <w:r w:rsidR="007D0591" w:rsidRPr="002815F4">
        <w:rPr>
          <w:rFonts w:ascii="Calibri" w:hAnsi="Calibri"/>
        </w:rPr>
        <w:t>Stakeholders from all three constituencies considered</w:t>
      </w:r>
      <w:r w:rsidR="00467964" w:rsidRPr="002815F4">
        <w:rPr>
          <w:rFonts w:ascii="Calibri" w:hAnsi="Calibri"/>
        </w:rPr>
        <w:t xml:space="preserve"> that there </w:t>
      </w:r>
      <w:r w:rsidR="007D0591" w:rsidRPr="002815F4">
        <w:rPr>
          <w:rFonts w:ascii="Calibri" w:hAnsi="Calibri"/>
        </w:rPr>
        <w:t xml:space="preserve">had been a </w:t>
      </w:r>
      <w:r w:rsidR="00467964" w:rsidRPr="002815F4">
        <w:rPr>
          <w:rFonts w:ascii="Calibri" w:hAnsi="Calibri"/>
        </w:rPr>
        <w:t xml:space="preserve">significant improvement in the reliability and </w:t>
      </w:r>
      <w:r w:rsidR="007D0591" w:rsidRPr="002815F4">
        <w:rPr>
          <w:rFonts w:ascii="Calibri" w:hAnsi="Calibri"/>
        </w:rPr>
        <w:t xml:space="preserve">comprehensiveness </w:t>
      </w:r>
      <w:r w:rsidR="00467964" w:rsidRPr="002815F4">
        <w:rPr>
          <w:rFonts w:ascii="Calibri" w:hAnsi="Calibri"/>
        </w:rPr>
        <w:t xml:space="preserve">of </w:t>
      </w:r>
      <w:r w:rsidR="007D0591" w:rsidRPr="002815F4">
        <w:rPr>
          <w:rFonts w:ascii="Calibri" w:hAnsi="Calibri"/>
        </w:rPr>
        <w:t xml:space="preserve">the reconciliation between the 2013 and </w:t>
      </w:r>
      <w:r w:rsidR="00467964" w:rsidRPr="002815F4">
        <w:rPr>
          <w:rFonts w:ascii="Calibri" w:hAnsi="Calibri"/>
        </w:rPr>
        <w:t xml:space="preserve">2014 </w:t>
      </w:r>
      <w:r w:rsidR="007D0591" w:rsidRPr="002815F4">
        <w:rPr>
          <w:rFonts w:ascii="Calibri" w:hAnsi="Calibri"/>
        </w:rPr>
        <w:t xml:space="preserve">EITI </w:t>
      </w:r>
      <w:r w:rsidR="00467964" w:rsidRPr="002815F4">
        <w:rPr>
          <w:rFonts w:ascii="Calibri" w:hAnsi="Calibri"/>
        </w:rPr>
        <w:t>Report</w:t>
      </w:r>
      <w:r w:rsidR="007D0591" w:rsidRPr="002815F4">
        <w:rPr>
          <w:rFonts w:ascii="Calibri" w:hAnsi="Calibri"/>
        </w:rPr>
        <w:t>s</w:t>
      </w:r>
      <w:r w:rsidR="00467964" w:rsidRPr="002815F4">
        <w:rPr>
          <w:rFonts w:ascii="Calibri" w:hAnsi="Calibri"/>
        </w:rPr>
        <w:t>.</w:t>
      </w:r>
    </w:p>
    <w:p w14:paraId="75B3D44B" w14:textId="22A6A47D" w:rsidR="00597FC5" w:rsidRPr="002815F4" w:rsidRDefault="00533AAF" w:rsidP="009B3E66">
      <w:pPr>
        <w:pStyle w:val="Heading3"/>
      </w:pPr>
      <w:bookmarkStart w:id="255" w:name="_Toc459133140"/>
      <w:bookmarkStart w:id="256" w:name="_Toc461803090"/>
      <w:r w:rsidRPr="002815F4">
        <w:t>Initial assessment</w:t>
      </w:r>
      <w:bookmarkEnd w:id="255"/>
      <w:bookmarkEnd w:id="256"/>
    </w:p>
    <w:p w14:paraId="49916C06" w14:textId="1F1AA7C7" w:rsidR="00AA5F09" w:rsidRPr="002815F4" w:rsidRDefault="00AA5F09" w:rsidP="00533AAF">
      <w:pPr>
        <w:spacing w:before="120"/>
        <w:rPr>
          <w:rFonts w:ascii="Calibri" w:hAnsi="Calibri"/>
        </w:rPr>
      </w:pPr>
      <w:r w:rsidRPr="002815F4">
        <w:rPr>
          <w:rFonts w:ascii="Calibri" w:hAnsi="Calibri"/>
        </w:rPr>
        <w:t xml:space="preserve">The 2014 EITI Report includes a definition of the materiality thresholds for payments and companies to be included in reconciliation, including a justification for why the threshold was set at this level. The MSG was involved in setting the materiality threshold for payments and for companies. </w:t>
      </w:r>
      <w:r w:rsidR="003035B5" w:rsidRPr="002815F4">
        <w:rPr>
          <w:rFonts w:ascii="Calibri" w:hAnsi="Calibri"/>
        </w:rPr>
        <w:t>Requirement 4.1</w:t>
      </w:r>
      <w:r w:rsidR="00852E26" w:rsidRPr="002815F4">
        <w:rPr>
          <w:rFonts w:ascii="Calibri" w:hAnsi="Calibri"/>
        </w:rPr>
        <w:t>.b.viii</w:t>
      </w:r>
      <w:r w:rsidR="003035B5" w:rsidRPr="002815F4">
        <w:rPr>
          <w:rFonts w:ascii="Calibri" w:hAnsi="Calibri"/>
        </w:rPr>
        <w:t xml:space="preserve"> of the EITI Standard requires that implementing countries include</w:t>
      </w:r>
      <w:r w:rsidR="00852E26" w:rsidRPr="002815F4">
        <w:rPr>
          <w:rFonts w:ascii="Calibri" w:hAnsi="Calibri"/>
        </w:rPr>
        <w:t xml:space="preserve"> “any other significant payments and material benefit to government” in the scope of reconciliation. While the MSG decided to exclude an exceptional payment from Mittal Steel Holding AG worth XOF 49bn, or </w:t>
      </w:r>
      <w:r w:rsidR="00A5233B" w:rsidRPr="002815F4">
        <w:rPr>
          <w:rFonts w:ascii="Calibri" w:hAnsi="Calibri"/>
        </w:rPr>
        <w:t xml:space="preserve">roughly 45% of government </w:t>
      </w:r>
      <w:r w:rsidR="002815F4" w:rsidRPr="002815F4">
        <w:rPr>
          <w:rFonts w:ascii="Calibri" w:hAnsi="Calibri"/>
        </w:rPr>
        <w:t>extractives</w:t>
      </w:r>
      <w:r w:rsidR="00A5233B" w:rsidRPr="002815F4">
        <w:rPr>
          <w:rFonts w:ascii="Calibri" w:hAnsi="Calibri"/>
        </w:rPr>
        <w:t xml:space="preserve"> revenues in 2014, from the scope of reconciliation, the 2014 EITI Report justifies this decision given the exceptional nature of the payment and the lack of jurisdiction to compel the company to participate in EITI reporting given the end of contractual relations between Mittal Steel and the government following the conclusion of arbitration. </w:t>
      </w:r>
      <w:r w:rsidRPr="002815F4">
        <w:rPr>
          <w:rFonts w:ascii="Calibri" w:hAnsi="Calibri"/>
        </w:rPr>
        <w:t>All material companies and government entities reported comprehensively all material payments and revenues in the 2014 EITI Report and full unilateral government disclosures were provided.</w:t>
      </w:r>
      <w:r w:rsidR="007D0591" w:rsidRPr="002815F4">
        <w:rPr>
          <w:rFonts w:ascii="Calibri" w:hAnsi="Calibri"/>
        </w:rPr>
        <w:t xml:space="preserve"> </w:t>
      </w:r>
      <w:r w:rsidR="00A5233B" w:rsidRPr="002815F4">
        <w:rPr>
          <w:rFonts w:ascii="Calibri" w:hAnsi="Calibri"/>
        </w:rPr>
        <w:t>While the exclusion of a significant payment to government from the scope of reconciliation poses a procedural challenge under Requirement 4.1.b.viii, t</w:t>
      </w:r>
      <w:r w:rsidR="007D0591" w:rsidRPr="002815F4">
        <w:rPr>
          <w:rFonts w:ascii="Calibri" w:hAnsi="Calibri"/>
        </w:rPr>
        <w:t>he International Secretariat</w:t>
      </w:r>
      <w:r w:rsidR="00A5233B" w:rsidRPr="002815F4">
        <w:rPr>
          <w:rFonts w:ascii="Calibri" w:hAnsi="Calibri"/>
        </w:rPr>
        <w:t xml:space="preserve"> considers that the broader objective of revenue transparency was achieved given publicly-accessible evidence of the payment, the </w:t>
      </w:r>
      <w:r w:rsidR="00DA2D0F" w:rsidRPr="002815F4">
        <w:rPr>
          <w:rFonts w:ascii="Calibri" w:hAnsi="Calibri"/>
        </w:rPr>
        <w:t xml:space="preserve">payment’s </w:t>
      </w:r>
      <w:r w:rsidR="00A5233B" w:rsidRPr="002815F4">
        <w:rPr>
          <w:rFonts w:ascii="Calibri" w:hAnsi="Calibri"/>
        </w:rPr>
        <w:t>exceptional nature and the practical constraints on the ability of Senegal’s MSG to follow up with the company. As such, the International Secretariat</w:t>
      </w:r>
      <w:r w:rsidR="007D0591" w:rsidRPr="002815F4">
        <w:rPr>
          <w:rFonts w:ascii="Calibri" w:hAnsi="Calibri"/>
        </w:rPr>
        <w:t xml:space="preserve">’s assessment is that </w:t>
      </w:r>
      <w:r w:rsidR="007D0591" w:rsidRPr="002815F4">
        <w:rPr>
          <w:rFonts w:ascii="Calibri" w:hAnsi="Calibri"/>
          <w:bCs/>
        </w:rPr>
        <w:t>Senegal</w:t>
      </w:r>
      <w:r w:rsidR="007D0591" w:rsidRPr="002815F4">
        <w:rPr>
          <w:rFonts w:ascii="Calibri" w:hAnsi="Calibri"/>
        </w:rPr>
        <w:t xml:space="preserve"> has made </w:t>
      </w:r>
      <w:r w:rsidR="007D0591" w:rsidRPr="002815F4">
        <w:rPr>
          <w:rFonts w:ascii="Calibri" w:hAnsi="Calibri"/>
          <w:bCs/>
        </w:rPr>
        <w:t>satisfactory</w:t>
      </w:r>
      <w:r w:rsidR="007D0591" w:rsidRPr="002815F4">
        <w:rPr>
          <w:rFonts w:ascii="Calibri" w:hAnsi="Calibri"/>
          <w:b/>
          <w:bCs/>
        </w:rPr>
        <w:t xml:space="preserve"> </w:t>
      </w:r>
      <w:r w:rsidR="007D0591" w:rsidRPr="002815F4">
        <w:rPr>
          <w:rFonts w:ascii="Calibri" w:hAnsi="Calibri"/>
        </w:rPr>
        <w:t xml:space="preserve">progress towards meeting this </w:t>
      </w:r>
      <w:commentRangeStart w:id="257"/>
      <w:r w:rsidR="007D0591" w:rsidRPr="002815F4">
        <w:rPr>
          <w:rFonts w:ascii="Calibri" w:hAnsi="Calibri"/>
        </w:rPr>
        <w:t>requirement</w:t>
      </w:r>
      <w:commentRangeEnd w:id="257"/>
      <w:r w:rsidR="00237E0F">
        <w:rPr>
          <w:rStyle w:val="CommentReference"/>
          <w:szCs w:val="20"/>
        </w:rPr>
        <w:commentReference w:id="257"/>
      </w:r>
      <w:r w:rsidR="007D0591" w:rsidRPr="002815F4">
        <w:rPr>
          <w:rFonts w:ascii="Calibri" w:hAnsi="Calibri"/>
        </w:rPr>
        <w:t>.</w:t>
      </w:r>
    </w:p>
    <w:p w14:paraId="1BF613E0" w14:textId="3CD6C086" w:rsidR="00533AAF" w:rsidRPr="002815F4" w:rsidRDefault="00AA5F09" w:rsidP="00533AAF">
      <w:pPr>
        <w:spacing w:before="120"/>
        <w:rPr>
          <w:rFonts w:ascii="Calibri" w:hAnsi="Calibri"/>
        </w:rPr>
      </w:pPr>
      <w:r w:rsidRPr="002815F4">
        <w:rPr>
          <w:rFonts w:ascii="Calibri" w:hAnsi="Calibri"/>
        </w:rPr>
        <w:t xml:space="preserve">To further strengthen implementation, the MSG </w:t>
      </w:r>
      <w:r w:rsidR="00A5233B" w:rsidRPr="002815F4">
        <w:rPr>
          <w:rFonts w:ascii="Calibri" w:hAnsi="Calibri"/>
        </w:rPr>
        <w:t xml:space="preserve">could ensure that future EITI Reports include publicly-accessible </w:t>
      </w:r>
      <w:r w:rsidR="001720C0" w:rsidRPr="002815F4">
        <w:rPr>
          <w:rFonts w:ascii="Calibri" w:hAnsi="Calibri"/>
        </w:rPr>
        <w:t xml:space="preserve">and audited </w:t>
      </w:r>
      <w:r w:rsidR="00A5233B" w:rsidRPr="002815F4">
        <w:rPr>
          <w:rFonts w:ascii="Calibri" w:hAnsi="Calibri"/>
        </w:rPr>
        <w:t xml:space="preserve">evidence of </w:t>
      </w:r>
      <w:r w:rsidR="001720C0" w:rsidRPr="002815F4">
        <w:rPr>
          <w:rFonts w:ascii="Calibri" w:hAnsi="Calibri"/>
        </w:rPr>
        <w:t xml:space="preserve">any exceptional material payment to government from companies without contractual links to Senegal. </w:t>
      </w:r>
    </w:p>
    <w:p w14:paraId="4D154672" w14:textId="03F0B626" w:rsidR="000722F1" w:rsidRPr="002815F4" w:rsidRDefault="000722F1" w:rsidP="009B3E66">
      <w:pPr>
        <w:pStyle w:val="Heading2"/>
      </w:pPr>
      <w:bookmarkStart w:id="258" w:name="_Toc459133141"/>
      <w:bookmarkStart w:id="259" w:name="_Toc461803091"/>
      <w:bookmarkStart w:id="260" w:name="_Toc461787342"/>
      <w:bookmarkStart w:id="261" w:name="_Toc461795854"/>
      <w:bookmarkStart w:id="262" w:name="_Toc462149191"/>
      <w:r w:rsidRPr="002815F4">
        <w:lastRenderedPageBreak/>
        <w:t>In-kind revenues (#4.</w:t>
      </w:r>
      <w:r w:rsidR="008D3D57" w:rsidRPr="002815F4">
        <w:t>2</w:t>
      </w:r>
      <w:r w:rsidRPr="002815F4">
        <w:t>)</w:t>
      </w:r>
      <w:bookmarkEnd w:id="258"/>
      <w:bookmarkEnd w:id="259"/>
      <w:bookmarkEnd w:id="260"/>
      <w:bookmarkEnd w:id="261"/>
      <w:bookmarkEnd w:id="262"/>
    </w:p>
    <w:p w14:paraId="02A06985" w14:textId="2B6A4388" w:rsidR="007236DF" w:rsidRPr="002815F4" w:rsidRDefault="00FB10EA" w:rsidP="009B3E66">
      <w:pPr>
        <w:pStyle w:val="Heading3"/>
      </w:pPr>
      <w:r w:rsidRPr="002815F4">
        <w:t xml:space="preserve">Documentation of progress </w:t>
      </w:r>
    </w:p>
    <w:p w14:paraId="27E5C9EC" w14:textId="3F545210" w:rsidR="00A73127" w:rsidRPr="002815F4" w:rsidRDefault="00A73127" w:rsidP="00FB10EA">
      <w:pPr>
        <w:spacing w:before="120"/>
        <w:rPr>
          <w:rFonts w:ascii="Calibri" w:hAnsi="Calibri"/>
        </w:rPr>
      </w:pPr>
      <w:r w:rsidRPr="002815F4">
        <w:rPr>
          <w:rFonts w:ascii="Calibri" w:hAnsi="Calibri"/>
        </w:rPr>
        <w:t xml:space="preserve">While the 2014 EITI Report does not explicitly state whether the state </w:t>
      </w:r>
      <w:r w:rsidR="00C54764" w:rsidRPr="002815F4">
        <w:rPr>
          <w:rFonts w:ascii="Calibri" w:hAnsi="Calibri"/>
        </w:rPr>
        <w:t xml:space="preserve">is statutorily entitled to </w:t>
      </w:r>
      <w:r w:rsidRPr="002815F4">
        <w:rPr>
          <w:rFonts w:ascii="Calibri" w:hAnsi="Calibri"/>
        </w:rPr>
        <w:t>receive any in-kind revenues in the mining sector, its reference to difficulties in developing the Falémé iron ore deposits and the lack of dividends from Miferso to the government to date imply that there were no in-kind revenues collected by Miferso in 2014 regardless of any statutory provisions for in-kind revenues (2014 EITI Report, p.35). While the report also describes the government’s statutory entitlement to a 10% free-carry stake in all mining production license-holders and provides a list of state participation in the mining sector (2014 EITI Report, p.35), it does not clarify whether the government receives any revenues in-kind as a result of these stakes. In oil and gas, the 2014 EITI Report describes Petrosen’s role in commercialising the state’s in-kind revenues under the terms of PSCs</w:t>
      </w:r>
      <w:r w:rsidR="00E83D8F" w:rsidRPr="002815F4">
        <w:rPr>
          <w:rFonts w:ascii="Calibri" w:hAnsi="Calibri"/>
        </w:rPr>
        <w:t xml:space="preserve"> (Profit Oil)</w:t>
      </w:r>
      <w:r w:rsidR="00EE43A7" w:rsidRPr="002815F4">
        <w:rPr>
          <w:rFonts w:ascii="Calibri" w:hAnsi="Calibri"/>
        </w:rPr>
        <w:t xml:space="preserve"> and transferring the sales proceeds to the Treasury (2014 EITI Report, pp.54,154). However, the report also clarifies that, in practice, the state’s in-kind revenue entitlements for the sole producing block (Fortesa’s natural gas production) are sold by the operator, with the proceeds transferred in cash rather than in kind </w:t>
      </w:r>
      <w:r w:rsidR="00E83D8F" w:rsidRPr="002815F4">
        <w:rPr>
          <w:rFonts w:ascii="Calibri" w:hAnsi="Calibri"/>
        </w:rPr>
        <w:t xml:space="preserve">(2014 EITI Report, </w:t>
      </w:r>
      <w:r w:rsidR="00EE43A7" w:rsidRPr="002815F4">
        <w:rPr>
          <w:rFonts w:ascii="Calibri" w:hAnsi="Calibri"/>
        </w:rPr>
        <w:t>p.54).</w:t>
      </w:r>
    </w:p>
    <w:p w14:paraId="034FA96C" w14:textId="3B2A0974" w:rsidR="007236DF" w:rsidRPr="002815F4" w:rsidRDefault="00FB10EA" w:rsidP="009B3E66">
      <w:pPr>
        <w:pStyle w:val="Heading3"/>
      </w:pPr>
      <w:r w:rsidRPr="002815F4">
        <w:t xml:space="preserve">Stakeholder views </w:t>
      </w:r>
    </w:p>
    <w:p w14:paraId="03EDC08F" w14:textId="681BA941" w:rsidR="006A55F1" w:rsidRPr="002815F4" w:rsidRDefault="006A55F1">
      <w:pPr>
        <w:spacing w:before="120"/>
        <w:rPr>
          <w:rFonts w:ascii="Calibri" w:hAnsi="Calibri"/>
          <w:bCs/>
        </w:rPr>
      </w:pPr>
      <w:r w:rsidRPr="002815F4">
        <w:rPr>
          <w:rFonts w:ascii="Calibri" w:hAnsi="Calibri"/>
          <w:bCs/>
        </w:rPr>
        <w:t>All stakeholders consulted, including from the Treasury, Petrosen and the sole oil and gas producing company Fortesa, confirmed that the government did not receive any revenues in-kind. Stakeholders confirmed that the state’s in-kind gas revenues were commercialised by the operator, Fortesa, with the cash proceeds transferred in-kind</w:t>
      </w:r>
      <w:r w:rsidR="00C67A4C" w:rsidRPr="002815F4">
        <w:rPr>
          <w:rFonts w:ascii="Calibri" w:hAnsi="Calibri"/>
          <w:bCs/>
        </w:rPr>
        <w:t xml:space="preserve"> to the Treasury. Government representatives confirmed that there were no statutory provisions for the state to receive any in-kind rev</w:t>
      </w:r>
      <w:r w:rsidR="00341A06" w:rsidRPr="002815F4">
        <w:rPr>
          <w:rFonts w:ascii="Calibri" w:hAnsi="Calibri"/>
          <w:bCs/>
        </w:rPr>
        <w:t>e</w:t>
      </w:r>
      <w:r w:rsidR="00C67A4C" w:rsidRPr="002815F4">
        <w:rPr>
          <w:rFonts w:ascii="Calibri" w:hAnsi="Calibri"/>
          <w:bCs/>
        </w:rPr>
        <w:t xml:space="preserve">nues in the mining sector. </w:t>
      </w:r>
    </w:p>
    <w:p w14:paraId="5A7937B4" w14:textId="4EF628FE" w:rsidR="00FB10EA" w:rsidRPr="002815F4" w:rsidRDefault="00FB10EA" w:rsidP="009B3E66">
      <w:pPr>
        <w:pStyle w:val="Heading3"/>
      </w:pPr>
      <w:bookmarkStart w:id="263" w:name="_Toc459133144"/>
      <w:bookmarkStart w:id="264" w:name="_Toc461803094"/>
      <w:r w:rsidRPr="002815F4">
        <w:t>Initial assessment</w:t>
      </w:r>
      <w:bookmarkEnd w:id="263"/>
      <w:bookmarkEnd w:id="264"/>
    </w:p>
    <w:p w14:paraId="462E1D16" w14:textId="40B04B58" w:rsidR="00E83D8F" w:rsidRPr="002815F4" w:rsidRDefault="00FB10EA" w:rsidP="00B90F5B">
      <w:pPr>
        <w:spacing w:before="120"/>
        <w:rPr>
          <w:rFonts w:ascii="Calibri" w:hAnsi="Calibri"/>
        </w:rPr>
      </w:pPr>
      <w:r w:rsidRPr="002815F4">
        <w:rPr>
          <w:rFonts w:ascii="Calibri" w:hAnsi="Calibri"/>
        </w:rPr>
        <w:t>The International Secretariat’s initial assessment is that</w:t>
      </w:r>
      <w:r w:rsidR="00E83D8F" w:rsidRPr="002815F4">
        <w:rPr>
          <w:rFonts w:ascii="Calibri" w:hAnsi="Calibri"/>
        </w:rPr>
        <w:t xml:space="preserve"> this requirement is </w:t>
      </w:r>
      <w:commentRangeStart w:id="265"/>
      <w:r w:rsidR="00E83D8F" w:rsidRPr="002815F4">
        <w:rPr>
          <w:rFonts w:ascii="Calibri" w:hAnsi="Calibri"/>
        </w:rPr>
        <w:t xml:space="preserve">not applicable </w:t>
      </w:r>
      <w:commentRangeEnd w:id="265"/>
      <w:r w:rsidR="006C1263">
        <w:rPr>
          <w:rStyle w:val="CommentReference"/>
          <w:szCs w:val="20"/>
        </w:rPr>
        <w:commentReference w:id="265"/>
      </w:r>
      <w:r w:rsidR="00E83D8F" w:rsidRPr="002815F4">
        <w:rPr>
          <w:rFonts w:ascii="Calibri" w:hAnsi="Calibri"/>
        </w:rPr>
        <w:t>to Senegal in the year under review. The 2014 EITI Report describes the general statutory procedures for Petrosen’s commercialisation of the state’s in-kind revenues and confirms that the state’s statutory in-kind revenue entitlements from Senegal’s sole producing license are commercialised by the operator, who transfers the proceeds in cash to the government.</w:t>
      </w:r>
      <w:r w:rsidR="00C67A4C" w:rsidRPr="002815F4">
        <w:rPr>
          <w:rFonts w:ascii="Calibri" w:hAnsi="Calibri"/>
        </w:rPr>
        <w:t xml:space="preserve"> The International Secretariat understands that there are no regulatory provisions for the state to receive any in-kind revenues from the mining sector. </w:t>
      </w:r>
    </w:p>
    <w:p w14:paraId="3E87F482" w14:textId="77777777" w:rsidR="008D3D57" w:rsidRPr="002815F4" w:rsidRDefault="008D3D57" w:rsidP="009B3E66">
      <w:pPr>
        <w:pStyle w:val="Heading2"/>
      </w:pPr>
      <w:bookmarkStart w:id="266" w:name="_Toc459133145"/>
      <w:bookmarkStart w:id="267" w:name="_Toc461803095"/>
      <w:bookmarkStart w:id="268" w:name="_Toc461787343"/>
      <w:bookmarkStart w:id="269" w:name="_Toc461795855"/>
      <w:bookmarkStart w:id="270" w:name="_Toc462149192"/>
      <w:bookmarkStart w:id="271" w:name="_Toc459133146"/>
      <w:r w:rsidRPr="002815F4">
        <w:t>Barter and infrastructure transactions (#4.3)</w:t>
      </w:r>
      <w:bookmarkEnd w:id="266"/>
      <w:bookmarkEnd w:id="267"/>
      <w:bookmarkEnd w:id="268"/>
      <w:bookmarkEnd w:id="269"/>
      <w:bookmarkEnd w:id="270"/>
    </w:p>
    <w:bookmarkEnd w:id="271"/>
    <w:p w14:paraId="394396FB" w14:textId="670793DE" w:rsidR="008A023B" w:rsidRPr="002815F4" w:rsidRDefault="009F0617" w:rsidP="009B3E66">
      <w:pPr>
        <w:pStyle w:val="Heading3"/>
      </w:pPr>
      <w:r w:rsidRPr="002815F4">
        <w:t xml:space="preserve">Documentation of progress </w:t>
      </w:r>
    </w:p>
    <w:p w14:paraId="199CFB0C" w14:textId="047E9F44" w:rsidR="00F85C79" w:rsidRPr="002815F4" w:rsidRDefault="00E800A5" w:rsidP="00C8623E">
      <w:pPr>
        <w:spacing w:before="120"/>
        <w:rPr>
          <w:rFonts w:ascii="Calibri" w:hAnsi="Calibri"/>
        </w:rPr>
      </w:pPr>
      <w:r w:rsidRPr="002815F4">
        <w:rPr>
          <w:rFonts w:ascii="Calibri" w:hAnsi="Calibri"/>
        </w:rPr>
        <w:t xml:space="preserve">In oil and gas, the 2014 EITI Report states that, to the IA’s knowledge, no oil and gas PSC active in 2014 included any provisions for barters or infrastructure developments (2014 EITI Report, p.55). </w:t>
      </w:r>
    </w:p>
    <w:p w14:paraId="72FC379C" w14:textId="4647571E" w:rsidR="00E800A5" w:rsidRPr="002815F4" w:rsidRDefault="00E800A5" w:rsidP="00C8623E">
      <w:pPr>
        <w:spacing w:before="120"/>
        <w:rPr>
          <w:rFonts w:ascii="Calibri" w:hAnsi="Calibri"/>
        </w:rPr>
      </w:pPr>
      <w:r w:rsidRPr="002815F4">
        <w:rPr>
          <w:rFonts w:ascii="Calibri" w:hAnsi="Calibri"/>
        </w:rPr>
        <w:t xml:space="preserve">In mining, </w:t>
      </w:r>
      <w:r w:rsidR="00786C86" w:rsidRPr="002815F4">
        <w:rPr>
          <w:rFonts w:ascii="Calibri" w:hAnsi="Calibri"/>
        </w:rPr>
        <w:t xml:space="preserve">the 2014 EITI Report describes one transaction that could potentially be defined as a barter arrangement and a second project that could be categorised as an infrastructure provision to an </w:t>
      </w:r>
      <w:r w:rsidR="00341A06" w:rsidRPr="002815F4">
        <w:rPr>
          <w:rFonts w:ascii="Calibri" w:hAnsi="Calibri"/>
        </w:rPr>
        <w:t xml:space="preserve">extractives </w:t>
      </w:r>
      <w:r w:rsidR="00786C86" w:rsidRPr="002815F4">
        <w:rPr>
          <w:rFonts w:ascii="Calibri" w:hAnsi="Calibri"/>
        </w:rPr>
        <w:t xml:space="preserve">project. </w:t>
      </w:r>
      <w:r w:rsidR="001A5350" w:rsidRPr="002815F4">
        <w:rPr>
          <w:rFonts w:ascii="Calibri" w:hAnsi="Calibri"/>
        </w:rPr>
        <w:t xml:space="preserve">However, the latter was not effective in 2014, having been signed in 2015. </w:t>
      </w:r>
    </w:p>
    <w:p w14:paraId="4821A6B5" w14:textId="32577D22" w:rsidR="00021CAE" w:rsidRPr="002815F4" w:rsidRDefault="00021CAE">
      <w:pPr>
        <w:spacing w:before="120"/>
        <w:rPr>
          <w:rFonts w:ascii="Calibri" w:hAnsi="Calibri"/>
        </w:rPr>
      </w:pPr>
      <w:r w:rsidRPr="002815F4">
        <w:rPr>
          <w:rFonts w:ascii="Calibri" w:hAnsi="Calibri"/>
        </w:rPr>
        <w:t>In the first case, the 2014 EITI R</w:t>
      </w:r>
      <w:r w:rsidR="00786C86" w:rsidRPr="002815F4">
        <w:rPr>
          <w:rFonts w:ascii="Calibri" w:hAnsi="Calibri"/>
        </w:rPr>
        <w:t xml:space="preserve">eport describes the January 2014 acquisition by Teranga of the company </w:t>
      </w:r>
      <w:r w:rsidR="00786C86" w:rsidRPr="002815F4">
        <w:rPr>
          <w:rFonts w:ascii="Calibri" w:hAnsi="Calibri"/>
        </w:rPr>
        <w:lastRenderedPageBreak/>
        <w:t>Oromin Joint Venture Group (O</w:t>
      </w:r>
      <w:r w:rsidR="003133C1" w:rsidRPr="002815F4">
        <w:rPr>
          <w:rFonts w:ascii="Calibri" w:hAnsi="Calibri"/>
        </w:rPr>
        <w:t>JVG) (2014 EITI Report, p.37). Teranga control</w:t>
      </w:r>
      <w:r w:rsidRPr="002815F4">
        <w:rPr>
          <w:rFonts w:ascii="Calibri" w:hAnsi="Calibri"/>
        </w:rPr>
        <w:t>led</w:t>
      </w:r>
      <w:r w:rsidR="003133C1" w:rsidRPr="002815F4">
        <w:rPr>
          <w:rFonts w:ascii="Calibri" w:hAnsi="Calibri"/>
        </w:rPr>
        <w:t xml:space="preserve"> (through Sabodala Gold Mau</w:t>
      </w:r>
      <w:r w:rsidR="00786C86" w:rsidRPr="002815F4">
        <w:rPr>
          <w:rFonts w:ascii="Calibri" w:hAnsi="Calibri"/>
        </w:rPr>
        <w:t>r</w:t>
      </w:r>
      <w:r w:rsidR="003133C1" w:rsidRPr="002815F4">
        <w:rPr>
          <w:rFonts w:ascii="Calibri" w:hAnsi="Calibri"/>
        </w:rPr>
        <w:t>itius Ltd)</w:t>
      </w:r>
      <w:r w:rsidR="00786C86" w:rsidRPr="002815F4">
        <w:rPr>
          <w:rFonts w:ascii="Calibri" w:hAnsi="Calibri"/>
        </w:rPr>
        <w:t xml:space="preserve"> 90% of Sabodala </w:t>
      </w:r>
      <w:r w:rsidR="003133C1" w:rsidRPr="002815F4">
        <w:rPr>
          <w:rFonts w:ascii="Calibri" w:hAnsi="Calibri"/>
        </w:rPr>
        <w:t>Gold Operations (</w:t>
      </w:r>
      <w:r w:rsidR="00786C86" w:rsidRPr="002815F4">
        <w:rPr>
          <w:rFonts w:ascii="Calibri" w:hAnsi="Calibri"/>
        </w:rPr>
        <w:t>the Senegalese entity developing</w:t>
      </w:r>
      <w:r w:rsidR="003133C1" w:rsidRPr="002815F4">
        <w:rPr>
          <w:rFonts w:ascii="Calibri" w:hAnsi="Calibri"/>
        </w:rPr>
        <w:t xml:space="preserve"> the Sabodala gold mine) alongside the Government of Senegal</w:t>
      </w:r>
      <w:r w:rsidR="00786C86" w:rsidRPr="002815F4">
        <w:rPr>
          <w:rFonts w:ascii="Calibri" w:hAnsi="Calibri"/>
        </w:rPr>
        <w:t xml:space="preserve"> </w:t>
      </w:r>
      <w:r w:rsidR="003133C1" w:rsidRPr="002815F4">
        <w:rPr>
          <w:rFonts w:ascii="Calibri" w:hAnsi="Calibri"/>
        </w:rPr>
        <w:t>and 100% of Sabodala Mining Co.</w:t>
      </w:r>
      <w:r w:rsidR="00786C86" w:rsidRPr="002815F4">
        <w:rPr>
          <w:rFonts w:ascii="Calibri" w:hAnsi="Calibri"/>
        </w:rPr>
        <w:t xml:space="preserve"> </w:t>
      </w:r>
      <w:r w:rsidR="003133C1" w:rsidRPr="002815F4">
        <w:rPr>
          <w:rFonts w:ascii="Calibri" w:hAnsi="Calibri"/>
        </w:rPr>
        <w:t xml:space="preserve">(the </w:t>
      </w:r>
      <w:r w:rsidR="00786C86" w:rsidRPr="002815F4">
        <w:rPr>
          <w:rFonts w:ascii="Calibri" w:hAnsi="Calibri"/>
        </w:rPr>
        <w:t>Senegalese entity that controls exploration licenses</w:t>
      </w:r>
      <w:r w:rsidR="003133C1" w:rsidRPr="002815F4">
        <w:rPr>
          <w:rFonts w:ascii="Calibri" w:hAnsi="Calibri"/>
        </w:rPr>
        <w:t>)</w:t>
      </w:r>
      <w:r w:rsidRPr="002815F4">
        <w:rPr>
          <w:rFonts w:ascii="Calibri" w:hAnsi="Calibri"/>
        </w:rPr>
        <w:t>.</w:t>
      </w:r>
      <w:r w:rsidR="003133C1" w:rsidRPr="002815F4">
        <w:rPr>
          <w:rFonts w:ascii="Calibri" w:hAnsi="Calibri"/>
        </w:rPr>
        <w:t xml:space="preserve"> </w:t>
      </w:r>
      <w:r w:rsidRPr="002815F4">
        <w:rPr>
          <w:rFonts w:ascii="Calibri" w:hAnsi="Calibri"/>
        </w:rPr>
        <w:t xml:space="preserve">The report states that the government was entitled to an option to acquire an additional stake in OJVG but that it forfeited this option, for which it was entitled to a USD 10m payment from Teranga (2014 EITI Report, p.37). The report explains that these USD 10m were due </w:t>
      </w:r>
      <w:r w:rsidR="00786C86" w:rsidRPr="002815F4">
        <w:rPr>
          <w:rFonts w:ascii="Calibri" w:hAnsi="Calibri"/>
        </w:rPr>
        <w:t xml:space="preserve">to be spent to </w:t>
      </w:r>
      <w:r w:rsidRPr="002815F4">
        <w:rPr>
          <w:rFonts w:ascii="Calibri" w:hAnsi="Calibri"/>
        </w:rPr>
        <w:t xml:space="preserve">either </w:t>
      </w:r>
      <w:r w:rsidR="00786C86" w:rsidRPr="002815F4">
        <w:rPr>
          <w:rFonts w:ascii="Calibri" w:hAnsi="Calibri"/>
        </w:rPr>
        <w:t>develop</w:t>
      </w:r>
      <w:r w:rsidRPr="002815F4">
        <w:rPr>
          <w:rFonts w:ascii="Calibri" w:hAnsi="Calibri"/>
        </w:rPr>
        <w:t xml:space="preserve"> community projects in the mine-</w:t>
      </w:r>
      <w:r w:rsidR="00786C86" w:rsidRPr="002815F4">
        <w:rPr>
          <w:rFonts w:ascii="Calibri" w:hAnsi="Calibri"/>
        </w:rPr>
        <w:t xml:space="preserve">affected area and paid directly to </w:t>
      </w:r>
      <w:r w:rsidRPr="002815F4">
        <w:rPr>
          <w:rFonts w:ascii="Calibri" w:hAnsi="Calibri"/>
        </w:rPr>
        <w:t>contractors</w:t>
      </w:r>
      <w:r w:rsidR="00786C86" w:rsidRPr="002815F4">
        <w:rPr>
          <w:rFonts w:ascii="Calibri" w:hAnsi="Calibri"/>
        </w:rPr>
        <w:t xml:space="preserve"> or paid to ministries of the government’s </w:t>
      </w:r>
      <w:r w:rsidRPr="002815F4">
        <w:rPr>
          <w:rFonts w:ascii="Calibri" w:hAnsi="Calibri"/>
        </w:rPr>
        <w:t>choosing (2014 EITI Report, p.37).</w:t>
      </w:r>
      <w:r w:rsidR="00786C86" w:rsidRPr="002815F4">
        <w:rPr>
          <w:rFonts w:ascii="Calibri" w:hAnsi="Calibri"/>
        </w:rPr>
        <w:t xml:space="preserve"> </w:t>
      </w:r>
      <w:r w:rsidRPr="002815F4">
        <w:rPr>
          <w:rFonts w:ascii="Calibri" w:hAnsi="Calibri"/>
        </w:rPr>
        <w:t xml:space="preserve">The report confirms that a total of USD 1.5m was paid in 2014 under the terms of this agreement, with the principal project being the establishment of a “Community Agricultural Sector” (“Domaine Agricole Communautaires”) (2014 EITI Report, p.37). However, the 2014 EITI Report does not clarify the beneficiary of these payments, the precise breakdown in the total USD 1.5m spent in 2014 nor the precise categorisation of such payments. </w:t>
      </w:r>
      <w:r w:rsidR="00CE7ECE" w:rsidRPr="002815F4">
        <w:rPr>
          <w:rFonts w:ascii="Calibri" w:hAnsi="Calibri"/>
        </w:rPr>
        <w:t>On 22 September 2017 however, the EITI Senegal Secretariat published a detailed breakdown of the USD 1.5m in expenditure under the Teranga barter agreement in 2014 on its website.</w:t>
      </w:r>
      <w:r w:rsidR="00CE7ECE" w:rsidRPr="002815F4">
        <w:rPr>
          <w:rStyle w:val="FootnoteReference"/>
          <w:rFonts w:ascii="Calibri" w:hAnsi="Calibri"/>
        </w:rPr>
        <w:footnoteReference w:id="64"/>
      </w:r>
    </w:p>
    <w:p w14:paraId="36977523" w14:textId="28664B6C" w:rsidR="00337889" w:rsidRPr="002815F4" w:rsidRDefault="00021CAE">
      <w:pPr>
        <w:spacing w:before="120"/>
        <w:rPr>
          <w:rFonts w:ascii="Calibri" w:hAnsi="Calibri"/>
        </w:rPr>
      </w:pPr>
      <w:r w:rsidRPr="002815F4">
        <w:rPr>
          <w:rFonts w:ascii="Calibri" w:hAnsi="Calibri"/>
        </w:rPr>
        <w:t>In the second case, the 2014 EITI Report</w:t>
      </w:r>
      <w:r w:rsidR="00500D85" w:rsidRPr="002815F4">
        <w:rPr>
          <w:rFonts w:ascii="Calibri" w:hAnsi="Calibri"/>
        </w:rPr>
        <w:t xml:space="preserve"> describes the integrated Falémé</w:t>
      </w:r>
      <w:r w:rsidR="00337889" w:rsidRPr="002815F4">
        <w:rPr>
          <w:rFonts w:ascii="Calibri" w:hAnsi="Calibri"/>
        </w:rPr>
        <w:t xml:space="preserve"> railway </w:t>
      </w:r>
      <w:r w:rsidR="00500D85" w:rsidRPr="002815F4">
        <w:rPr>
          <w:rFonts w:ascii="Calibri" w:hAnsi="Calibri"/>
        </w:rPr>
        <w:t xml:space="preserve">and mineral port </w:t>
      </w:r>
      <w:r w:rsidR="00337889" w:rsidRPr="002815F4">
        <w:rPr>
          <w:rFonts w:ascii="Calibri" w:hAnsi="Calibri"/>
        </w:rPr>
        <w:t xml:space="preserve">project, which includes </w:t>
      </w:r>
      <w:r w:rsidR="00500D85" w:rsidRPr="002815F4">
        <w:rPr>
          <w:rFonts w:ascii="Calibri" w:hAnsi="Calibri"/>
        </w:rPr>
        <w:t>development of two railways</w:t>
      </w:r>
      <w:r w:rsidR="00500D85" w:rsidRPr="002815F4">
        <w:rPr>
          <w:rStyle w:val="FootnoteReference"/>
          <w:rFonts w:ascii="Calibri" w:hAnsi="Calibri"/>
        </w:rPr>
        <w:footnoteReference w:id="65"/>
      </w:r>
      <w:r w:rsidR="00337889" w:rsidRPr="002815F4">
        <w:rPr>
          <w:rFonts w:ascii="Calibri" w:hAnsi="Calibri"/>
        </w:rPr>
        <w:t xml:space="preserve"> valued at a </w:t>
      </w:r>
      <w:r w:rsidR="00500D85" w:rsidRPr="002815F4">
        <w:rPr>
          <w:rFonts w:ascii="Calibri" w:hAnsi="Calibri"/>
        </w:rPr>
        <w:t xml:space="preserve">combined </w:t>
      </w:r>
      <w:r w:rsidR="00337889" w:rsidRPr="002815F4">
        <w:rPr>
          <w:rFonts w:ascii="Calibri" w:hAnsi="Calibri"/>
        </w:rPr>
        <w:t xml:space="preserve">total of </w:t>
      </w:r>
      <w:r w:rsidR="00500D85" w:rsidRPr="002815F4">
        <w:rPr>
          <w:rFonts w:ascii="Calibri" w:hAnsi="Calibri"/>
        </w:rPr>
        <w:t xml:space="preserve">XOF </w:t>
      </w:r>
      <w:r w:rsidR="00337889" w:rsidRPr="002815F4">
        <w:rPr>
          <w:rFonts w:ascii="Calibri" w:hAnsi="Calibri"/>
        </w:rPr>
        <w:t>1000</w:t>
      </w:r>
      <w:r w:rsidR="00500D85" w:rsidRPr="002815F4">
        <w:rPr>
          <w:rFonts w:ascii="Calibri" w:hAnsi="Calibri"/>
        </w:rPr>
        <w:t xml:space="preserve">bn and </w:t>
      </w:r>
      <w:r w:rsidR="00337889" w:rsidRPr="002815F4">
        <w:rPr>
          <w:rFonts w:ascii="Calibri" w:hAnsi="Calibri"/>
        </w:rPr>
        <w:t xml:space="preserve">a </w:t>
      </w:r>
      <w:r w:rsidR="00500D85" w:rsidRPr="002815F4">
        <w:rPr>
          <w:rFonts w:ascii="Calibri" w:hAnsi="Calibri"/>
        </w:rPr>
        <w:t xml:space="preserve">new </w:t>
      </w:r>
      <w:r w:rsidR="002815F4" w:rsidRPr="002815F4">
        <w:rPr>
          <w:rFonts w:ascii="Calibri" w:hAnsi="Calibri"/>
        </w:rPr>
        <w:t>deep-water</w:t>
      </w:r>
      <w:r w:rsidR="00500D85" w:rsidRPr="002815F4">
        <w:rPr>
          <w:rFonts w:ascii="Calibri" w:hAnsi="Calibri"/>
        </w:rPr>
        <w:t xml:space="preserve"> mineral port in Bargny</w:t>
      </w:r>
      <w:r w:rsidR="00337889" w:rsidRPr="002815F4">
        <w:rPr>
          <w:rFonts w:ascii="Calibri" w:hAnsi="Calibri"/>
        </w:rPr>
        <w:t xml:space="preserve"> valued at </w:t>
      </w:r>
      <w:r w:rsidR="00500D85" w:rsidRPr="002815F4">
        <w:rPr>
          <w:rFonts w:ascii="Calibri" w:hAnsi="Calibri"/>
        </w:rPr>
        <w:t xml:space="preserve">XOF 368bn (2014 EITI Report, p.37). </w:t>
      </w:r>
      <w:r w:rsidR="00C018B3" w:rsidRPr="002815F4">
        <w:rPr>
          <w:rFonts w:ascii="Calibri" w:hAnsi="Calibri"/>
        </w:rPr>
        <w:t xml:space="preserve">While the report specifies that the </w:t>
      </w:r>
      <w:r w:rsidR="00337889" w:rsidRPr="002815F4">
        <w:rPr>
          <w:rFonts w:ascii="Calibri" w:hAnsi="Calibri"/>
        </w:rPr>
        <w:t xml:space="preserve">project was only launched in 2015 and was </w:t>
      </w:r>
      <w:r w:rsidR="00C018B3" w:rsidRPr="002815F4">
        <w:rPr>
          <w:rFonts w:ascii="Calibri" w:hAnsi="Calibri"/>
        </w:rPr>
        <w:t xml:space="preserve">thus </w:t>
      </w:r>
      <w:r w:rsidR="00337889" w:rsidRPr="002815F4">
        <w:rPr>
          <w:rFonts w:ascii="Calibri" w:hAnsi="Calibri"/>
        </w:rPr>
        <w:t>not in force in 2014</w:t>
      </w:r>
      <w:r w:rsidR="00C018B3" w:rsidRPr="002815F4">
        <w:rPr>
          <w:rFonts w:ascii="Calibri" w:hAnsi="Calibri"/>
        </w:rPr>
        <w:t xml:space="preserve">, it does not provide any additional information on the structure of the project or on the contractual provisions governing the infrastructure developments. </w:t>
      </w:r>
    </w:p>
    <w:p w14:paraId="7C84173B" w14:textId="77777777" w:rsidR="00E91ADB" w:rsidRPr="002815F4" w:rsidRDefault="009F0617" w:rsidP="009B3E66">
      <w:pPr>
        <w:pStyle w:val="Heading3"/>
      </w:pPr>
      <w:r w:rsidRPr="002815F4">
        <w:t>Stakeholder views</w:t>
      </w:r>
    </w:p>
    <w:p w14:paraId="6724DE75" w14:textId="300E1B16" w:rsidR="00DD1806" w:rsidRPr="002815F4" w:rsidRDefault="00577B49" w:rsidP="00DD1806">
      <w:pPr>
        <w:spacing w:before="120"/>
        <w:rPr>
          <w:rFonts w:ascii="Calibri" w:hAnsi="Calibri"/>
          <w:bCs/>
        </w:rPr>
      </w:pPr>
      <w:r w:rsidRPr="002815F4">
        <w:rPr>
          <w:rFonts w:ascii="Calibri" w:hAnsi="Calibri"/>
          <w:bCs/>
        </w:rPr>
        <w:t xml:space="preserve">The IA, MSG members and secretariat staff confirmed that they considered the Teranga-OJVG transaction involved a barter-type agreement and defended this choice over a categorisation of the transaction as involving mandatory social expenditures. There was consensus that the transaction involved the exchange of the government’s option to acquire </w:t>
      </w:r>
      <w:r w:rsidR="00020571" w:rsidRPr="002815F4">
        <w:rPr>
          <w:rFonts w:ascii="Calibri" w:hAnsi="Calibri"/>
          <w:bCs/>
        </w:rPr>
        <w:t xml:space="preserve">an additional stake in OJVG for the provision of infrastructure for the host community. A former secretariat staff and the IA noted that this transaction involved the exchange of two non-monetary items, which justified its categorisation as a barter for EITI reporting purposes. The former staff explained that mandatory social expenditures did not involve any counter-party and thus did not consider this type of transaction as a form of mandatory social expenditure. Secretariat staff and the MSG also explained that the context for the decision was important in the MSG’s approach, given that the government was seeking to develop regional infrastructure with limited budgetary means. </w:t>
      </w:r>
      <w:r w:rsidR="00A322A2" w:rsidRPr="002815F4">
        <w:rPr>
          <w:rFonts w:ascii="Calibri" w:hAnsi="Calibri"/>
          <w:bCs/>
        </w:rPr>
        <w:t xml:space="preserve">Secretariat staff </w:t>
      </w:r>
      <w:r w:rsidR="00BA071B" w:rsidRPr="002815F4">
        <w:rPr>
          <w:rFonts w:ascii="Calibri" w:hAnsi="Calibri"/>
          <w:bCs/>
        </w:rPr>
        <w:t>stated</w:t>
      </w:r>
      <w:r w:rsidR="00A322A2" w:rsidRPr="002815F4">
        <w:rPr>
          <w:rFonts w:ascii="Calibri" w:hAnsi="Calibri"/>
          <w:bCs/>
        </w:rPr>
        <w:t xml:space="preserve"> that Teranga had provided additional information on the breakdown in USD 1.5m expenditures for the </w:t>
      </w:r>
      <w:r w:rsidR="00A322A2" w:rsidRPr="00F05EEC">
        <w:rPr>
          <w:rFonts w:ascii="Calibri" w:hAnsi="Calibri"/>
          <w:bCs/>
        </w:rPr>
        <w:t>purposes</w:t>
      </w:r>
      <w:r w:rsidR="00A322A2" w:rsidRPr="002815F4">
        <w:rPr>
          <w:rFonts w:ascii="Calibri" w:hAnsi="Calibri"/>
          <w:bCs/>
        </w:rPr>
        <w:t xml:space="preserve"> of the 2014 EITI Report, including a breakdown of 2014 spending and beneficiaries, although the IA had only included a summary of the project in the 2014 EITI Report. </w:t>
      </w:r>
      <w:r w:rsidR="00BA071B" w:rsidRPr="002815F4">
        <w:rPr>
          <w:rFonts w:ascii="Calibri" w:hAnsi="Calibri"/>
          <w:bCs/>
        </w:rPr>
        <w:t xml:space="preserve">However, the IA considered that it had included all information on the barter arrangement provided by Teranga. </w:t>
      </w:r>
      <w:r w:rsidR="006E2BAA" w:rsidRPr="002815F4">
        <w:rPr>
          <w:rFonts w:ascii="Calibri" w:hAnsi="Calibri"/>
          <w:bCs/>
        </w:rPr>
        <w:t>The MSG</w:t>
      </w:r>
      <w:r w:rsidR="00A322A2" w:rsidRPr="002815F4">
        <w:rPr>
          <w:rFonts w:ascii="Calibri" w:hAnsi="Calibri"/>
          <w:bCs/>
        </w:rPr>
        <w:t xml:space="preserve"> considered it an oversight that additional information on the Agricultural Development Project had not been included in the 2014 EITI Report. Secretariat staff explained that there were no confidentiality concerns related to the additional information provided by Teranga and that the </w:t>
      </w:r>
      <w:r w:rsidR="00A322A2" w:rsidRPr="002815F4">
        <w:rPr>
          <w:rFonts w:ascii="Calibri" w:hAnsi="Calibri"/>
          <w:bCs/>
        </w:rPr>
        <w:lastRenderedPageBreak/>
        <w:t xml:space="preserve">secretariat could publish this additional information on the EITI Senegal website. </w:t>
      </w:r>
      <w:r w:rsidR="006E2BAA" w:rsidRPr="002815F4">
        <w:rPr>
          <w:rFonts w:ascii="Calibri" w:hAnsi="Calibri"/>
          <w:bCs/>
        </w:rPr>
        <w:t>The IA highlighted what it considered the lack of clarity in the wording of Requirement 4.3, given that it required a level of detail commensurate with other reconciled financial data. It considered that the information on the barter</w:t>
      </w:r>
      <w:r w:rsidR="000D5D56" w:rsidRPr="002815F4">
        <w:rPr>
          <w:rFonts w:ascii="Calibri" w:hAnsi="Calibri"/>
          <w:bCs/>
        </w:rPr>
        <w:t xml:space="preserve"> in the 2014 EITI Report to be disaggregated by company and revenue stream given that the USD 1.5m spent in 2014 was from one company as one type of payment, but conceded the lack of clarity on the breakdown in spending. </w:t>
      </w:r>
    </w:p>
    <w:p w14:paraId="53DD8117" w14:textId="4B8EFB1F" w:rsidR="00592B1F" w:rsidRPr="002815F4" w:rsidRDefault="00A322A2">
      <w:r w:rsidRPr="002815F4">
        <w:rPr>
          <w:rFonts w:ascii="Calibri" w:hAnsi="Calibri"/>
          <w:bCs/>
        </w:rPr>
        <w:t>On the Falémé integrated project, the IA explained that there was no evidence of a</w:t>
      </w:r>
      <w:r w:rsidR="00592B1F" w:rsidRPr="002815F4">
        <w:t xml:space="preserve"> guarantee from </w:t>
      </w:r>
      <w:r w:rsidRPr="002815F4">
        <w:t xml:space="preserve">the </w:t>
      </w:r>
      <w:r w:rsidR="00592B1F" w:rsidRPr="002815F4">
        <w:t xml:space="preserve">state </w:t>
      </w:r>
      <w:r w:rsidRPr="002815F4">
        <w:t xml:space="preserve">for the project or its associated infrastructure, </w:t>
      </w:r>
      <w:r w:rsidR="00592B1F" w:rsidRPr="002815F4">
        <w:t xml:space="preserve">based </w:t>
      </w:r>
      <w:r w:rsidRPr="002815F4">
        <w:t xml:space="preserve">both on the IA’s </w:t>
      </w:r>
      <w:r w:rsidR="00592B1F" w:rsidRPr="002815F4">
        <w:t xml:space="preserve">consultations </w:t>
      </w:r>
      <w:r w:rsidRPr="002815F4">
        <w:t xml:space="preserve">with stakeholders </w:t>
      </w:r>
      <w:r w:rsidR="00592B1F" w:rsidRPr="002815F4">
        <w:t xml:space="preserve">and on </w:t>
      </w:r>
      <w:r w:rsidRPr="002815F4">
        <w:t xml:space="preserve">government </w:t>
      </w:r>
      <w:r w:rsidR="00592B1F" w:rsidRPr="002815F4">
        <w:t xml:space="preserve">reporting </w:t>
      </w:r>
      <w:r w:rsidRPr="002815F4">
        <w:t>of loans and guarantees</w:t>
      </w:r>
      <w:r w:rsidR="00592B1F" w:rsidRPr="002815F4">
        <w:t xml:space="preserve">. </w:t>
      </w:r>
    </w:p>
    <w:p w14:paraId="3816184B" w14:textId="105171F3" w:rsidR="009F0617" w:rsidRPr="002815F4" w:rsidRDefault="009F0617" w:rsidP="009B3E66">
      <w:pPr>
        <w:pStyle w:val="Heading3"/>
      </w:pPr>
      <w:bookmarkStart w:id="272" w:name="_Toc459133148"/>
      <w:bookmarkStart w:id="273" w:name="_Toc461803098"/>
      <w:r w:rsidRPr="002815F4">
        <w:t>Initial assessment</w:t>
      </w:r>
      <w:bookmarkEnd w:id="272"/>
      <w:bookmarkEnd w:id="273"/>
    </w:p>
    <w:p w14:paraId="294BED03" w14:textId="760A418F" w:rsidR="000722F1" w:rsidRPr="002815F4" w:rsidRDefault="008E15AD" w:rsidP="00725BD3">
      <w:pPr>
        <w:rPr>
          <w:rFonts w:ascii="Calibri" w:hAnsi="Calibri"/>
        </w:rPr>
      </w:pPr>
      <w:r w:rsidRPr="002815F4">
        <w:rPr>
          <w:rFonts w:ascii="Calibri" w:hAnsi="Calibri"/>
        </w:rPr>
        <w:t>T</w:t>
      </w:r>
      <w:r w:rsidR="000F3B8D" w:rsidRPr="002815F4">
        <w:rPr>
          <w:rFonts w:ascii="Calibri" w:hAnsi="Calibri"/>
        </w:rPr>
        <w:t xml:space="preserve">he 2014 EITI Report </w:t>
      </w:r>
      <w:r w:rsidRPr="002815F4">
        <w:rPr>
          <w:rFonts w:ascii="Calibri" w:hAnsi="Calibri"/>
        </w:rPr>
        <w:t xml:space="preserve">describes the </w:t>
      </w:r>
      <w:r w:rsidR="000F3B8D" w:rsidRPr="002815F4">
        <w:rPr>
          <w:rFonts w:ascii="Calibri" w:hAnsi="Calibri"/>
        </w:rPr>
        <w:t xml:space="preserve">structure of </w:t>
      </w:r>
      <w:r w:rsidRPr="002815F4">
        <w:rPr>
          <w:rFonts w:ascii="Calibri" w:hAnsi="Calibri"/>
        </w:rPr>
        <w:t xml:space="preserve">a </w:t>
      </w:r>
      <w:r w:rsidR="000F3B8D" w:rsidRPr="002815F4">
        <w:rPr>
          <w:rFonts w:ascii="Calibri" w:hAnsi="Calibri"/>
        </w:rPr>
        <w:t xml:space="preserve">transaction </w:t>
      </w:r>
      <w:r w:rsidRPr="002815F4">
        <w:rPr>
          <w:rFonts w:ascii="Calibri" w:hAnsi="Calibri"/>
        </w:rPr>
        <w:t xml:space="preserve">related to the Teranga-OJVG acquisition as a barter, whereby the government renounced an option to acquire a stake in Teranga in exchange for the provision of infrastructure for the host community. While the 2014 EITI Report describes the transaction and the project, it only states that “the majority” of the USD 1.5m in infrastructure provided under the transaction in 2014 was through an Agricultural Development Project, but does not specify the exact breakdown in infrastructure development in 2014. However, </w:t>
      </w:r>
      <w:r w:rsidR="00725BD3">
        <w:rPr>
          <w:rFonts w:ascii="Calibri" w:hAnsi="Calibri"/>
        </w:rPr>
        <w:t xml:space="preserve">the detailed breakdown by transaction of the USD 1.5m in infrastructure investments disbursed in 2014 under the barter arrangement was available to the IA in preparing the 2014 EITI Report and was published on the EITI Senegal website as of </w:t>
      </w:r>
      <w:r w:rsidR="00CE7ECE" w:rsidRPr="002815F4">
        <w:rPr>
          <w:rFonts w:ascii="Calibri" w:hAnsi="Calibri"/>
        </w:rPr>
        <w:t>22</w:t>
      </w:r>
      <w:r w:rsidRPr="002815F4">
        <w:rPr>
          <w:rFonts w:ascii="Calibri" w:hAnsi="Calibri"/>
        </w:rPr>
        <w:t xml:space="preserve"> September 2017. </w:t>
      </w:r>
      <w:r w:rsidR="00725BD3" w:rsidRPr="002815F4">
        <w:rPr>
          <w:rFonts w:ascii="Calibri" w:hAnsi="Calibri"/>
        </w:rPr>
        <w:t xml:space="preserve">The International Secretariat’s initial assessment is that, </w:t>
      </w:r>
      <w:r w:rsidR="00725BD3">
        <w:rPr>
          <w:rFonts w:ascii="Calibri" w:hAnsi="Calibri"/>
        </w:rPr>
        <w:t>once the MSG addressed its oversight in disclosing information on the barter arrangement by transaction in September 2017</w:t>
      </w:r>
      <w:r w:rsidR="00725BD3" w:rsidRPr="002815F4">
        <w:rPr>
          <w:rFonts w:ascii="Calibri" w:hAnsi="Calibri"/>
        </w:rPr>
        <w:t xml:space="preserve"> </w:t>
      </w:r>
      <w:r w:rsidR="00725BD3">
        <w:rPr>
          <w:rFonts w:ascii="Calibri" w:hAnsi="Calibri"/>
        </w:rPr>
        <w:t xml:space="preserve">(after </w:t>
      </w:r>
      <w:r w:rsidR="00725BD3" w:rsidRPr="002815F4">
        <w:rPr>
          <w:rFonts w:ascii="Calibri" w:hAnsi="Calibri"/>
        </w:rPr>
        <w:t>the start of Validation on 1 July 2017</w:t>
      </w:r>
      <w:r w:rsidR="00725BD3">
        <w:rPr>
          <w:rFonts w:ascii="Calibri" w:hAnsi="Calibri"/>
        </w:rPr>
        <w:t>)</w:t>
      </w:r>
      <w:r w:rsidR="00725BD3" w:rsidRPr="002815F4">
        <w:rPr>
          <w:rFonts w:ascii="Calibri" w:hAnsi="Calibri"/>
        </w:rPr>
        <w:t xml:space="preserve">, </w:t>
      </w:r>
      <w:r w:rsidR="00725BD3" w:rsidRPr="002815F4">
        <w:rPr>
          <w:rFonts w:ascii="Calibri" w:hAnsi="Calibri"/>
          <w:bCs/>
        </w:rPr>
        <w:t>Senegal</w:t>
      </w:r>
      <w:r w:rsidR="00725BD3" w:rsidRPr="002815F4">
        <w:rPr>
          <w:rFonts w:ascii="Calibri" w:hAnsi="Calibri"/>
        </w:rPr>
        <w:t xml:space="preserve"> had made </w:t>
      </w:r>
      <w:commentRangeStart w:id="274"/>
      <w:r w:rsidR="00725BD3">
        <w:rPr>
          <w:rFonts w:ascii="Calibri" w:hAnsi="Calibri"/>
          <w:bCs/>
        </w:rPr>
        <w:t>satisfactory</w:t>
      </w:r>
      <w:r w:rsidR="00725BD3" w:rsidRPr="002815F4">
        <w:rPr>
          <w:rFonts w:ascii="Calibri" w:hAnsi="Calibri"/>
          <w:b/>
          <w:bCs/>
        </w:rPr>
        <w:t xml:space="preserve"> </w:t>
      </w:r>
      <w:r w:rsidR="00725BD3" w:rsidRPr="002815F4">
        <w:rPr>
          <w:rFonts w:ascii="Calibri" w:hAnsi="Calibri"/>
        </w:rPr>
        <w:t xml:space="preserve">progress </w:t>
      </w:r>
      <w:commentRangeEnd w:id="274"/>
      <w:r w:rsidR="00C54E41">
        <w:rPr>
          <w:rStyle w:val="CommentReference"/>
          <w:szCs w:val="20"/>
        </w:rPr>
        <w:commentReference w:id="274"/>
      </w:r>
      <w:r w:rsidR="00725BD3" w:rsidRPr="002815F4">
        <w:rPr>
          <w:rFonts w:ascii="Calibri" w:hAnsi="Calibri"/>
        </w:rPr>
        <w:t>in meeting this requirement.</w:t>
      </w:r>
    </w:p>
    <w:p w14:paraId="35B7CF70" w14:textId="4F6292DC" w:rsidR="00021CAE" w:rsidRPr="002815F4" w:rsidRDefault="000F3B8D" w:rsidP="001B6CEC">
      <w:pPr>
        <w:rPr>
          <w:rFonts w:ascii="Calibri" w:hAnsi="Calibri"/>
        </w:rPr>
      </w:pPr>
      <w:r w:rsidRPr="002815F4">
        <w:rPr>
          <w:rFonts w:ascii="Calibri" w:hAnsi="Calibri"/>
        </w:rPr>
        <w:t xml:space="preserve">To strengthen implementation, the MSG </w:t>
      </w:r>
      <w:r w:rsidR="00C30EDD" w:rsidRPr="002815F4">
        <w:rPr>
          <w:rFonts w:ascii="Calibri" w:hAnsi="Calibri"/>
        </w:rPr>
        <w:t xml:space="preserve">is encouraged to </w:t>
      </w:r>
      <w:r w:rsidR="008E15AD" w:rsidRPr="002815F4">
        <w:rPr>
          <w:rFonts w:ascii="Calibri" w:hAnsi="Calibri"/>
        </w:rPr>
        <w:t xml:space="preserve">ensure that future EITI Reports </w:t>
      </w:r>
      <w:r w:rsidR="001B6CEC" w:rsidRPr="002815F4">
        <w:rPr>
          <w:rFonts w:ascii="Calibri" w:hAnsi="Calibri"/>
        </w:rPr>
        <w:t>provide a level of detail and transparency for any barter agreement commensurate with the disclosure and reconciliation of other payments and revenues streams.</w:t>
      </w:r>
    </w:p>
    <w:p w14:paraId="794BFE52" w14:textId="77777777" w:rsidR="000722F1" w:rsidRPr="002815F4" w:rsidRDefault="000722F1" w:rsidP="009B3E66">
      <w:pPr>
        <w:pStyle w:val="Heading2"/>
      </w:pPr>
      <w:bookmarkStart w:id="275" w:name="_Toc459133149"/>
      <w:bookmarkStart w:id="276" w:name="_Toc461803099"/>
      <w:bookmarkStart w:id="277" w:name="_Toc461787344"/>
      <w:bookmarkStart w:id="278" w:name="_Toc461795856"/>
      <w:bookmarkStart w:id="279" w:name="_Toc462149193"/>
      <w:bookmarkStart w:id="280" w:name="_Toc459133150"/>
      <w:r w:rsidRPr="002815F4">
        <w:t>Transport revenues (#4.</w:t>
      </w:r>
      <w:r w:rsidR="008D3D57" w:rsidRPr="002815F4">
        <w:t>4</w:t>
      </w:r>
      <w:r w:rsidRPr="002815F4">
        <w:t>)</w:t>
      </w:r>
      <w:bookmarkEnd w:id="275"/>
      <w:bookmarkEnd w:id="276"/>
      <w:bookmarkEnd w:id="277"/>
      <w:bookmarkEnd w:id="278"/>
      <w:bookmarkEnd w:id="279"/>
    </w:p>
    <w:bookmarkEnd w:id="280"/>
    <w:p w14:paraId="659B146A" w14:textId="7DBC77CA" w:rsidR="003E58F5" w:rsidRPr="002815F4" w:rsidRDefault="00852467" w:rsidP="009B3E66">
      <w:pPr>
        <w:pStyle w:val="Heading3"/>
      </w:pPr>
      <w:r w:rsidRPr="002815F4">
        <w:t xml:space="preserve">Documentation of progress </w:t>
      </w:r>
    </w:p>
    <w:p w14:paraId="6492E454" w14:textId="2DABB38B" w:rsidR="002975A5" w:rsidRPr="002815F4" w:rsidRDefault="00207B66" w:rsidP="00852467">
      <w:pPr>
        <w:spacing w:before="120"/>
        <w:rPr>
          <w:rFonts w:ascii="Calibri" w:hAnsi="Calibri"/>
        </w:rPr>
      </w:pPr>
      <w:r w:rsidRPr="002815F4">
        <w:rPr>
          <w:rFonts w:ascii="Calibri" w:hAnsi="Calibri"/>
        </w:rPr>
        <w:t xml:space="preserve">The 2014 EITI Report describes two types of transportation arrangements, in the mining and oil and gas sectors respectively. </w:t>
      </w:r>
      <w:r w:rsidR="000B66FA" w:rsidRPr="002815F4">
        <w:rPr>
          <w:rFonts w:ascii="Calibri" w:hAnsi="Calibri"/>
        </w:rPr>
        <w:t xml:space="preserve">In mining, the report states that </w:t>
      </w:r>
      <w:r w:rsidR="00D142B4" w:rsidRPr="002815F4">
        <w:rPr>
          <w:rFonts w:ascii="Calibri" w:hAnsi="Calibri"/>
        </w:rPr>
        <w:t xml:space="preserve">the IA did not have knowledge of any transport revenues </w:t>
      </w:r>
      <w:r w:rsidR="00E06C96" w:rsidRPr="002815F4">
        <w:rPr>
          <w:rFonts w:ascii="Calibri" w:hAnsi="Calibri"/>
        </w:rPr>
        <w:t>aside from Grande Côte Operation to the state-owned National Railway Agency (ANCF) as advances on railway fees for 2014 (2014 EITI report, p.38). The report provides the aggregate value of these payments (2014 EITI report, p.38), but does not provide the volumes and value of minerals transported via this arrangement nor the rail-use tariff. However, given that the ANCF is not categorised as a SOE for the purposes of EITI reporting</w:t>
      </w:r>
      <w:r w:rsidR="00AE5432" w:rsidRPr="002815F4">
        <w:rPr>
          <w:rFonts w:ascii="Calibri" w:hAnsi="Calibri"/>
        </w:rPr>
        <w:t xml:space="preserve"> (</w:t>
      </w:r>
      <w:r w:rsidR="00AE5432" w:rsidRPr="002815F4">
        <w:rPr>
          <w:rFonts w:ascii="Calibri" w:hAnsi="Calibri"/>
          <w:i/>
        </w:rPr>
        <w:t>see Requirement 2.6</w:t>
      </w:r>
      <w:r w:rsidR="00AE5432" w:rsidRPr="002815F4">
        <w:rPr>
          <w:rFonts w:ascii="Calibri" w:hAnsi="Calibri"/>
        </w:rPr>
        <w:t>)</w:t>
      </w:r>
      <w:r w:rsidR="00E06C96" w:rsidRPr="002815F4">
        <w:rPr>
          <w:rFonts w:ascii="Calibri" w:hAnsi="Calibri"/>
        </w:rPr>
        <w:t xml:space="preserve">, this arrangement is likely not material. </w:t>
      </w:r>
    </w:p>
    <w:p w14:paraId="02FB6EDA" w14:textId="620934B3" w:rsidR="002975A5" w:rsidRPr="002815F4" w:rsidRDefault="00E06C96" w:rsidP="00852467">
      <w:pPr>
        <w:spacing w:before="120"/>
        <w:rPr>
          <w:rFonts w:ascii="Calibri" w:hAnsi="Calibri"/>
        </w:rPr>
      </w:pPr>
      <w:r w:rsidRPr="002815F4">
        <w:rPr>
          <w:rFonts w:ascii="Calibri" w:hAnsi="Calibri"/>
        </w:rPr>
        <w:t>In oil and gas, the 2014 EITI Report describes an arrangement whereby a private oil and gas company (Fortesa) pays state-owned Petrosen for the use of a 10km gas pipeline owned by the SOE. The report describes the system for transporting natural gas from fields to consumption centres through a system of pipelines owned by Fortesa</w:t>
      </w:r>
      <w:r w:rsidR="002763DB" w:rsidRPr="002815F4">
        <w:rPr>
          <w:rFonts w:ascii="Calibri" w:hAnsi="Calibri"/>
        </w:rPr>
        <w:t xml:space="preserve"> as the </w:t>
      </w:r>
      <w:r w:rsidR="002815F4" w:rsidRPr="002815F4">
        <w:rPr>
          <w:rFonts w:ascii="Calibri" w:hAnsi="Calibri"/>
        </w:rPr>
        <w:t>gas field</w:t>
      </w:r>
      <w:r w:rsidR="002763DB" w:rsidRPr="002815F4">
        <w:rPr>
          <w:rFonts w:ascii="Calibri" w:hAnsi="Calibri"/>
        </w:rPr>
        <w:t xml:space="preserve"> operator, but </w:t>
      </w:r>
      <w:r w:rsidRPr="002815F4">
        <w:rPr>
          <w:rFonts w:ascii="Calibri" w:hAnsi="Calibri"/>
        </w:rPr>
        <w:t xml:space="preserve">highlights </w:t>
      </w:r>
      <w:r w:rsidR="002763DB" w:rsidRPr="002815F4">
        <w:rPr>
          <w:rFonts w:ascii="Calibri" w:hAnsi="Calibri"/>
        </w:rPr>
        <w:t xml:space="preserve">the </w:t>
      </w:r>
      <w:r w:rsidRPr="002815F4">
        <w:rPr>
          <w:rFonts w:ascii="Calibri" w:hAnsi="Calibri"/>
        </w:rPr>
        <w:t xml:space="preserve">10km section (between Kabor </w:t>
      </w:r>
      <w:r w:rsidRPr="002815F4">
        <w:rPr>
          <w:rFonts w:ascii="Calibri" w:hAnsi="Calibri"/>
        </w:rPr>
        <w:lastRenderedPageBreak/>
        <w:t xml:space="preserve">and Cap des Biches) </w:t>
      </w:r>
      <w:r w:rsidR="002763DB" w:rsidRPr="002815F4">
        <w:rPr>
          <w:rFonts w:ascii="Calibri" w:hAnsi="Calibri"/>
        </w:rPr>
        <w:t xml:space="preserve">that is </w:t>
      </w:r>
      <w:r w:rsidRPr="002815F4">
        <w:rPr>
          <w:rFonts w:ascii="Calibri" w:hAnsi="Calibri"/>
        </w:rPr>
        <w:t>owned by Petrosen</w:t>
      </w:r>
      <w:r w:rsidR="002763DB" w:rsidRPr="002815F4">
        <w:rPr>
          <w:rFonts w:ascii="Calibri" w:hAnsi="Calibri"/>
        </w:rPr>
        <w:t xml:space="preserve"> and leased to </w:t>
      </w:r>
      <w:r w:rsidRPr="002815F4">
        <w:rPr>
          <w:rFonts w:ascii="Calibri" w:hAnsi="Calibri"/>
        </w:rPr>
        <w:t xml:space="preserve">Fortesa on a non-exclusive basis (2014 EITI report, pp.55-56). The report provides the tariff for using the 10km pipeline (1% of throughput, for volumes of under 20m </w:t>
      </w:r>
      <w:r w:rsidR="009B0300" w:rsidRPr="002815F4">
        <w:rPr>
          <w:rFonts w:ascii="Calibri" w:hAnsi="Calibri"/>
        </w:rPr>
        <w:t xml:space="preserve">standard </w:t>
      </w:r>
      <w:r w:rsidRPr="002815F4">
        <w:rPr>
          <w:rFonts w:ascii="Calibri" w:hAnsi="Calibri"/>
        </w:rPr>
        <w:t>cubic meters per hour) and the aggregate value of Fortesa’s payments for four months use of the pipeline in 2014 (2014 EITI report, pp.55-56)</w:t>
      </w:r>
      <w:r w:rsidR="002763DB" w:rsidRPr="002815F4">
        <w:rPr>
          <w:rFonts w:ascii="Calibri" w:hAnsi="Calibri"/>
        </w:rPr>
        <w:t>, but not the volumes and values of natural gas transported (although these can be estimated using the information on tariffs provided)</w:t>
      </w:r>
      <w:r w:rsidRPr="002815F4">
        <w:rPr>
          <w:rFonts w:ascii="Calibri" w:hAnsi="Calibri"/>
        </w:rPr>
        <w:t>.</w:t>
      </w:r>
      <w:r w:rsidR="003335CB" w:rsidRPr="002815F4">
        <w:rPr>
          <w:rFonts w:ascii="Calibri" w:hAnsi="Calibri"/>
        </w:rPr>
        <w:t xml:space="preserve"> Indeed the 2014 EITI Report provides Fortesa’s total gas production volume</w:t>
      </w:r>
      <w:r w:rsidR="00483945" w:rsidRPr="002815F4">
        <w:rPr>
          <w:rFonts w:ascii="Calibri" w:hAnsi="Calibri"/>
        </w:rPr>
        <w:t>s</w:t>
      </w:r>
      <w:r w:rsidR="00483945" w:rsidRPr="002815F4">
        <w:rPr>
          <w:rStyle w:val="FootnoteReference"/>
          <w:rFonts w:ascii="Calibri" w:hAnsi="Calibri"/>
          <w:bCs/>
        </w:rPr>
        <w:footnoteReference w:id="66"/>
      </w:r>
      <w:r w:rsidR="003335CB" w:rsidRPr="002815F4">
        <w:rPr>
          <w:rFonts w:ascii="Calibri" w:hAnsi="Calibri"/>
        </w:rPr>
        <w:t xml:space="preserve"> and value</w:t>
      </w:r>
      <w:r w:rsidR="00483945" w:rsidRPr="002815F4">
        <w:rPr>
          <w:rStyle w:val="FootnoteReference"/>
          <w:rFonts w:ascii="Calibri" w:hAnsi="Calibri"/>
          <w:bCs/>
        </w:rPr>
        <w:footnoteReference w:id="67"/>
      </w:r>
      <w:r w:rsidR="003335CB" w:rsidRPr="002815F4">
        <w:rPr>
          <w:rFonts w:ascii="Calibri" w:hAnsi="Calibri"/>
        </w:rPr>
        <w:t xml:space="preserve"> for 2014</w:t>
      </w:r>
      <w:r w:rsidR="00483945" w:rsidRPr="002815F4">
        <w:rPr>
          <w:rFonts w:ascii="Calibri" w:hAnsi="Calibri"/>
        </w:rPr>
        <w:t xml:space="preserve"> (2014 EITI report, </w:t>
      </w:r>
      <w:r w:rsidR="003335CB" w:rsidRPr="002815F4">
        <w:rPr>
          <w:rFonts w:ascii="Calibri" w:hAnsi="Calibri"/>
        </w:rPr>
        <w:t>p.</w:t>
      </w:r>
      <w:r w:rsidR="00483945" w:rsidRPr="002815F4">
        <w:rPr>
          <w:rFonts w:ascii="Calibri" w:hAnsi="Calibri"/>
        </w:rPr>
        <w:t>10</w:t>
      </w:r>
      <w:r w:rsidR="003335CB" w:rsidRPr="002815F4">
        <w:rPr>
          <w:rFonts w:ascii="Calibri" w:hAnsi="Calibri"/>
        </w:rPr>
        <w:t>), the volumes of gas</w:t>
      </w:r>
      <w:r w:rsidR="00483945" w:rsidRPr="002815F4">
        <w:rPr>
          <w:rStyle w:val="FootnoteReference"/>
          <w:rFonts w:ascii="Calibri" w:hAnsi="Calibri"/>
          <w:bCs/>
        </w:rPr>
        <w:footnoteReference w:id="68"/>
      </w:r>
      <w:r w:rsidR="003335CB" w:rsidRPr="002815F4">
        <w:rPr>
          <w:rFonts w:ascii="Calibri" w:hAnsi="Calibri"/>
        </w:rPr>
        <w:t xml:space="preserve"> sold to one of its two clients, SOCOCIM</w:t>
      </w:r>
      <w:r w:rsidR="00483945" w:rsidRPr="002815F4">
        <w:rPr>
          <w:rFonts w:ascii="Calibri" w:hAnsi="Calibri"/>
        </w:rPr>
        <w:t xml:space="preserve">, in 2014 (2014 EITI report, </w:t>
      </w:r>
      <w:r w:rsidR="003335CB" w:rsidRPr="002815F4">
        <w:rPr>
          <w:rFonts w:ascii="Calibri" w:hAnsi="Calibri"/>
        </w:rPr>
        <w:t>p.</w:t>
      </w:r>
      <w:r w:rsidR="00483945" w:rsidRPr="002815F4">
        <w:rPr>
          <w:rFonts w:ascii="Calibri" w:hAnsi="Calibri"/>
        </w:rPr>
        <w:t>55</w:t>
      </w:r>
      <w:r w:rsidR="003335CB" w:rsidRPr="002815F4">
        <w:rPr>
          <w:rFonts w:ascii="Calibri" w:hAnsi="Calibri"/>
        </w:rPr>
        <w:t xml:space="preserve">) and it is thus possible to calculate the volumes of natural gas supplied </w:t>
      </w:r>
      <w:r w:rsidR="00483945" w:rsidRPr="002815F4">
        <w:rPr>
          <w:rFonts w:ascii="Calibri" w:hAnsi="Calibri"/>
        </w:rPr>
        <w:t xml:space="preserve">to the second (and only other) client in 2014 </w:t>
      </w:r>
      <w:r w:rsidR="003335CB" w:rsidRPr="002815F4">
        <w:rPr>
          <w:rFonts w:ascii="Calibri" w:hAnsi="Calibri"/>
        </w:rPr>
        <w:t>using the 10km pipeline owned by Petrosen</w:t>
      </w:r>
      <w:r w:rsidR="00483945" w:rsidRPr="002815F4">
        <w:rPr>
          <w:rFonts w:ascii="Calibri" w:hAnsi="Calibri"/>
        </w:rPr>
        <w:t>. The International Secretariat’s calculations based on data in the 2014 EITI Report indicate that Fortesa paid Petrosen for the transport of 679,345 standard cubic meters worth XOF 110,801,170</w:t>
      </w:r>
      <w:r w:rsidR="00483945" w:rsidRPr="002815F4">
        <w:rPr>
          <w:rStyle w:val="FootnoteReference"/>
          <w:rFonts w:ascii="Calibri" w:hAnsi="Calibri"/>
          <w:bCs/>
        </w:rPr>
        <w:footnoteReference w:id="69"/>
      </w:r>
      <w:r w:rsidR="000B7F42" w:rsidRPr="002815F4">
        <w:rPr>
          <w:rFonts w:ascii="Calibri" w:hAnsi="Calibri"/>
        </w:rPr>
        <w:t>, the equivalent of USD 228,409 using the average 2014 exchange rate</w:t>
      </w:r>
      <w:r w:rsidR="000B7F42" w:rsidRPr="002815F4">
        <w:rPr>
          <w:rStyle w:val="FootnoteReference"/>
          <w:rFonts w:ascii="Calibri" w:hAnsi="Calibri"/>
          <w:bCs/>
        </w:rPr>
        <w:footnoteReference w:id="70"/>
      </w:r>
      <w:r w:rsidR="000B7F42" w:rsidRPr="002815F4">
        <w:rPr>
          <w:rFonts w:ascii="Calibri" w:hAnsi="Calibri"/>
        </w:rPr>
        <w:t>,</w:t>
      </w:r>
      <w:r w:rsidR="00483945" w:rsidRPr="002815F4">
        <w:rPr>
          <w:rFonts w:ascii="Calibri" w:hAnsi="Calibri"/>
        </w:rPr>
        <w:t xml:space="preserve"> in the 10km of pipelines owned by the SOE. </w:t>
      </w:r>
    </w:p>
    <w:p w14:paraId="5967C969" w14:textId="2802190D" w:rsidR="003E58F5" w:rsidRPr="002815F4" w:rsidRDefault="00852467" w:rsidP="009B3E66">
      <w:pPr>
        <w:pStyle w:val="Heading3"/>
      </w:pPr>
      <w:r w:rsidRPr="002815F4">
        <w:t>Stakeholder views</w:t>
      </w:r>
    </w:p>
    <w:p w14:paraId="728EFB4B" w14:textId="542D99FD" w:rsidR="009766F8" w:rsidRPr="002815F4" w:rsidRDefault="00A0706A">
      <w:r w:rsidRPr="002815F4">
        <w:t xml:space="preserve">Secretariat staff considered that the coverage of </w:t>
      </w:r>
      <w:r w:rsidR="00341A06" w:rsidRPr="002815F4">
        <w:t>extractives</w:t>
      </w:r>
      <w:r w:rsidRPr="002815F4">
        <w:t xml:space="preserve">-related transport revenues in the 2014 EITI Report was comprehensive, covering both GCO’s arrangements with ANCF and Fortesa’s arrangement with Petrosen. </w:t>
      </w:r>
      <w:r w:rsidR="00E60BFC" w:rsidRPr="002815F4">
        <w:t xml:space="preserve">Secretariat staff also confirmed that the MSG did not consider ANCF a SOE for EITI reporting purposes. Secretariat staff and a company representative </w:t>
      </w:r>
      <w:r w:rsidR="001F21F4" w:rsidRPr="002815F4">
        <w:t xml:space="preserve">confirmed that there was nothing confidential about the volumes and value of natural gas transported by Fortesa using the 10km pipeline owned by Petrosen and considered that the lack of information on this issue in the 2014 EITI Report represented a simple oversight. The company representative noted that it was possible to calculate the volumes and value of natural gas transported in the Petrosen-owned pipeline based on data in the 2014 EITI Report. </w:t>
      </w:r>
      <w:r w:rsidR="00796DE2" w:rsidRPr="002815F4">
        <w:t xml:space="preserve">The IA noted that it may be possible to calculate natural gas volumes transported in the 10km pipeline but highlighted potential risks in this approach due to the possibility of technical losses. </w:t>
      </w:r>
      <w:r w:rsidR="001F21F4" w:rsidRPr="002815F4">
        <w:t xml:space="preserve">There was consensus on the MSG that this requirement should be considered as met given that the 2014 EITI Report provided sufficient information to calculate the volumes and value of gas transported. </w:t>
      </w:r>
    </w:p>
    <w:p w14:paraId="288EFCC3" w14:textId="01E453B5" w:rsidR="00852467" w:rsidRPr="002815F4" w:rsidRDefault="00852467" w:rsidP="009B3E66">
      <w:pPr>
        <w:pStyle w:val="Heading3"/>
      </w:pPr>
      <w:bookmarkStart w:id="281" w:name="_Toc459133152"/>
      <w:bookmarkStart w:id="282" w:name="_Toc461803102"/>
      <w:r w:rsidRPr="002815F4">
        <w:t>Initial assessment</w:t>
      </w:r>
      <w:bookmarkEnd w:id="281"/>
      <w:bookmarkEnd w:id="282"/>
    </w:p>
    <w:p w14:paraId="5177E6A4" w14:textId="63613D10" w:rsidR="008627A4" w:rsidRPr="002815F4" w:rsidRDefault="00852467" w:rsidP="008627A4">
      <w:r w:rsidRPr="00935939">
        <w:rPr>
          <w:rFonts w:ascii="Calibri" w:hAnsi="Calibri"/>
        </w:rPr>
        <w:t xml:space="preserve">The International Secretariat’s initial assessment is that </w:t>
      </w:r>
      <w:r w:rsidR="00890533" w:rsidRPr="00935939">
        <w:rPr>
          <w:rFonts w:ascii="Calibri" w:hAnsi="Calibri"/>
          <w:bCs/>
        </w:rPr>
        <w:t>Senegal</w:t>
      </w:r>
      <w:r w:rsidR="00890533" w:rsidRPr="00935939">
        <w:rPr>
          <w:rFonts w:ascii="Calibri" w:hAnsi="Calibri"/>
        </w:rPr>
        <w:t xml:space="preserve"> </w:t>
      </w:r>
      <w:r w:rsidRPr="00935939">
        <w:rPr>
          <w:rFonts w:ascii="Calibri" w:hAnsi="Calibri"/>
        </w:rPr>
        <w:t xml:space="preserve">has made </w:t>
      </w:r>
      <w:r w:rsidR="001F21F4" w:rsidRPr="006D747D">
        <w:rPr>
          <w:rFonts w:ascii="Calibri" w:hAnsi="Calibri"/>
          <w:bCs/>
        </w:rPr>
        <w:t>satisfactory</w:t>
      </w:r>
      <w:r w:rsidR="001F21F4" w:rsidRPr="006D747D">
        <w:rPr>
          <w:rFonts w:ascii="Calibri" w:hAnsi="Calibri"/>
        </w:rPr>
        <w:t xml:space="preserve"> </w:t>
      </w:r>
      <w:r w:rsidRPr="00935939">
        <w:rPr>
          <w:rFonts w:ascii="Calibri" w:hAnsi="Calibri"/>
        </w:rPr>
        <w:t xml:space="preserve">progress in meeting this </w:t>
      </w:r>
      <w:commentRangeStart w:id="283"/>
      <w:r w:rsidRPr="00935939">
        <w:rPr>
          <w:rFonts w:ascii="Calibri" w:hAnsi="Calibri"/>
        </w:rPr>
        <w:t>requirement</w:t>
      </w:r>
      <w:commentRangeEnd w:id="283"/>
      <w:r w:rsidR="00B87010">
        <w:rPr>
          <w:rStyle w:val="CommentReference"/>
          <w:szCs w:val="20"/>
        </w:rPr>
        <w:commentReference w:id="283"/>
      </w:r>
      <w:r w:rsidRPr="00935939">
        <w:rPr>
          <w:rFonts w:ascii="Calibri" w:hAnsi="Calibri"/>
        </w:rPr>
        <w:t xml:space="preserve">. </w:t>
      </w:r>
      <w:r w:rsidR="001F21F4" w:rsidRPr="00935939">
        <w:rPr>
          <w:rFonts w:ascii="Calibri" w:hAnsi="Calibri"/>
        </w:rPr>
        <w:t xml:space="preserve">The 2014 EITI Report describes two arrangements whereby the government receives transportation revenues, in mining and oil and gas respectively. It provides descriptions of the arrangements, the tariffs paid and the total revenues collected, although it does not explicitly provide the volumes and value of minerals and natural gas transported. </w:t>
      </w:r>
      <w:r w:rsidR="007A4522" w:rsidRPr="00935939">
        <w:rPr>
          <w:rFonts w:ascii="Calibri" w:hAnsi="Calibri"/>
        </w:rPr>
        <w:t xml:space="preserve">In line with the EITI Board’s decision on Mongolia’s 2016 Validation, where it found that revenues collected by the part government-owned railway were not covered by Requirement 4.4 given that the railway was not considered a SOE for EITI reporting purposes, the International Secretariat considers that this requirement is not applicable to Senegal’s mining sector in the year under review. While the 2014 EITI Report’s lack of explicit figures for </w:t>
      </w:r>
      <w:r w:rsidR="007A4522" w:rsidRPr="00935939">
        <w:rPr>
          <w:rFonts w:ascii="Calibri" w:hAnsi="Calibri"/>
        </w:rPr>
        <w:lastRenderedPageBreak/>
        <w:t xml:space="preserve">volumes and value of natural gas transported in Petrosen’s 10km pipeline is a concern, it is possible to calculate these figures based on data provided in the 2014 EITI Report. </w:t>
      </w:r>
      <w:r w:rsidR="008627A4" w:rsidRPr="00935939">
        <w:t xml:space="preserve">In addition, the total transportation revenues of XOF 19,173,159 (USD 39,524) </w:t>
      </w:r>
      <w:r w:rsidR="0084357A" w:rsidRPr="00935939">
        <w:t xml:space="preserve">under the arrangement </w:t>
      </w:r>
      <w:r w:rsidR="008627A4" w:rsidRPr="00935939">
        <w:t>could be considered immaterial. As such, the International Secretariat’s assessment is that Senegal has made satisfactory progress towards meeting this requirement.</w:t>
      </w:r>
    </w:p>
    <w:p w14:paraId="7A5FCC23" w14:textId="0BB88ED0" w:rsidR="00890533" w:rsidRPr="002815F4" w:rsidRDefault="00DC3F6D" w:rsidP="008627A4">
      <w:pPr>
        <w:spacing w:before="120"/>
        <w:rPr>
          <w:rFonts w:ascii="Calibri" w:hAnsi="Calibri"/>
        </w:rPr>
      </w:pPr>
      <w:r w:rsidRPr="002815F4">
        <w:t>To further strengthen</w:t>
      </w:r>
      <w:r w:rsidR="008627A4" w:rsidRPr="002815F4">
        <w:t xml:space="preserve"> implementation, the MSG could ensure that future EITI Reports include explicit figures for the volumes and values of commodities transported under arrangements where the government receives transportation revenues. </w:t>
      </w:r>
    </w:p>
    <w:p w14:paraId="50A759B0" w14:textId="77777777" w:rsidR="008D3D57" w:rsidRPr="002815F4" w:rsidRDefault="008D3D57" w:rsidP="009B3E66">
      <w:pPr>
        <w:pStyle w:val="Heading2"/>
      </w:pPr>
      <w:bookmarkStart w:id="284" w:name="_Toc459133153"/>
      <w:bookmarkStart w:id="285" w:name="_Toc461803103"/>
      <w:bookmarkStart w:id="286" w:name="_Toc461787345"/>
      <w:bookmarkStart w:id="287" w:name="_Toc461795857"/>
      <w:bookmarkStart w:id="288" w:name="_Toc462149194"/>
      <w:bookmarkStart w:id="289" w:name="_Toc459133154"/>
      <w:r w:rsidRPr="002815F4">
        <w:t>Transactions between SOEs and government (#4.5)</w:t>
      </w:r>
      <w:bookmarkEnd w:id="284"/>
      <w:bookmarkEnd w:id="285"/>
      <w:bookmarkEnd w:id="286"/>
      <w:bookmarkEnd w:id="287"/>
      <w:bookmarkEnd w:id="288"/>
    </w:p>
    <w:bookmarkEnd w:id="289"/>
    <w:p w14:paraId="394A3F90" w14:textId="5F878565" w:rsidR="003E58F5" w:rsidRPr="002815F4" w:rsidRDefault="00852467" w:rsidP="009B3E66">
      <w:pPr>
        <w:pStyle w:val="Heading3"/>
      </w:pPr>
      <w:r w:rsidRPr="002815F4">
        <w:t xml:space="preserve">Documentation of progress </w:t>
      </w:r>
    </w:p>
    <w:p w14:paraId="1586CAF6" w14:textId="424B6F1E" w:rsidR="00890533" w:rsidRPr="002815F4" w:rsidRDefault="00340B84" w:rsidP="00340B84">
      <w:pPr>
        <w:spacing w:before="120"/>
        <w:rPr>
          <w:rFonts w:ascii="Calibri" w:hAnsi="Calibri"/>
          <w:bCs/>
        </w:rPr>
      </w:pPr>
      <w:r w:rsidRPr="002815F4">
        <w:rPr>
          <w:rFonts w:ascii="Calibri" w:hAnsi="Calibri"/>
          <w:bCs/>
        </w:rPr>
        <w:t>There are two SOEs in Senegal</w:t>
      </w:r>
      <w:r w:rsidR="0022636A" w:rsidRPr="002815F4">
        <w:rPr>
          <w:rFonts w:ascii="Calibri" w:hAnsi="Calibri"/>
          <w:bCs/>
        </w:rPr>
        <w:t>, Miferso in mining and Petrosen in oil and gas,</w:t>
      </w:r>
      <w:r w:rsidRPr="002815F4">
        <w:rPr>
          <w:rFonts w:ascii="Calibri" w:hAnsi="Calibri"/>
          <w:bCs/>
        </w:rPr>
        <w:t xml:space="preserve"> </w:t>
      </w:r>
      <w:r w:rsidR="00844DF2" w:rsidRPr="002815F4">
        <w:rPr>
          <w:rFonts w:ascii="Calibri" w:hAnsi="Calibri"/>
          <w:bCs/>
        </w:rPr>
        <w:t xml:space="preserve">according to </w:t>
      </w:r>
      <w:r w:rsidRPr="002815F4">
        <w:rPr>
          <w:rFonts w:ascii="Calibri" w:hAnsi="Calibri"/>
          <w:bCs/>
        </w:rPr>
        <w:t xml:space="preserve">the </w:t>
      </w:r>
      <w:r w:rsidR="0022636A" w:rsidRPr="002815F4">
        <w:rPr>
          <w:rFonts w:ascii="Calibri" w:hAnsi="Calibri"/>
          <w:bCs/>
        </w:rPr>
        <w:t xml:space="preserve">MSG’s </w:t>
      </w:r>
      <w:r w:rsidRPr="002815F4">
        <w:rPr>
          <w:rFonts w:ascii="Calibri" w:hAnsi="Calibri"/>
          <w:bCs/>
        </w:rPr>
        <w:t xml:space="preserve">definition in </w:t>
      </w:r>
      <w:r w:rsidR="0022636A" w:rsidRPr="002815F4">
        <w:rPr>
          <w:rFonts w:ascii="Calibri" w:hAnsi="Calibri"/>
          <w:bCs/>
        </w:rPr>
        <w:t xml:space="preserve">line with </w:t>
      </w:r>
      <w:r w:rsidRPr="002815F4">
        <w:rPr>
          <w:rFonts w:ascii="Calibri" w:hAnsi="Calibri"/>
          <w:bCs/>
        </w:rPr>
        <w:t>Requirement 2.6.a of “</w:t>
      </w:r>
      <w:r w:rsidR="0022636A" w:rsidRPr="002815F4">
        <w:rPr>
          <w:rFonts w:ascii="Calibri" w:hAnsi="Calibri"/>
          <w:bCs/>
          <w:i/>
        </w:rPr>
        <w:t>a</w:t>
      </w:r>
      <w:r w:rsidR="0022636A" w:rsidRPr="002815F4">
        <w:rPr>
          <w:rFonts w:ascii="Calibri" w:hAnsi="Calibri"/>
          <w:bCs/>
        </w:rPr>
        <w:t xml:space="preserve"> </w:t>
      </w:r>
      <w:r w:rsidRPr="002815F4">
        <w:rPr>
          <w:rFonts w:ascii="Calibri" w:hAnsi="Calibri"/>
          <w:bCs/>
          <w:i/>
        </w:rPr>
        <w:t>wholly or majority government-owned company that is engaged in extractive activities on behalf of the government</w:t>
      </w:r>
      <w:r w:rsidRPr="002815F4">
        <w:rPr>
          <w:rFonts w:ascii="Calibri" w:hAnsi="Calibri"/>
          <w:bCs/>
        </w:rPr>
        <w:t>.”</w:t>
      </w:r>
    </w:p>
    <w:p w14:paraId="77082FCF" w14:textId="5259CA5B" w:rsidR="00340B84" w:rsidRPr="002815F4" w:rsidRDefault="0022636A" w:rsidP="00852467">
      <w:pPr>
        <w:spacing w:before="120"/>
        <w:rPr>
          <w:rFonts w:ascii="Calibri" w:hAnsi="Calibri"/>
          <w:bCs/>
        </w:rPr>
      </w:pPr>
      <w:r w:rsidRPr="002815F4">
        <w:rPr>
          <w:rFonts w:ascii="Calibri" w:hAnsi="Calibri"/>
          <w:bCs/>
        </w:rPr>
        <w:t>In mining, the 2014 EITI Report confirms that Miferso is a loss-making SOE, supported by state subsidies (2014 EITI Report, p.35). The value of subsidies is reconciled between Treasury and Miferso accounts, with significant</w:t>
      </w:r>
      <w:r w:rsidR="001B14BA" w:rsidRPr="002815F4">
        <w:rPr>
          <w:rFonts w:ascii="Calibri" w:hAnsi="Calibri"/>
          <w:bCs/>
        </w:rPr>
        <w:t>, albeit explained,</w:t>
      </w:r>
      <w:r w:rsidRPr="002815F4">
        <w:rPr>
          <w:rFonts w:ascii="Calibri" w:hAnsi="Calibri"/>
          <w:bCs/>
        </w:rPr>
        <w:t xml:space="preserve"> discrepancies</w:t>
      </w:r>
      <w:r w:rsidRPr="002815F4">
        <w:rPr>
          <w:rStyle w:val="FootnoteReference"/>
          <w:rFonts w:ascii="Calibri" w:hAnsi="Calibri"/>
          <w:bCs/>
        </w:rPr>
        <w:footnoteReference w:id="71"/>
      </w:r>
      <w:r w:rsidRPr="002815F4">
        <w:rPr>
          <w:rFonts w:ascii="Calibri" w:hAnsi="Calibri"/>
          <w:bCs/>
        </w:rPr>
        <w:t xml:space="preserve"> (2014 EITI Report, p.81). The XOF 1bn discrepancy was caused by a Treasury transfer to Miferso on 31 December 2014, likely only received in 2015 (2014 EITI Report, p.81).</w:t>
      </w:r>
      <w:r w:rsidR="00731BA6" w:rsidRPr="002815F4">
        <w:rPr>
          <w:rFonts w:ascii="Calibri" w:hAnsi="Calibri"/>
          <w:bCs/>
        </w:rPr>
        <w:t xml:space="preserve"> There is no evidence of any company payment to Miferso. </w:t>
      </w:r>
    </w:p>
    <w:p w14:paraId="69C42C5B" w14:textId="62F2BC85" w:rsidR="00447CEC" w:rsidRPr="002815F4" w:rsidRDefault="000E31C8" w:rsidP="00852467">
      <w:pPr>
        <w:spacing w:before="120"/>
        <w:rPr>
          <w:rFonts w:ascii="Calibri" w:hAnsi="Calibri"/>
          <w:bCs/>
        </w:rPr>
      </w:pPr>
      <w:r w:rsidRPr="002815F4">
        <w:rPr>
          <w:rFonts w:ascii="Calibri" w:hAnsi="Calibri"/>
          <w:bCs/>
        </w:rPr>
        <w:t xml:space="preserve">In oil and gas, the 2014 EITI Report </w:t>
      </w:r>
      <w:r w:rsidR="00447CEC" w:rsidRPr="002815F4">
        <w:rPr>
          <w:rFonts w:ascii="Calibri" w:hAnsi="Calibri"/>
          <w:bCs/>
        </w:rPr>
        <w:t xml:space="preserve">provides extensive descriptions of state participation in the sector, including the two </w:t>
      </w:r>
      <w:r w:rsidR="00FA312E" w:rsidRPr="002815F4">
        <w:rPr>
          <w:rFonts w:ascii="Calibri" w:hAnsi="Calibri"/>
          <w:bCs/>
        </w:rPr>
        <w:t xml:space="preserve">statutory </w:t>
      </w:r>
      <w:r w:rsidR="00447CEC" w:rsidRPr="002815F4">
        <w:rPr>
          <w:rFonts w:ascii="Calibri" w:hAnsi="Calibri"/>
          <w:bCs/>
        </w:rPr>
        <w:t xml:space="preserve">in-kind revenue flows (Profit Oil-Petrosen and Profit Oil-State) and the system of Petrosen’s commercialisation and transfer of proceeds to the Treasury (2014 EITI Report, pp.18,51-52,56,154). However, the report also notes that the state’s in-kind revenues from Senegal’s sole natural gas-producing field are entirely commercialised by the operator, Fortesa, with cash proceeds transferred to Treasury (2014 EITI Report, p.54). The report’s diagram of oil and gas revenue flows shows that Petrosen collects eight revenue flows from companies and makes transfers to the Customs (DGD) and Tax Departments (DGID) (2014 EITI Report, p.58). The report also clarifies that Petrosen retains revenues </w:t>
      </w:r>
      <w:r w:rsidR="00540EAE" w:rsidRPr="002815F4">
        <w:rPr>
          <w:rFonts w:ascii="Calibri" w:hAnsi="Calibri"/>
          <w:bCs/>
        </w:rPr>
        <w:t xml:space="preserve">from </w:t>
      </w:r>
      <w:r w:rsidR="00447CEC" w:rsidRPr="002815F4">
        <w:rPr>
          <w:rFonts w:ascii="Calibri" w:hAnsi="Calibri"/>
          <w:bCs/>
        </w:rPr>
        <w:t xml:space="preserve">land tax </w:t>
      </w:r>
      <w:r w:rsidR="00447CEC" w:rsidRPr="002815F4">
        <w:rPr>
          <w:rFonts w:ascii="Calibri" w:hAnsi="Calibri"/>
          <w:bCs/>
          <w:i/>
        </w:rPr>
        <w:t>(taxes superficiaires</w:t>
      </w:r>
      <w:r w:rsidR="00447CEC" w:rsidRPr="002815F4">
        <w:rPr>
          <w:rFonts w:ascii="Calibri" w:hAnsi="Calibri"/>
          <w:bCs/>
        </w:rPr>
        <w:t xml:space="preserve">), training and research </w:t>
      </w:r>
      <w:r w:rsidR="00540EAE" w:rsidRPr="002815F4">
        <w:rPr>
          <w:rFonts w:ascii="Calibri" w:hAnsi="Calibri"/>
          <w:bCs/>
        </w:rPr>
        <w:t xml:space="preserve">support </w:t>
      </w:r>
      <w:r w:rsidR="00447CEC" w:rsidRPr="002815F4">
        <w:rPr>
          <w:rFonts w:ascii="Calibri" w:hAnsi="Calibri"/>
          <w:bCs/>
        </w:rPr>
        <w:t xml:space="preserve">as well as the </w:t>
      </w:r>
      <w:r w:rsidR="00540EAE" w:rsidRPr="002815F4">
        <w:rPr>
          <w:rFonts w:ascii="Calibri" w:hAnsi="Calibri"/>
          <w:bCs/>
        </w:rPr>
        <w:t xml:space="preserve">sales </w:t>
      </w:r>
      <w:r w:rsidR="00447CEC" w:rsidRPr="002815F4">
        <w:rPr>
          <w:rFonts w:ascii="Calibri" w:hAnsi="Calibri"/>
          <w:bCs/>
        </w:rPr>
        <w:t xml:space="preserve">proceeds from Petrosen’s </w:t>
      </w:r>
      <w:r w:rsidR="00540EAE" w:rsidRPr="002815F4">
        <w:rPr>
          <w:rFonts w:ascii="Calibri" w:hAnsi="Calibri"/>
          <w:bCs/>
        </w:rPr>
        <w:t xml:space="preserve">own </w:t>
      </w:r>
      <w:r w:rsidR="00447CEC" w:rsidRPr="002815F4">
        <w:rPr>
          <w:rFonts w:ascii="Calibri" w:hAnsi="Calibri"/>
          <w:bCs/>
        </w:rPr>
        <w:t>share of Profit</w:t>
      </w:r>
      <w:r w:rsidR="00540EAE" w:rsidRPr="002815F4">
        <w:rPr>
          <w:rFonts w:ascii="Calibri" w:hAnsi="Calibri"/>
          <w:bCs/>
        </w:rPr>
        <w:t>/Cost</w:t>
      </w:r>
      <w:r w:rsidR="00447CEC" w:rsidRPr="002815F4">
        <w:rPr>
          <w:rFonts w:ascii="Calibri" w:hAnsi="Calibri"/>
          <w:bCs/>
        </w:rPr>
        <w:t xml:space="preserve"> Oil (</w:t>
      </w:r>
      <w:r w:rsidR="00540EAE" w:rsidRPr="002815F4">
        <w:rPr>
          <w:rFonts w:ascii="Calibri" w:hAnsi="Calibri"/>
          <w:bCs/>
        </w:rPr>
        <w:t xml:space="preserve">2014 EITI Report, </w:t>
      </w:r>
      <w:r w:rsidR="00447CEC" w:rsidRPr="002815F4">
        <w:rPr>
          <w:rFonts w:ascii="Calibri" w:hAnsi="Calibri"/>
          <w:bCs/>
        </w:rPr>
        <w:t>p.56)</w:t>
      </w:r>
      <w:r w:rsidR="00540EAE" w:rsidRPr="002815F4">
        <w:rPr>
          <w:rFonts w:ascii="Calibri" w:hAnsi="Calibri"/>
          <w:bCs/>
        </w:rPr>
        <w:t xml:space="preserve">. </w:t>
      </w:r>
      <w:r w:rsidR="00B05926" w:rsidRPr="002815F4">
        <w:rPr>
          <w:rFonts w:ascii="Calibri" w:hAnsi="Calibri"/>
          <w:bCs/>
        </w:rPr>
        <w:t>The report discloses and reconciles</w:t>
      </w:r>
      <w:r w:rsidR="00447CEC" w:rsidRPr="002815F4">
        <w:rPr>
          <w:rFonts w:ascii="Calibri" w:hAnsi="Calibri"/>
          <w:bCs/>
        </w:rPr>
        <w:t xml:space="preserve"> </w:t>
      </w:r>
      <w:r w:rsidR="00FA312E" w:rsidRPr="002815F4">
        <w:rPr>
          <w:rFonts w:ascii="Calibri" w:hAnsi="Calibri"/>
          <w:bCs/>
        </w:rPr>
        <w:t xml:space="preserve">oil and gas companies’ payments to Petrosen and </w:t>
      </w:r>
      <w:r w:rsidR="00447CEC" w:rsidRPr="002815F4">
        <w:rPr>
          <w:rFonts w:ascii="Calibri" w:hAnsi="Calibri"/>
          <w:bCs/>
        </w:rPr>
        <w:t xml:space="preserve">Petrosen’s payments to government </w:t>
      </w:r>
      <w:r w:rsidR="00B05926" w:rsidRPr="002815F4">
        <w:rPr>
          <w:rFonts w:ascii="Calibri" w:hAnsi="Calibri"/>
          <w:bCs/>
        </w:rPr>
        <w:t xml:space="preserve">(2014 EITI Report, </w:t>
      </w:r>
      <w:r w:rsidR="00EC7D65" w:rsidRPr="002815F4">
        <w:rPr>
          <w:rFonts w:ascii="Calibri" w:hAnsi="Calibri"/>
          <w:bCs/>
        </w:rPr>
        <w:t>p.</w:t>
      </w:r>
      <w:r w:rsidR="00860915" w:rsidRPr="002815F4">
        <w:rPr>
          <w:rFonts w:ascii="Calibri" w:hAnsi="Calibri"/>
          <w:bCs/>
        </w:rPr>
        <w:t>8-9,</w:t>
      </w:r>
      <w:r w:rsidR="00D0735D" w:rsidRPr="002815F4">
        <w:rPr>
          <w:rFonts w:ascii="Calibri" w:hAnsi="Calibri"/>
          <w:bCs/>
        </w:rPr>
        <w:t>19,</w:t>
      </w:r>
      <w:r w:rsidR="00EC7D65" w:rsidRPr="002815F4">
        <w:rPr>
          <w:rFonts w:ascii="Calibri" w:hAnsi="Calibri"/>
          <w:bCs/>
        </w:rPr>
        <w:t>67-68</w:t>
      </w:r>
      <w:r w:rsidR="00F25464" w:rsidRPr="002815F4">
        <w:rPr>
          <w:rFonts w:ascii="Calibri" w:hAnsi="Calibri"/>
          <w:bCs/>
        </w:rPr>
        <w:t>,79</w:t>
      </w:r>
      <w:r w:rsidR="00860915" w:rsidRPr="002815F4">
        <w:rPr>
          <w:rFonts w:ascii="Calibri" w:hAnsi="Calibri"/>
          <w:bCs/>
        </w:rPr>
        <w:t>,114</w:t>
      </w:r>
      <w:r w:rsidR="00B05926" w:rsidRPr="002815F4">
        <w:rPr>
          <w:rFonts w:ascii="Calibri" w:hAnsi="Calibri"/>
          <w:bCs/>
        </w:rPr>
        <w:t xml:space="preserve">). </w:t>
      </w:r>
      <w:r w:rsidR="00AA0CE9" w:rsidRPr="002815F4">
        <w:rPr>
          <w:rFonts w:ascii="Calibri" w:hAnsi="Calibri"/>
          <w:bCs/>
        </w:rPr>
        <w:t>The value of state subsidies to Petrosen in 2014 is disclosed and reconciled between Treasury and Petrosen</w:t>
      </w:r>
      <w:r w:rsidR="00B37C52" w:rsidRPr="002815F4">
        <w:rPr>
          <w:rFonts w:ascii="Calibri" w:hAnsi="Calibri"/>
          <w:bCs/>
        </w:rPr>
        <w:t>, without discrepancy</w:t>
      </w:r>
      <w:r w:rsidR="00AA0CE9" w:rsidRPr="002815F4">
        <w:rPr>
          <w:rFonts w:ascii="Calibri" w:hAnsi="Calibri"/>
          <w:bCs/>
        </w:rPr>
        <w:t xml:space="preserve"> (2014 EITI Report, p.84).</w:t>
      </w:r>
    </w:p>
    <w:p w14:paraId="5FA21841" w14:textId="071F8A20" w:rsidR="003E58F5" w:rsidRPr="002815F4" w:rsidRDefault="00852467" w:rsidP="009B3E66">
      <w:pPr>
        <w:pStyle w:val="Heading3"/>
      </w:pPr>
      <w:r w:rsidRPr="002815F4">
        <w:t>Stakeholder views</w:t>
      </w:r>
      <w:r w:rsidR="00B639EC" w:rsidRPr="002815F4">
        <w:t xml:space="preserve"> </w:t>
      </w:r>
    </w:p>
    <w:p w14:paraId="68392655" w14:textId="69756621" w:rsidR="004F616E" w:rsidRPr="002815F4" w:rsidRDefault="007D7A21" w:rsidP="00E02D8A">
      <w:r w:rsidRPr="002815F4">
        <w:rPr>
          <w:rFonts w:ascii="Calibri" w:hAnsi="Calibri"/>
          <w:bCs/>
        </w:rPr>
        <w:t xml:space="preserve">The IA confirmed that the 2014 EITI Report provided the reconciliation of all oil and gas company </w:t>
      </w:r>
      <w:r w:rsidRPr="002815F4">
        <w:rPr>
          <w:rFonts w:ascii="Calibri" w:hAnsi="Calibri"/>
          <w:bCs/>
        </w:rPr>
        <w:lastRenderedPageBreak/>
        <w:t>payments to Petrosen, all Petrosen payments to the government and all government subsidies to M</w:t>
      </w:r>
      <w:r w:rsidR="00F729A3" w:rsidRPr="002815F4">
        <w:rPr>
          <w:rFonts w:ascii="Calibri" w:hAnsi="Calibri"/>
          <w:bCs/>
        </w:rPr>
        <w:t>i</w:t>
      </w:r>
      <w:r w:rsidRPr="002815F4">
        <w:rPr>
          <w:rFonts w:ascii="Calibri" w:hAnsi="Calibri"/>
          <w:bCs/>
        </w:rPr>
        <w:t xml:space="preserve">ferso and Petrosen. </w:t>
      </w:r>
      <w:r w:rsidR="00B12DBD" w:rsidRPr="002815F4">
        <w:rPr>
          <w:rFonts w:ascii="Calibri" w:hAnsi="Calibri"/>
          <w:lang w:eastAsia="x-none"/>
        </w:rPr>
        <w:t xml:space="preserve">Government and company representatives confirmed that Miferso did not receive any revenues from mining companies and relied entirely on the government subsidy to finance its operations. Government and company representatives also confirmed that the cash proceeds of the state’s in-kind </w:t>
      </w:r>
      <w:r w:rsidR="002815F4" w:rsidRPr="002815F4">
        <w:rPr>
          <w:rFonts w:ascii="Calibri" w:hAnsi="Calibri"/>
          <w:lang w:eastAsia="x-none"/>
        </w:rPr>
        <w:t>revenue</w:t>
      </w:r>
      <w:r w:rsidR="00B12DBD" w:rsidRPr="002815F4">
        <w:rPr>
          <w:rFonts w:ascii="Calibri" w:hAnsi="Calibri"/>
          <w:lang w:eastAsia="x-none"/>
        </w:rPr>
        <w:t xml:space="preserve"> from Fortesa’s gas production were transferred directly to the Treasury, not Petrosen, in cash. </w:t>
      </w:r>
    </w:p>
    <w:p w14:paraId="44D1BEF1" w14:textId="1257C611" w:rsidR="008D3D57" w:rsidRPr="002815F4" w:rsidRDefault="00780017" w:rsidP="009B3E66">
      <w:pPr>
        <w:pStyle w:val="Heading3"/>
      </w:pPr>
      <w:bookmarkStart w:id="290" w:name="_Toc459133156"/>
      <w:bookmarkStart w:id="291" w:name="_Toc461803106"/>
      <w:r w:rsidRPr="002815F4">
        <w:t>Initial a</w:t>
      </w:r>
      <w:r w:rsidR="008D3D57" w:rsidRPr="002815F4">
        <w:t>ssessment</w:t>
      </w:r>
      <w:bookmarkEnd w:id="290"/>
      <w:bookmarkEnd w:id="291"/>
    </w:p>
    <w:p w14:paraId="51067936" w14:textId="7A96240B" w:rsidR="00946DDE" w:rsidRPr="002815F4" w:rsidRDefault="00946DDE" w:rsidP="00946DDE">
      <w:pPr>
        <w:spacing w:before="120"/>
        <w:rPr>
          <w:rFonts w:ascii="Calibri" w:hAnsi="Calibri"/>
          <w:lang w:eastAsia="x-none"/>
        </w:rPr>
      </w:pPr>
      <w:r w:rsidRPr="002815F4">
        <w:rPr>
          <w:rFonts w:ascii="Calibri" w:hAnsi="Calibri"/>
          <w:lang w:eastAsia="x-none"/>
        </w:rPr>
        <w:t xml:space="preserve">The International Secretariat’s initial assessment is that Senegal has made satisfactory progress in meeting this </w:t>
      </w:r>
      <w:commentRangeStart w:id="292"/>
      <w:r w:rsidRPr="002815F4">
        <w:rPr>
          <w:rFonts w:ascii="Calibri" w:hAnsi="Calibri"/>
          <w:lang w:eastAsia="x-none"/>
        </w:rPr>
        <w:t>requirement</w:t>
      </w:r>
      <w:commentRangeEnd w:id="292"/>
      <w:r w:rsidR="00581ABB">
        <w:rPr>
          <w:rStyle w:val="CommentReference"/>
          <w:szCs w:val="20"/>
        </w:rPr>
        <w:commentReference w:id="292"/>
      </w:r>
      <w:r w:rsidRPr="002815F4">
        <w:rPr>
          <w:rFonts w:ascii="Calibri" w:hAnsi="Calibri"/>
          <w:lang w:eastAsia="x-none"/>
        </w:rPr>
        <w:t xml:space="preserve">. The 2014 EITI Report discloses and reconciles company payments to Petrosen, payments from Petrosen to the Treasury and from Treasury to Miferso and Petrosen. </w:t>
      </w:r>
      <w:r w:rsidR="00B12DBD" w:rsidRPr="002815F4">
        <w:rPr>
          <w:rFonts w:ascii="Calibri" w:hAnsi="Calibri"/>
          <w:lang w:eastAsia="x-none"/>
        </w:rPr>
        <w:t xml:space="preserve">The International Secretariat received no information that suggested any company payment to SOEs or SOE payments to government were excluded from the scope of reporting. </w:t>
      </w:r>
    </w:p>
    <w:p w14:paraId="724A7933" w14:textId="77777777" w:rsidR="000722F1" w:rsidRPr="002815F4" w:rsidRDefault="000722F1" w:rsidP="009B3E66">
      <w:pPr>
        <w:pStyle w:val="Heading2"/>
      </w:pPr>
      <w:bookmarkStart w:id="293" w:name="_Toc459133157"/>
      <w:bookmarkStart w:id="294" w:name="_Toc461803107"/>
      <w:bookmarkStart w:id="295" w:name="_Toc461787346"/>
      <w:bookmarkStart w:id="296" w:name="_Toc461795858"/>
      <w:bookmarkStart w:id="297" w:name="_Toc459133158"/>
      <w:r w:rsidRPr="002815F4">
        <w:t>Subnational direct payments (#4.</w:t>
      </w:r>
      <w:r w:rsidR="008D3D57" w:rsidRPr="002815F4">
        <w:t>6</w:t>
      </w:r>
      <w:r w:rsidRPr="002815F4">
        <w:t>)</w:t>
      </w:r>
      <w:bookmarkEnd w:id="293"/>
      <w:bookmarkEnd w:id="294"/>
      <w:bookmarkEnd w:id="295"/>
      <w:bookmarkEnd w:id="296"/>
    </w:p>
    <w:bookmarkEnd w:id="297"/>
    <w:p w14:paraId="7E028DDF" w14:textId="7CBEBCE2" w:rsidR="00946D61" w:rsidRPr="002815F4" w:rsidRDefault="005021B3" w:rsidP="009B3E66">
      <w:pPr>
        <w:pStyle w:val="Heading3"/>
      </w:pPr>
      <w:r w:rsidRPr="002815F4">
        <w:t xml:space="preserve">Documentation of progress </w:t>
      </w:r>
    </w:p>
    <w:p w14:paraId="2C9E2535" w14:textId="4A6A8BB8" w:rsidR="00070BD9" w:rsidRPr="002815F4" w:rsidRDefault="00070BD9" w:rsidP="005021B3">
      <w:pPr>
        <w:spacing w:before="120"/>
        <w:rPr>
          <w:rFonts w:ascii="Calibri" w:hAnsi="Calibri"/>
          <w:bCs/>
        </w:rPr>
      </w:pPr>
      <w:r w:rsidRPr="002815F4">
        <w:rPr>
          <w:rFonts w:ascii="Calibri" w:hAnsi="Calibri"/>
          <w:bCs/>
        </w:rPr>
        <w:t>The 2</w:t>
      </w:r>
      <w:r w:rsidR="005F7886" w:rsidRPr="002815F4">
        <w:rPr>
          <w:rFonts w:ascii="Calibri" w:hAnsi="Calibri"/>
          <w:bCs/>
        </w:rPr>
        <w:t>014 EITI Report</w:t>
      </w:r>
      <w:r w:rsidRPr="002815F4">
        <w:rPr>
          <w:rFonts w:ascii="Calibri" w:hAnsi="Calibri"/>
          <w:bCs/>
        </w:rPr>
        <w:t xml:space="preserve"> </w:t>
      </w:r>
      <w:r w:rsidR="005F7886" w:rsidRPr="002815F4">
        <w:rPr>
          <w:rFonts w:ascii="Calibri" w:hAnsi="Calibri"/>
          <w:bCs/>
        </w:rPr>
        <w:t xml:space="preserve">confirms that there are no </w:t>
      </w:r>
      <w:r w:rsidR="008E4A74" w:rsidRPr="002815F4">
        <w:rPr>
          <w:rFonts w:ascii="Calibri" w:hAnsi="Calibri"/>
          <w:bCs/>
        </w:rPr>
        <w:t xml:space="preserve">direct subnational payments in the mining, oil and gas sectors </w:t>
      </w:r>
      <w:r w:rsidR="005F7886" w:rsidRPr="002815F4">
        <w:rPr>
          <w:rFonts w:ascii="Calibri" w:hAnsi="Calibri"/>
          <w:bCs/>
        </w:rPr>
        <w:t xml:space="preserve">in Senegal </w:t>
      </w:r>
      <w:r w:rsidR="008E4A74" w:rsidRPr="002815F4">
        <w:rPr>
          <w:rFonts w:ascii="Calibri" w:hAnsi="Calibri"/>
          <w:bCs/>
        </w:rPr>
        <w:t>(2014 EITI Report, pp.</w:t>
      </w:r>
      <w:r w:rsidR="005F7886" w:rsidRPr="002815F4">
        <w:rPr>
          <w:rFonts w:ascii="Calibri" w:hAnsi="Calibri"/>
          <w:bCs/>
        </w:rPr>
        <w:t>36,55,</w:t>
      </w:r>
      <w:r w:rsidR="008E4A74" w:rsidRPr="002815F4">
        <w:rPr>
          <w:rFonts w:ascii="Calibri" w:hAnsi="Calibri"/>
          <w:bCs/>
        </w:rPr>
        <w:t xml:space="preserve">57-58). </w:t>
      </w:r>
    </w:p>
    <w:p w14:paraId="0C80685C" w14:textId="1BB60AFC" w:rsidR="00E252A3" w:rsidRPr="002815F4" w:rsidRDefault="00946D61" w:rsidP="007474FE">
      <w:pPr>
        <w:pStyle w:val="Heading3"/>
      </w:pPr>
      <w:r w:rsidRPr="002815F4">
        <w:t>Stakeholder views</w:t>
      </w:r>
    </w:p>
    <w:p w14:paraId="0298A35B" w14:textId="5520D4FD" w:rsidR="00C12AD0" w:rsidRPr="002815F4" w:rsidRDefault="00A83C21" w:rsidP="007474FE">
      <w:r w:rsidRPr="002815F4">
        <w:t xml:space="preserve">All stakeholders consulted </w:t>
      </w:r>
      <w:r w:rsidR="00F4700B" w:rsidRPr="002815F4">
        <w:t>confirmed</w:t>
      </w:r>
      <w:r w:rsidRPr="002815F4">
        <w:t xml:space="preserve"> that mining, oil and gas companies did not make any direct subnational payments in Senegal. </w:t>
      </w:r>
      <w:r w:rsidR="002F019E" w:rsidRPr="002815F4">
        <w:t xml:space="preserve">While companies were required to </w:t>
      </w:r>
      <w:r w:rsidR="00A76F59" w:rsidRPr="002815F4">
        <w:t xml:space="preserve">make </w:t>
      </w:r>
      <w:r w:rsidR="002F019E" w:rsidRPr="002815F4">
        <w:t xml:space="preserve">certain </w:t>
      </w:r>
      <w:r w:rsidR="00A76F59" w:rsidRPr="002815F4">
        <w:t xml:space="preserve">payments for the benefit of local governments, these were paid to representatives of the Treasury based in the regions, rather than to subnational governments directly. </w:t>
      </w:r>
      <w:r w:rsidR="00F4700B" w:rsidRPr="002815F4">
        <w:t xml:space="preserve">The IA confirmed that Senegal operated a centralised revenue collection system, noting that Treasury representatives based outside Dakar collected payments but remained employees of the national government’s revenue collecting agencies. </w:t>
      </w:r>
      <w:r w:rsidR="00BE08C7" w:rsidRPr="002815F4">
        <w:t xml:space="preserve">Several development partners confirmed that local governments do not have the capacity to collect revenues. While secretariat staff explained </w:t>
      </w:r>
      <w:r w:rsidR="00827A34" w:rsidRPr="002815F4">
        <w:t xml:space="preserve">that municipalities received some minor non-fiscal revenues from companies directly, all stakeholders consulted confirmed that all mining companies were exempt from such payments. </w:t>
      </w:r>
    </w:p>
    <w:p w14:paraId="531D4E82" w14:textId="51723889" w:rsidR="00FC7A1B" w:rsidRPr="002815F4" w:rsidRDefault="00710900" w:rsidP="009B3E66">
      <w:pPr>
        <w:pStyle w:val="Heading3"/>
      </w:pPr>
      <w:bookmarkStart w:id="298" w:name="_Toc459133160"/>
      <w:bookmarkStart w:id="299" w:name="_Toc461803110"/>
      <w:r w:rsidRPr="002815F4">
        <w:t>Initial a</w:t>
      </w:r>
      <w:r w:rsidR="00FC7A1B" w:rsidRPr="002815F4">
        <w:t>ssessment</w:t>
      </w:r>
      <w:bookmarkEnd w:id="298"/>
      <w:bookmarkEnd w:id="299"/>
    </w:p>
    <w:p w14:paraId="57976D45" w14:textId="747EF738" w:rsidR="008D3D57" w:rsidRPr="002815F4" w:rsidRDefault="005021B3" w:rsidP="00946D61">
      <w:pPr>
        <w:rPr>
          <w:rFonts w:ascii="Calibri" w:hAnsi="Calibri"/>
        </w:rPr>
      </w:pPr>
      <w:r w:rsidRPr="002815F4">
        <w:rPr>
          <w:rFonts w:ascii="Calibri" w:hAnsi="Calibri"/>
        </w:rPr>
        <w:t xml:space="preserve">The International Secretariat’s initial assessment is that </w:t>
      </w:r>
      <w:r w:rsidR="005F7886" w:rsidRPr="002815F4">
        <w:rPr>
          <w:rFonts w:ascii="Calibri" w:hAnsi="Calibri"/>
          <w:bCs/>
        </w:rPr>
        <w:t>this requirement is not applicable</w:t>
      </w:r>
      <w:r w:rsidR="005F7886" w:rsidRPr="002815F4">
        <w:rPr>
          <w:rFonts w:ascii="Calibri" w:hAnsi="Calibri"/>
        </w:rPr>
        <w:t xml:space="preserve"> to Senegal in the year under review (</w:t>
      </w:r>
      <w:commentRangeStart w:id="300"/>
      <w:r w:rsidR="005F7886" w:rsidRPr="002815F4">
        <w:rPr>
          <w:rFonts w:ascii="Calibri" w:hAnsi="Calibri"/>
        </w:rPr>
        <w:t>2014</w:t>
      </w:r>
      <w:commentRangeEnd w:id="300"/>
      <w:r w:rsidR="00233E1F">
        <w:rPr>
          <w:rStyle w:val="CommentReference"/>
          <w:szCs w:val="20"/>
        </w:rPr>
        <w:commentReference w:id="300"/>
      </w:r>
      <w:r w:rsidR="005F7886" w:rsidRPr="002815F4">
        <w:rPr>
          <w:rFonts w:ascii="Calibri" w:hAnsi="Calibri"/>
        </w:rPr>
        <w:t>)</w:t>
      </w:r>
      <w:r w:rsidRPr="002815F4">
        <w:rPr>
          <w:rFonts w:ascii="Calibri" w:hAnsi="Calibri"/>
        </w:rPr>
        <w:t>.</w:t>
      </w:r>
      <w:r w:rsidR="005F7886" w:rsidRPr="002815F4">
        <w:rPr>
          <w:rFonts w:ascii="Calibri" w:hAnsi="Calibri"/>
        </w:rPr>
        <w:t xml:space="preserve"> The 2014 EITI Report </w:t>
      </w:r>
      <w:r w:rsidR="00514B03" w:rsidRPr="002815F4">
        <w:rPr>
          <w:rFonts w:ascii="Calibri" w:hAnsi="Calibri"/>
        </w:rPr>
        <w:t>confirms the lack of direct subnational payments</w:t>
      </w:r>
      <w:r w:rsidR="005F7886" w:rsidRPr="002815F4">
        <w:rPr>
          <w:rFonts w:ascii="Calibri" w:hAnsi="Calibri"/>
        </w:rPr>
        <w:t xml:space="preserve">, although it could do more in explaining the </w:t>
      </w:r>
      <w:r w:rsidR="005D2225">
        <w:rPr>
          <w:rFonts w:ascii="Calibri" w:hAnsi="Calibri"/>
        </w:rPr>
        <w:t xml:space="preserve">centralised nature </w:t>
      </w:r>
      <w:r w:rsidR="005F7886" w:rsidRPr="002815F4">
        <w:rPr>
          <w:rFonts w:ascii="Calibri" w:hAnsi="Calibri"/>
        </w:rPr>
        <w:t xml:space="preserve">of public accounts and lack of tax-levying powers at the subnational level. </w:t>
      </w:r>
    </w:p>
    <w:p w14:paraId="78AA9372" w14:textId="77777777" w:rsidR="008D3D57" w:rsidRPr="002815F4" w:rsidRDefault="008D3D57" w:rsidP="009B3E66">
      <w:pPr>
        <w:pStyle w:val="Heading2"/>
      </w:pPr>
      <w:bookmarkStart w:id="301" w:name="_Toc459133161"/>
      <w:bookmarkStart w:id="302" w:name="_Toc461803111"/>
      <w:bookmarkStart w:id="303" w:name="_Toc461787347"/>
      <w:bookmarkStart w:id="304" w:name="_Toc461795859"/>
      <w:bookmarkStart w:id="305" w:name="_Toc462149195"/>
      <w:bookmarkStart w:id="306" w:name="_Toc459133162"/>
      <w:r w:rsidRPr="002815F4">
        <w:t>Level of disaggregation (#4.7)</w:t>
      </w:r>
      <w:bookmarkEnd w:id="301"/>
      <w:bookmarkEnd w:id="302"/>
      <w:bookmarkEnd w:id="303"/>
      <w:bookmarkEnd w:id="304"/>
      <w:bookmarkEnd w:id="305"/>
      <w:r w:rsidRPr="002815F4">
        <w:t xml:space="preserve"> </w:t>
      </w:r>
    </w:p>
    <w:bookmarkEnd w:id="306"/>
    <w:p w14:paraId="667A62A2" w14:textId="2E333BDE" w:rsidR="003E58F5" w:rsidRPr="002815F4" w:rsidRDefault="005021B3" w:rsidP="009B3E66">
      <w:pPr>
        <w:pStyle w:val="Heading3"/>
      </w:pPr>
      <w:r w:rsidRPr="002815F4">
        <w:t xml:space="preserve">Documentation of progress </w:t>
      </w:r>
    </w:p>
    <w:p w14:paraId="5FA38E19" w14:textId="22C7D040" w:rsidR="001C0DE8" w:rsidRPr="002815F4" w:rsidRDefault="00FA0A8B" w:rsidP="00946D61">
      <w:pPr>
        <w:spacing w:before="120"/>
        <w:rPr>
          <w:rFonts w:ascii="Calibri" w:hAnsi="Calibri"/>
          <w:bCs/>
        </w:rPr>
      </w:pPr>
      <w:r w:rsidRPr="002815F4">
        <w:rPr>
          <w:rFonts w:ascii="Calibri" w:hAnsi="Calibri"/>
          <w:bCs/>
        </w:rPr>
        <w:t>The 2014 EITI Report confirms that detailed reconciliation data is available on the EITI website, disaggregated by company, government entity and revenue flow</w:t>
      </w:r>
      <w:r w:rsidR="005C0593" w:rsidRPr="002815F4">
        <w:rPr>
          <w:rFonts w:ascii="Calibri" w:hAnsi="Calibri"/>
          <w:bCs/>
        </w:rPr>
        <w:t xml:space="preserve"> (2014 EITI Report, </w:t>
      </w:r>
      <w:r w:rsidRPr="002815F4">
        <w:rPr>
          <w:rFonts w:ascii="Calibri" w:hAnsi="Calibri"/>
          <w:bCs/>
        </w:rPr>
        <w:t>p.16</w:t>
      </w:r>
      <w:r w:rsidR="005C0593" w:rsidRPr="002815F4">
        <w:rPr>
          <w:rFonts w:ascii="Calibri" w:hAnsi="Calibri"/>
          <w:bCs/>
        </w:rPr>
        <w:t>)</w:t>
      </w:r>
      <w:r w:rsidRPr="002815F4">
        <w:rPr>
          <w:rFonts w:ascii="Calibri" w:hAnsi="Calibri"/>
          <w:bCs/>
        </w:rPr>
        <w:t xml:space="preserve">. </w:t>
      </w:r>
      <w:r w:rsidR="00AD1D56" w:rsidRPr="002815F4">
        <w:rPr>
          <w:rFonts w:ascii="Calibri" w:hAnsi="Calibri"/>
          <w:bCs/>
        </w:rPr>
        <w:t xml:space="preserve">The 2013 EITI Report also provided reconciled data disaggregated by company, government entity and revenue flow. </w:t>
      </w:r>
      <w:r w:rsidR="001C0DE8" w:rsidRPr="002815F4">
        <w:rPr>
          <w:rFonts w:ascii="Calibri" w:hAnsi="Calibri"/>
          <w:bCs/>
        </w:rPr>
        <w:lastRenderedPageBreak/>
        <w:t>Detailed reconciliation tables are available on the EITI Senegal website for both the 2013 EITI Report</w:t>
      </w:r>
      <w:r w:rsidR="001C0DE8" w:rsidRPr="002815F4">
        <w:rPr>
          <w:rStyle w:val="FootnoteReference"/>
          <w:rFonts w:ascii="Calibri" w:hAnsi="Calibri"/>
          <w:bCs/>
        </w:rPr>
        <w:footnoteReference w:id="72"/>
      </w:r>
      <w:r w:rsidR="001C0DE8" w:rsidRPr="002815F4">
        <w:rPr>
          <w:rFonts w:ascii="Calibri" w:hAnsi="Calibri"/>
          <w:bCs/>
        </w:rPr>
        <w:t xml:space="preserve"> and the 2014 EITI Report.</w:t>
      </w:r>
      <w:r w:rsidR="001C0DE8" w:rsidRPr="002815F4">
        <w:rPr>
          <w:rStyle w:val="FootnoteReference"/>
          <w:rFonts w:ascii="Calibri" w:hAnsi="Calibri"/>
          <w:bCs/>
        </w:rPr>
        <w:footnoteReference w:id="73"/>
      </w:r>
      <w:r w:rsidR="001C0DE8" w:rsidRPr="002815F4">
        <w:rPr>
          <w:rFonts w:ascii="Calibri" w:hAnsi="Calibri"/>
          <w:bCs/>
        </w:rPr>
        <w:t xml:space="preserve"> While reconciled data is not disaggregated by project, it appears that all mining companies aside from those in gold and quarrying operate only one project. </w:t>
      </w:r>
    </w:p>
    <w:p w14:paraId="75538F20" w14:textId="77777777" w:rsidR="00946D61" w:rsidRPr="002815F4" w:rsidRDefault="005021B3" w:rsidP="009B3E66">
      <w:pPr>
        <w:pStyle w:val="Heading3"/>
      </w:pPr>
      <w:r w:rsidRPr="002815F4">
        <w:t xml:space="preserve">Stakeholder views </w:t>
      </w:r>
    </w:p>
    <w:p w14:paraId="4B469A3F" w14:textId="1A687F71" w:rsidR="00FF0440" w:rsidRPr="002815F4" w:rsidRDefault="006D28DA" w:rsidP="00FF0440">
      <w:r w:rsidRPr="002815F4">
        <w:rPr>
          <w:rFonts w:ascii="Calibri" w:hAnsi="Calibri"/>
          <w:bCs/>
        </w:rPr>
        <w:t>Company representatives confirmed that all mining companies aside from gold and quarrying operated only one mine</w:t>
      </w:r>
      <w:r w:rsidR="00390E73">
        <w:rPr>
          <w:rFonts w:ascii="Calibri" w:hAnsi="Calibri"/>
          <w:bCs/>
        </w:rPr>
        <w:t>. E</w:t>
      </w:r>
      <w:r w:rsidRPr="002815F4">
        <w:rPr>
          <w:rFonts w:ascii="Calibri" w:hAnsi="Calibri"/>
          <w:bCs/>
        </w:rPr>
        <w:t>xplicit project-level EITI reporting would be challenging for gold-mining and quarrying companies, as well as those in oil and gas.</w:t>
      </w:r>
      <w:r w:rsidR="00AA0A32">
        <w:rPr>
          <w:rFonts w:ascii="Calibri" w:hAnsi="Calibri"/>
          <w:bCs/>
        </w:rPr>
        <w:t xml:space="preserve"> </w:t>
      </w:r>
      <w:r w:rsidR="00390E73">
        <w:rPr>
          <w:rFonts w:ascii="Calibri" w:hAnsi="Calibri"/>
          <w:bCs/>
        </w:rPr>
        <w:t>O</w:t>
      </w:r>
      <w:r w:rsidRPr="002815F4">
        <w:rPr>
          <w:rFonts w:ascii="Calibri" w:hAnsi="Calibri"/>
          <w:bCs/>
        </w:rPr>
        <w:t xml:space="preserve">il and gas companies explained that the Greater Tortue field would be considered a project given that it was substantially linked in infrastructure, through the planned floating LNG terminal. </w:t>
      </w:r>
      <w:r w:rsidR="00FF0440" w:rsidRPr="002815F4">
        <w:t xml:space="preserve">Civil society representatives did not express any reserves concerning the level of disaggregation </w:t>
      </w:r>
      <w:r w:rsidRPr="002815F4">
        <w:t xml:space="preserve">in </w:t>
      </w:r>
      <w:r w:rsidR="00FF0440" w:rsidRPr="002815F4">
        <w:t xml:space="preserve">EITI Reports. </w:t>
      </w:r>
    </w:p>
    <w:p w14:paraId="0D45A00E" w14:textId="10B49593" w:rsidR="005021B3" w:rsidRPr="002815F4" w:rsidRDefault="005021B3" w:rsidP="009B3E66">
      <w:pPr>
        <w:pStyle w:val="Heading3"/>
      </w:pPr>
      <w:bookmarkStart w:id="307" w:name="_Toc459133164"/>
      <w:bookmarkStart w:id="308" w:name="_Toc461803114"/>
      <w:r w:rsidRPr="002815F4">
        <w:t>Initial assessment</w:t>
      </w:r>
      <w:bookmarkEnd w:id="307"/>
      <w:bookmarkEnd w:id="308"/>
    </w:p>
    <w:p w14:paraId="685D49AC" w14:textId="42A06246" w:rsidR="00053472" w:rsidRPr="002815F4" w:rsidRDefault="005021B3" w:rsidP="003E7C3D">
      <w:pPr>
        <w:rPr>
          <w:rFonts w:ascii="Calibri" w:hAnsi="Calibri"/>
          <w:color w:val="000000" w:themeColor="text1"/>
          <w:lang w:eastAsia="x-none"/>
        </w:rPr>
      </w:pPr>
      <w:r w:rsidRPr="002815F4">
        <w:rPr>
          <w:rFonts w:ascii="Calibri" w:hAnsi="Calibri"/>
          <w:color w:val="000000" w:themeColor="text1"/>
          <w:lang w:eastAsia="x-none"/>
        </w:rPr>
        <w:t xml:space="preserve">The International Secretariat’s initial assessment is that </w:t>
      </w:r>
      <w:r w:rsidR="005C0593" w:rsidRPr="002815F4">
        <w:rPr>
          <w:rFonts w:ascii="Calibri" w:hAnsi="Calibri"/>
          <w:bCs/>
        </w:rPr>
        <w:t>Senegal</w:t>
      </w:r>
      <w:r w:rsidR="005C0593" w:rsidRPr="002815F4">
        <w:rPr>
          <w:rFonts w:ascii="Calibri" w:hAnsi="Calibri"/>
          <w:b/>
          <w:bCs/>
        </w:rPr>
        <w:t xml:space="preserve"> </w:t>
      </w:r>
      <w:r w:rsidRPr="002815F4">
        <w:rPr>
          <w:rFonts w:ascii="Calibri" w:hAnsi="Calibri"/>
          <w:color w:val="000000" w:themeColor="text1"/>
          <w:lang w:eastAsia="x-none"/>
        </w:rPr>
        <w:t xml:space="preserve">has made </w:t>
      </w:r>
      <w:r w:rsidR="005C0593" w:rsidRPr="002815F4">
        <w:rPr>
          <w:rFonts w:ascii="Calibri" w:hAnsi="Calibri"/>
          <w:bCs/>
        </w:rPr>
        <w:t>satisfactory</w:t>
      </w:r>
      <w:r w:rsidR="005C0593" w:rsidRPr="002815F4">
        <w:rPr>
          <w:rFonts w:ascii="Calibri" w:hAnsi="Calibri"/>
          <w:b/>
          <w:bCs/>
        </w:rPr>
        <w:t xml:space="preserve"> </w:t>
      </w:r>
      <w:r w:rsidRPr="002815F4">
        <w:rPr>
          <w:rFonts w:ascii="Calibri" w:hAnsi="Calibri"/>
          <w:color w:val="000000" w:themeColor="text1"/>
          <w:lang w:eastAsia="x-none"/>
        </w:rPr>
        <w:t xml:space="preserve">progress in meeting this </w:t>
      </w:r>
      <w:commentRangeStart w:id="309"/>
      <w:r w:rsidRPr="002815F4">
        <w:rPr>
          <w:rFonts w:ascii="Calibri" w:hAnsi="Calibri"/>
          <w:color w:val="000000" w:themeColor="text1"/>
          <w:lang w:eastAsia="x-none"/>
        </w:rPr>
        <w:t>requirement</w:t>
      </w:r>
      <w:commentRangeEnd w:id="309"/>
      <w:r w:rsidR="000977BB">
        <w:rPr>
          <w:rStyle w:val="CommentReference"/>
          <w:szCs w:val="20"/>
        </w:rPr>
        <w:commentReference w:id="309"/>
      </w:r>
      <w:r w:rsidRPr="002815F4">
        <w:rPr>
          <w:rFonts w:ascii="Calibri" w:hAnsi="Calibri"/>
          <w:color w:val="000000" w:themeColor="text1"/>
          <w:lang w:eastAsia="x-none"/>
        </w:rPr>
        <w:t xml:space="preserve">. </w:t>
      </w:r>
      <w:r w:rsidR="003E7C3D" w:rsidRPr="002815F4">
        <w:rPr>
          <w:rFonts w:ascii="Calibri" w:hAnsi="Calibri"/>
          <w:color w:val="000000" w:themeColor="text1"/>
          <w:lang w:eastAsia="x-none"/>
        </w:rPr>
        <w:t>In accordance with Requirement 4.7, the data is disaggregated by individual company, revenue stream and government entity for all revenue streams.</w:t>
      </w:r>
      <w:r w:rsidR="00CB48C6" w:rsidRPr="002815F4">
        <w:rPr>
          <w:rFonts w:ascii="Calibri" w:hAnsi="Calibri"/>
          <w:color w:val="000000" w:themeColor="text1"/>
          <w:lang w:eastAsia="x-none"/>
        </w:rPr>
        <w:t xml:space="preserve"> It is also encouraging that EITI Senegal has made detailed reconciliation tables in open data format available on its website. </w:t>
      </w:r>
    </w:p>
    <w:p w14:paraId="0243970E" w14:textId="35F6B0D1" w:rsidR="00FC124F" w:rsidRPr="002815F4" w:rsidRDefault="00FC124F" w:rsidP="003E7C3D">
      <w:pPr>
        <w:rPr>
          <w:rFonts w:ascii="Calibri" w:hAnsi="Calibri"/>
          <w:color w:val="000000" w:themeColor="text1"/>
          <w:lang w:eastAsia="x-none"/>
        </w:rPr>
      </w:pPr>
      <w:r w:rsidRPr="002815F4">
        <w:rPr>
          <w:rFonts w:ascii="Calibri" w:hAnsi="Calibri"/>
          <w:color w:val="000000" w:themeColor="text1"/>
          <w:lang w:eastAsia="x-none"/>
        </w:rPr>
        <w:t xml:space="preserve">To further strengthen implementation, the MSG may wish to make progress in implementing project-level EITI reporting ahead of the deadline for all EITI Reports covering fiscal periods ending on or after 31 December 2018, agreed by the EITI Board at its 36th meeting in Bogotá.   </w:t>
      </w:r>
    </w:p>
    <w:p w14:paraId="42E76A2F" w14:textId="51C011A9" w:rsidR="00053472" w:rsidRPr="002815F4" w:rsidRDefault="00053472" w:rsidP="009B3E66">
      <w:pPr>
        <w:pStyle w:val="Heading2"/>
      </w:pPr>
      <w:bookmarkStart w:id="310" w:name="_Toc459133165"/>
      <w:bookmarkStart w:id="311" w:name="_Toc461803115"/>
      <w:bookmarkStart w:id="312" w:name="_Toc461787348"/>
      <w:bookmarkStart w:id="313" w:name="_Toc461795860"/>
      <w:bookmarkStart w:id="314" w:name="_Toc462149196"/>
      <w:r w:rsidRPr="002815F4">
        <w:t>Data timeliness (#4.8)</w:t>
      </w:r>
      <w:bookmarkEnd w:id="310"/>
      <w:bookmarkEnd w:id="311"/>
      <w:bookmarkEnd w:id="312"/>
      <w:bookmarkEnd w:id="313"/>
      <w:bookmarkEnd w:id="314"/>
    </w:p>
    <w:p w14:paraId="2DE9FE2D" w14:textId="51E61C93" w:rsidR="003E58F5" w:rsidRPr="002815F4" w:rsidRDefault="00C21BD4" w:rsidP="009B3E66">
      <w:pPr>
        <w:pStyle w:val="Heading3"/>
      </w:pPr>
      <w:r w:rsidRPr="002815F4">
        <w:t xml:space="preserve">Documentation of progress </w:t>
      </w:r>
    </w:p>
    <w:p w14:paraId="457A7231" w14:textId="7EE7B064" w:rsidR="003364F6" w:rsidRPr="002815F4" w:rsidRDefault="00CB48C6" w:rsidP="00C17CDE">
      <w:pPr>
        <w:spacing w:before="120"/>
        <w:rPr>
          <w:rFonts w:ascii="Calibri" w:hAnsi="Calibri"/>
          <w:bCs/>
        </w:rPr>
      </w:pPr>
      <w:r w:rsidRPr="002815F4">
        <w:rPr>
          <w:rFonts w:ascii="Calibri" w:hAnsi="Calibri"/>
          <w:bCs/>
        </w:rPr>
        <w:t>Senegal has made great strides in moving towards timelier EITI reporting. The 2013 EITI Report was published in October 2015, t</w:t>
      </w:r>
      <w:r w:rsidR="00C17CDE" w:rsidRPr="002815F4">
        <w:rPr>
          <w:rFonts w:ascii="Calibri" w:hAnsi="Calibri"/>
          <w:bCs/>
        </w:rPr>
        <w:t xml:space="preserve">he 2014 EITI Report </w:t>
      </w:r>
      <w:r w:rsidRPr="002815F4">
        <w:rPr>
          <w:rFonts w:ascii="Calibri" w:hAnsi="Calibri"/>
          <w:bCs/>
        </w:rPr>
        <w:t xml:space="preserve">in </w:t>
      </w:r>
      <w:r w:rsidR="00C17CDE" w:rsidRPr="002815F4">
        <w:rPr>
          <w:rFonts w:ascii="Calibri" w:hAnsi="Calibri"/>
          <w:bCs/>
        </w:rPr>
        <w:t xml:space="preserve">October 2016. </w:t>
      </w:r>
      <w:r w:rsidRPr="002815F4">
        <w:rPr>
          <w:rFonts w:ascii="Calibri" w:hAnsi="Calibri"/>
          <w:bCs/>
        </w:rPr>
        <w:t>Having procured the IA for its 2015-16 EITI Reports in March 2017, EITI Senegal publish</w:t>
      </w:r>
      <w:r w:rsidR="00AA0A32">
        <w:rPr>
          <w:rFonts w:ascii="Calibri" w:hAnsi="Calibri"/>
          <w:bCs/>
        </w:rPr>
        <w:t>ed</w:t>
      </w:r>
      <w:r w:rsidRPr="002815F4">
        <w:rPr>
          <w:rFonts w:ascii="Calibri" w:hAnsi="Calibri"/>
          <w:bCs/>
        </w:rPr>
        <w:t xml:space="preserve"> these reports in October 2017. </w:t>
      </w:r>
      <w:r w:rsidR="00D75D73" w:rsidRPr="002815F4">
        <w:rPr>
          <w:rFonts w:ascii="Calibri" w:hAnsi="Calibri"/>
          <w:bCs/>
        </w:rPr>
        <w:t xml:space="preserve">EITI Senegal’s mainstreaming efforts through its planned EITI portal should ensure an even timelier reporting, with collaboration with the </w:t>
      </w:r>
      <w:r w:rsidR="00F729A3" w:rsidRPr="002815F4">
        <w:rPr>
          <w:rFonts w:ascii="Calibri" w:hAnsi="Calibri"/>
          <w:bCs/>
        </w:rPr>
        <w:t>Cour des Comptes</w:t>
      </w:r>
      <w:r w:rsidR="00D75D73" w:rsidRPr="002815F4">
        <w:rPr>
          <w:rFonts w:ascii="Calibri" w:hAnsi="Calibri"/>
          <w:bCs/>
        </w:rPr>
        <w:t xml:space="preserve"> (</w:t>
      </w:r>
      <w:r w:rsidR="00D75D73" w:rsidRPr="002815F4">
        <w:rPr>
          <w:rFonts w:ascii="Calibri" w:hAnsi="Calibri"/>
          <w:bCs/>
          <w:i/>
        </w:rPr>
        <w:t>see Requirement 4.9</w:t>
      </w:r>
      <w:r w:rsidR="00D75D73" w:rsidRPr="002815F4">
        <w:rPr>
          <w:rFonts w:ascii="Calibri" w:hAnsi="Calibri"/>
          <w:bCs/>
        </w:rPr>
        <w:t xml:space="preserve">). </w:t>
      </w:r>
    </w:p>
    <w:p w14:paraId="3923B1ED" w14:textId="527B1D84" w:rsidR="00C21BD4" w:rsidRPr="002815F4" w:rsidRDefault="003364F6" w:rsidP="00C17CDE">
      <w:pPr>
        <w:spacing w:before="120"/>
        <w:rPr>
          <w:rFonts w:ascii="Calibri" w:hAnsi="Calibri"/>
          <w:bCs/>
        </w:rPr>
      </w:pPr>
      <w:r w:rsidRPr="002815F4">
        <w:rPr>
          <w:rFonts w:ascii="Calibri" w:hAnsi="Calibri"/>
          <w:bCs/>
        </w:rPr>
        <w:t xml:space="preserve">The 2014 EITI Report confirms that the accounting period covered by the 2014 EITI Report was 1 January 2014 to 31 December 2014, on a cash-based accounting basis (2014 EITI Report, p.16). </w:t>
      </w:r>
    </w:p>
    <w:p w14:paraId="296DB38E" w14:textId="5BD6B152" w:rsidR="00C21BD4" w:rsidRPr="002815F4" w:rsidRDefault="00C21BD4" w:rsidP="009B3E66">
      <w:pPr>
        <w:pStyle w:val="Heading3"/>
      </w:pPr>
      <w:r w:rsidRPr="002815F4">
        <w:t>Stakeholder views</w:t>
      </w:r>
    </w:p>
    <w:p w14:paraId="7200E139" w14:textId="0ED3FB2B" w:rsidR="00715E63" w:rsidRPr="002815F4" w:rsidRDefault="00A361FC" w:rsidP="00715E63">
      <w:pPr>
        <w:spacing w:before="120"/>
        <w:rPr>
          <w:rFonts w:ascii="Calibri" w:hAnsi="Calibri"/>
          <w:bCs/>
        </w:rPr>
      </w:pPr>
      <w:r w:rsidRPr="002815F4">
        <w:rPr>
          <w:rFonts w:ascii="Calibri" w:hAnsi="Calibri"/>
          <w:bCs/>
        </w:rPr>
        <w:t xml:space="preserve">There was broad consensus amongst stakeholders consulted that timelier EITI reporting would be more useful for both public debate and policy-making. </w:t>
      </w:r>
      <w:r w:rsidR="0054769A" w:rsidRPr="002815F4">
        <w:rPr>
          <w:rFonts w:ascii="Calibri" w:hAnsi="Calibri"/>
          <w:bCs/>
        </w:rPr>
        <w:t xml:space="preserve">Several company representatives noted that EITI </w:t>
      </w:r>
      <w:r w:rsidR="0054769A" w:rsidRPr="002815F4">
        <w:rPr>
          <w:rFonts w:ascii="Calibri" w:hAnsi="Calibri"/>
          <w:bCs/>
        </w:rPr>
        <w:lastRenderedPageBreak/>
        <w:t xml:space="preserve">reporting with less than one-year delay would be easier for companies, given that they could prepare their reporting templates at the same time as their annual accounts. Representatives from the </w:t>
      </w:r>
      <w:r w:rsidR="00F729A3" w:rsidRPr="002815F4">
        <w:rPr>
          <w:rFonts w:ascii="Calibri" w:hAnsi="Calibri"/>
          <w:bCs/>
        </w:rPr>
        <w:t xml:space="preserve">Cour des </w:t>
      </w:r>
      <w:r w:rsidR="002815F4">
        <w:rPr>
          <w:rFonts w:ascii="Calibri" w:hAnsi="Calibri"/>
          <w:bCs/>
        </w:rPr>
        <w:t>C</w:t>
      </w:r>
      <w:r w:rsidR="00F729A3" w:rsidRPr="002815F4">
        <w:rPr>
          <w:rFonts w:ascii="Calibri" w:hAnsi="Calibri"/>
          <w:bCs/>
        </w:rPr>
        <w:t>omptes</w:t>
      </w:r>
      <w:r w:rsidR="0054769A" w:rsidRPr="002815F4">
        <w:rPr>
          <w:rFonts w:ascii="Calibri" w:hAnsi="Calibri"/>
          <w:bCs/>
        </w:rPr>
        <w:t xml:space="preserve"> </w:t>
      </w:r>
      <w:r w:rsidR="00F729A3" w:rsidRPr="002815F4">
        <w:rPr>
          <w:rFonts w:ascii="Calibri" w:hAnsi="Calibri"/>
          <w:bCs/>
        </w:rPr>
        <w:t>(</w:t>
      </w:r>
      <w:r w:rsidR="0054769A" w:rsidRPr="002815F4">
        <w:rPr>
          <w:rFonts w:ascii="Calibri" w:hAnsi="Calibri"/>
          <w:bCs/>
        </w:rPr>
        <w:t>CdC</w:t>
      </w:r>
      <w:r w:rsidR="00F729A3" w:rsidRPr="002815F4">
        <w:rPr>
          <w:rFonts w:ascii="Calibri" w:hAnsi="Calibri"/>
          <w:bCs/>
        </w:rPr>
        <w:t>)</w:t>
      </w:r>
      <w:r w:rsidR="002815F4">
        <w:rPr>
          <w:rFonts w:ascii="Calibri" w:hAnsi="Calibri"/>
          <w:bCs/>
        </w:rPr>
        <w:t xml:space="preserve"> </w:t>
      </w:r>
      <w:r w:rsidR="0054769A" w:rsidRPr="002815F4">
        <w:rPr>
          <w:rFonts w:ascii="Calibri" w:hAnsi="Calibri"/>
          <w:bCs/>
        </w:rPr>
        <w:t xml:space="preserve">noted that the public-sector audit was usually finalised by July, which meant that certification of government EITI reporting could be completed within roughly six months of the end of the fiscal year. Several </w:t>
      </w:r>
      <w:r w:rsidR="00B16CDC" w:rsidRPr="002815F4">
        <w:rPr>
          <w:rFonts w:ascii="Calibri" w:hAnsi="Calibri"/>
          <w:bCs/>
        </w:rPr>
        <w:t xml:space="preserve">parliamentarians, </w:t>
      </w:r>
      <w:r w:rsidR="0054769A" w:rsidRPr="002815F4">
        <w:rPr>
          <w:rFonts w:ascii="Calibri" w:hAnsi="Calibri"/>
          <w:bCs/>
        </w:rPr>
        <w:t xml:space="preserve">independent analysts and journalists called for timelier EITI reporting. </w:t>
      </w:r>
      <w:r w:rsidR="00B16CDC" w:rsidRPr="002815F4">
        <w:rPr>
          <w:rFonts w:ascii="Calibri" w:hAnsi="Calibri"/>
          <w:bCs/>
        </w:rPr>
        <w:t xml:space="preserve">Several representatives from all three constituencies on the MSG noted improvements </w:t>
      </w:r>
      <w:r w:rsidR="0054769A" w:rsidRPr="002815F4">
        <w:rPr>
          <w:rFonts w:ascii="Calibri" w:hAnsi="Calibri"/>
          <w:bCs/>
        </w:rPr>
        <w:t xml:space="preserve">All </w:t>
      </w:r>
      <w:r w:rsidR="00B16CDC" w:rsidRPr="002815F4">
        <w:rPr>
          <w:rFonts w:ascii="Calibri" w:hAnsi="Calibri"/>
          <w:bCs/>
        </w:rPr>
        <w:t xml:space="preserve">MSG members and secretariat staff highlighted that the production of two EITI Reports in 2017, covering 2015 and 2016, was an important step forward by EITI Senegal in ensuring timelier EITI reporting. Secretariat staff also highlighted efforts to develop a EITI Senegal data portal as a means to further shorten the period for publishing EITI data. </w:t>
      </w:r>
      <w:r w:rsidR="003364F6" w:rsidRPr="002815F4">
        <w:rPr>
          <w:rFonts w:ascii="Calibri" w:hAnsi="Calibri"/>
          <w:bCs/>
        </w:rPr>
        <w:t xml:space="preserve">Several parliamentarians noted their interest in using EITI Reports as part of their annual budget deliberations. </w:t>
      </w:r>
    </w:p>
    <w:p w14:paraId="16D484BE" w14:textId="5656F64E" w:rsidR="00C21BD4" w:rsidRPr="002815F4" w:rsidRDefault="00C21BD4" w:rsidP="009B3E66">
      <w:pPr>
        <w:pStyle w:val="Heading3"/>
      </w:pPr>
      <w:bookmarkStart w:id="315" w:name="_Toc459133166"/>
      <w:bookmarkStart w:id="316" w:name="_Toc461803116"/>
      <w:r w:rsidRPr="002815F4">
        <w:t>Initial assessment</w:t>
      </w:r>
      <w:bookmarkEnd w:id="315"/>
      <w:bookmarkEnd w:id="316"/>
    </w:p>
    <w:p w14:paraId="405CD4D0" w14:textId="4B94CFFA" w:rsidR="001030D3" w:rsidRPr="002815F4" w:rsidRDefault="00C21BD4" w:rsidP="00740CDB">
      <w:pPr>
        <w:rPr>
          <w:rFonts w:ascii="Calibri" w:hAnsi="Calibri"/>
        </w:rPr>
      </w:pPr>
      <w:r w:rsidRPr="002815F4">
        <w:rPr>
          <w:rFonts w:ascii="Calibri" w:hAnsi="Calibri"/>
        </w:rPr>
        <w:t xml:space="preserve">The International Secretariat’s initial assessment is that </w:t>
      </w:r>
      <w:r w:rsidR="00294504" w:rsidRPr="002815F4">
        <w:rPr>
          <w:rFonts w:ascii="Calibri" w:hAnsi="Calibri"/>
          <w:bCs/>
        </w:rPr>
        <w:t>Senegal</w:t>
      </w:r>
      <w:r w:rsidR="00294504" w:rsidRPr="002815F4">
        <w:rPr>
          <w:rFonts w:ascii="Calibri" w:hAnsi="Calibri"/>
        </w:rPr>
        <w:t xml:space="preserve"> </w:t>
      </w:r>
      <w:r w:rsidRPr="002815F4">
        <w:rPr>
          <w:rFonts w:ascii="Calibri" w:hAnsi="Calibri"/>
        </w:rPr>
        <w:t xml:space="preserve">has made </w:t>
      </w:r>
      <w:r w:rsidR="00294504" w:rsidRPr="002815F4">
        <w:rPr>
          <w:rFonts w:ascii="Calibri" w:hAnsi="Calibri"/>
          <w:bCs/>
        </w:rPr>
        <w:t>satisfactory</w:t>
      </w:r>
      <w:r w:rsidR="00294504" w:rsidRPr="002815F4">
        <w:rPr>
          <w:rFonts w:ascii="Calibri" w:hAnsi="Calibri"/>
        </w:rPr>
        <w:t xml:space="preserve"> </w:t>
      </w:r>
      <w:r w:rsidRPr="002815F4">
        <w:rPr>
          <w:rFonts w:ascii="Calibri" w:hAnsi="Calibri"/>
        </w:rPr>
        <w:t xml:space="preserve">progress towards meeting this </w:t>
      </w:r>
      <w:commentRangeStart w:id="317"/>
      <w:r w:rsidRPr="002815F4">
        <w:rPr>
          <w:rFonts w:ascii="Calibri" w:hAnsi="Calibri"/>
        </w:rPr>
        <w:t>requirement</w:t>
      </w:r>
      <w:commentRangeEnd w:id="317"/>
      <w:r w:rsidR="000977BB">
        <w:rPr>
          <w:rStyle w:val="CommentReference"/>
          <w:szCs w:val="20"/>
        </w:rPr>
        <w:commentReference w:id="317"/>
      </w:r>
      <w:r w:rsidRPr="002815F4">
        <w:rPr>
          <w:rFonts w:ascii="Calibri" w:hAnsi="Calibri"/>
        </w:rPr>
        <w:t xml:space="preserve">. </w:t>
      </w:r>
      <w:r w:rsidR="00882BFA" w:rsidRPr="002815F4">
        <w:rPr>
          <w:rFonts w:ascii="Calibri" w:hAnsi="Calibri"/>
        </w:rPr>
        <w:t>In accordance with Requirement 4.8, Senegal has published EITI Reports on an annual basis and the data has not been older than the second to the last complete accounting period.</w:t>
      </w:r>
      <w:r w:rsidR="00740CDB" w:rsidRPr="002815F4">
        <w:rPr>
          <w:rFonts w:ascii="Calibri" w:hAnsi="Calibri"/>
        </w:rPr>
        <w:t xml:space="preserve"> There is evidence the MSG approved the reporting period. There is evidence of EITI Senegal making efforts to go beyond the minimum requirement by exploring opportunities to disclose data as soon as practically possible, both through timelier EITI Reports as well as through continuous online disclosures. </w:t>
      </w:r>
    </w:p>
    <w:p w14:paraId="3FB5AD37" w14:textId="305D9253" w:rsidR="00882BFA" w:rsidRPr="002815F4" w:rsidRDefault="00882BFA" w:rsidP="00882BFA">
      <w:pPr>
        <w:rPr>
          <w:rFonts w:ascii="Calibri" w:hAnsi="Calibri"/>
        </w:rPr>
      </w:pPr>
      <w:r w:rsidRPr="002815F4">
        <w:rPr>
          <w:rFonts w:ascii="Calibri" w:hAnsi="Calibri"/>
        </w:rPr>
        <w:t xml:space="preserve">To strengthen implementation, Senegal EITI </w:t>
      </w:r>
      <w:r w:rsidR="006679D6" w:rsidRPr="002815F4">
        <w:rPr>
          <w:rFonts w:ascii="Calibri" w:hAnsi="Calibri"/>
        </w:rPr>
        <w:t xml:space="preserve">is encouraged to </w:t>
      </w:r>
      <w:r w:rsidRPr="002815F4">
        <w:rPr>
          <w:rFonts w:ascii="Calibri" w:hAnsi="Calibri"/>
        </w:rPr>
        <w:t>strengthen its efforts to publish more up-to-date EITI Reports to ensure the data is more relevant and useful to public debate.</w:t>
      </w:r>
    </w:p>
    <w:p w14:paraId="4EB476CA" w14:textId="29477EF3" w:rsidR="00946D61" w:rsidRPr="002815F4" w:rsidRDefault="001030D3" w:rsidP="009B3E66">
      <w:pPr>
        <w:pStyle w:val="Heading2"/>
      </w:pPr>
      <w:bookmarkStart w:id="318" w:name="_Toc459133167"/>
      <w:bookmarkStart w:id="319" w:name="_Toc461803117"/>
      <w:bookmarkStart w:id="320" w:name="_Toc461787349"/>
      <w:bookmarkStart w:id="321" w:name="_Toc461795861"/>
      <w:bookmarkStart w:id="322" w:name="_Toc462149197"/>
      <w:r w:rsidRPr="002815F4">
        <w:t>Data quality (#4.9)</w:t>
      </w:r>
      <w:bookmarkEnd w:id="318"/>
      <w:bookmarkEnd w:id="319"/>
      <w:bookmarkEnd w:id="320"/>
      <w:bookmarkEnd w:id="321"/>
      <w:bookmarkEnd w:id="322"/>
    </w:p>
    <w:p w14:paraId="1D716D8A" w14:textId="45AE6146" w:rsidR="003E58F5" w:rsidRPr="002815F4" w:rsidRDefault="001030D3" w:rsidP="009B3E66">
      <w:pPr>
        <w:pStyle w:val="Heading3"/>
      </w:pPr>
      <w:r w:rsidRPr="002815F4">
        <w:t xml:space="preserve">Documentation of progress </w:t>
      </w:r>
    </w:p>
    <w:p w14:paraId="47CA856C" w14:textId="1036B9FA" w:rsidR="00441F15" w:rsidRPr="002815F4" w:rsidRDefault="00DF708D" w:rsidP="00DF708D">
      <w:pPr>
        <w:spacing w:before="120"/>
        <w:rPr>
          <w:rFonts w:ascii="Calibri" w:hAnsi="Calibri"/>
        </w:rPr>
      </w:pPr>
      <w:r w:rsidRPr="002815F4">
        <w:rPr>
          <w:rFonts w:ascii="Calibri" w:hAnsi="Calibri"/>
          <w:i/>
          <w:u w:val="single"/>
        </w:rPr>
        <w:t>Terms of Reference for the Independent Administrator:</w:t>
      </w:r>
      <w:r w:rsidR="00C5663B" w:rsidRPr="002815F4">
        <w:rPr>
          <w:rFonts w:ascii="Calibri" w:hAnsi="Calibri"/>
        </w:rPr>
        <w:t xml:space="preserve"> </w:t>
      </w:r>
      <w:r w:rsidR="000207DC" w:rsidRPr="002815F4">
        <w:rPr>
          <w:rFonts w:ascii="Calibri" w:hAnsi="Calibri"/>
        </w:rPr>
        <w:t xml:space="preserve">The MSG </w:t>
      </w:r>
      <w:r w:rsidR="00AA5A0F" w:rsidRPr="002815F4">
        <w:rPr>
          <w:rFonts w:ascii="Calibri" w:hAnsi="Calibri"/>
        </w:rPr>
        <w:t xml:space="preserve">did not hold in-person discussions on </w:t>
      </w:r>
      <w:r w:rsidR="000207DC" w:rsidRPr="002815F4">
        <w:rPr>
          <w:rFonts w:ascii="Calibri" w:hAnsi="Calibri"/>
        </w:rPr>
        <w:t xml:space="preserve">the </w:t>
      </w:r>
      <w:r w:rsidR="00AA5A0F" w:rsidRPr="002815F4">
        <w:rPr>
          <w:rFonts w:ascii="Calibri" w:hAnsi="Calibri"/>
        </w:rPr>
        <w:t>draft ToR for the 2014 EITI Report. Rather, the National Secretariat circulated draft ToR to the MSG via email and received input in writing</w:t>
      </w:r>
      <w:r w:rsidR="0046429F" w:rsidRPr="002815F4">
        <w:rPr>
          <w:rFonts w:ascii="Calibri" w:hAnsi="Calibri"/>
        </w:rPr>
        <w:t xml:space="preserve"> in January-February 2016 </w:t>
      </w:r>
      <w:sdt>
        <w:sdtPr>
          <w:rPr>
            <w:rFonts w:ascii="Calibri" w:hAnsi="Calibri"/>
          </w:rPr>
          <w:id w:val="106402939"/>
          <w:citation/>
        </w:sdtPr>
        <w:sdtEndPr/>
        <w:sdtContent>
          <w:r w:rsidR="00803539" w:rsidRPr="002815F4">
            <w:rPr>
              <w:rFonts w:ascii="Calibri" w:hAnsi="Calibri"/>
            </w:rPr>
            <w:fldChar w:fldCharType="begin"/>
          </w:r>
          <w:r w:rsidR="00803539" w:rsidRPr="002815F4">
            <w:rPr>
              <w:rFonts w:ascii="Calibri" w:hAnsi="Calibri"/>
            </w:rPr>
            <w:instrText xml:space="preserve"> CITATION ITI1725 \l 1033 </w:instrText>
          </w:r>
          <w:r w:rsidR="00803539" w:rsidRPr="002815F4">
            <w:rPr>
              <w:rFonts w:ascii="Calibri" w:hAnsi="Calibri"/>
            </w:rPr>
            <w:fldChar w:fldCharType="separate"/>
          </w:r>
          <w:r w:rsidR="00803539" w:rsidRPr="002815F4">
            <w:rPr>
              <w:rFonts w:ascii="Calibri" w:hAnsi="Calibri"/>
              <w:noProof/>
            </w:rPr>
            <w:t>(ITIE Senegal, 2017)</w:t>
          </w:r>
          <w:r w:rsidR="00803539" w:rsidRPr="002815F4">
            <w:rPr>
              <w:rFonts w:ascii="Calibri" w:hAnsi="Calibri"/>
            </w:rPr>
            <w:fldChar w:fldCharType="end"/>
          </w:r>
        </w:sdtContent>
      </w:sdt>
      <w:r w:rsidR="00803539" w:rsidRPr="002815F4">
        <w:rPr>
          <w:rFonts w:ascii="Calibri" w:hAnsi="Calibri"/>
        </w:rPr>
        <w:t xml:space="preserve">. </w:t>
      </w:r>
      <w:r w:rsidR="000207DC" w:rsidRPr="002815F4">
        <w:rPr>
          <w:rFonts w:ascii="Calibri" w:hAnsi="Calibri"/>
        </w:rPr>
        <w:t xml:space="preserve">The MSG approved the ToR </w:t>
      </w:r>
      <w:r w:rsidR="00F23367" w:rsidRPr="002815F4">
        <w:rPr>
          <w:rFonts w:ascii="Calibri" w:hAnsi="Calibri"/>
        </w:rPr>
        <w:t xml:space="preserve">in February 2016 </w:t>
      </w:r>
      <w:r w:rsidR="00DA1D63" w:rsidRPr="002815F4">
        <w:rPr>
          <w:rFonts w:ascii="Calibri" w:hAnsi="Calibri"/>
        </w:rPr>
        <w:t>via email</w:t>
      </w:r>
      <w:r w:rsidR="000207DC" w:rsidRPr="002815F4">
        <w:rPr>
          <w:rFonts w:ascii="Calibri" w:hAnsi="Calibri"/>
        </w:rPr>
        <w:t>. The ToR for the 2014 EITI Report is generally consistent</w:t>
      </w:r>
      <w:r w:rsidR="00AA0A32">
        <w:rPr>
          <w:rStyle w:val="FootnoteReference"/>
          <w:rFonts w:ascii="Calibri" w:hAnsi="Calibri"/>
        </w:rPr>
        <w:footnoteReference w:id="74"/>
      </w:r>
      <w:r w:rsidR="000207DC" w:rsidRPr="002815F4">
        <w:rPr>
          <w:rFonts w:ascii="Calibri" w:hAnsi="Calibri"/>
        </w:rPr>
        <w:t xml:space="preserve"> with the Standard ToR agreed by the EITI Board (as of March 2016)</w:t>
      </w:r>
      <w:r w:rsidR="00AA0A32">
        <w:rPr>
          <w:rFonts w:ascii="Calibri" w:hAnsi="Calibri"/>
        </w:rPr>
        <w:t xml:space="preserve"> and </w:t>
      </w:r>
      <w:r w:rsidR="000207DC" w:rsidRPr="002815F4">
        <w:rPr>
          <w:rFonts w:ascii="Calibri" w:hAnsi="Calibri"/>
        </w:rPr>
        <w:t xml:space="preserve">confirms the need for the MSG and IA to agree materiality thresholds for selecting companies and revenue streams during the </w:t>
      </w:r>
      <w:r w:rsidR="00860C8F" w:rsidRPr="002815F4">
        <w:rPr>
          <w:rFonts w:ascii="Calibri" w:hAnsi="Calibri"/>
        </w:rPr>
        <w:t xml:space="preserve">inception phase </w:t>
      </w:r>
      <w:sdt>
        <w:sdtPr>
          <w:rPr>
            <w:rFonts w:ascii="Calibri" w:hAnsi="Calibri"/>
          </w:rPr>
          <w:id w:val="1356308868"/>
          <w:citation/>
        </w:sdtPr>
        <w:sdtEndPr/>
        <w:sdtContent>
          <w:r w:rsidR="00860C8F" w:rsidRPr="002815F4">
            <w:rPr>
              <w:rFonts w:ascii="Calibri" w:hAnsi="Calibri"/>
            </w:rPr>
            <w:fldChar w:fldCharType="begin"/>
          </w:r>
          <w:r w:rsidR="00860C8F" w:rsidRPr="002815F4">
            <w:rPr>
              <w:rFonts w:ascii="Calibri" w:hAnsi="Calibri"/>
            </w:rPr>
            <w:instrText xml:space="preserve"> CITATION ITI1650 \l 1033 </w:instrText>
          </w:r>
          <w:r w:rsidR="00860C8F" w:rsidRPr="002815F4">
            <w:rPr>
              <w:rFonts w:ascii="Calibri" w:hAnsi="Calibri"/>
            </w:rPr>
            <w:fldChar w:fldCharType="separate"/>
          </w:r>
          <w:r w:rsidR="003E626E" w:rsidRPr="002815F4">
            <w:rPr>
              <w:rFonts w:ascii="Calibri" w:hAnsi="Calibri"/>
              <w:noProof/>
            </w:rPr>
            <w:t>(ITIE Senegal, 2016)</w:t>
          </w:r>
          <w:r w:rsidR="00860C8F" w:rsidRPr="002815F4">
            <w:rPr>
              <w:rFonts w:ascii="Calibri" w:hAnsi="Calibri"/>
            </w:rPr>
            <w:fldChar w:fldCharType="end"/>
          </w:r>
        </w:sdtContent>
      </w:sdt>
      <w:r w:rsidR="00860C8F" w:rsidRPr="002815F4">
        <w:rPr>
          <w:rFonts w:ascii="Calibri" w:hAnsi="Calibri"/>
        </w:rPr>
        <w:t xml:space="preserve">. </w:t>
      </w:r>
      <w:r w:rsidR="00F805B9" w:rsidRPr="002815F4">
        <w:rPr>
          <w:rFonts w:ascii="Calibri" w:hAnsi="Calibri"/>
        </w:rPr>
        <w:t xml:space="preserve">The MSG </w:t>
      </w:r>
      <w:r w:rsidR="00860C8F" w:rsidRPr="002815F4">
        <w:rPr>
          <w:rFonts w:ascii="Calibri" w:hAnsi="Calibri"/>
        </w:rPr>
        <w:t xml:space="preserve">first </w:t>
      </w:r>
      <w:r w:rsidR="00F805B9" w:rsidRPr="002815F4">
        <w:rPr>
          <w:rFonts w:ascii="Calibri" w:hAnsi="Calibri"/>
        </w:rPr>
        <w:t>agreed ToR</w:t>
      </w:r>
      <w:r w:rsidR="00860C8F" w:rsidRPr="002815F4">
        <w:rPr>
          <w:rFonts w:ascii="Calibri" w:hAnsi="Calibri"/>
        </w:rPr>
        <w:t xml:space="preserve"> for its IA</w:t>
      </w:r>
      <w:r w:rsidR="00F805B9" w:rsidRPr="002815F4">
        <w:rPr>
          <w:rFonts w:ascii="Calibri" w:hAnsi="Calibri"/>
        </w:rPr>
        <w:t>, for the 2012-2013 EITI Report, at its 4 September 2014 meeting</w:t>
      </w:r>
      <w:r w:rsidR="00860C8F" w:rsidRPr="002815F4">
        <w:rPr>
          <w:rFonts w:ascii="Calibri" w:hAnsi="Calibri"/>
        </w:rPr>
        <w:t xml:space="preserve"> </w:t>
      </w:r>
      <w:sdt>
        <w:sdtPr>
          <w:rPr>
            <w:rFonts w:ascii="Calibri" w:hAnsi="Calibri"/>
          </w:rPr>
          <w:id w:val="1285928611"/>
          <w:citation/>
        </w:sdtPr>
        <w:sdtEndPr/>
        <w:sdtContent>
          <w:r w:rsidR="00860C8F" w:rsidRPr="002815F4">
            <w:rPr>
              <w:rFonts w:ascii="Calibri" w:hAnsi="Calibri"/>
            </w:rPr>
            <w:fldChar w:fldCharType="begin"/>
          </w:r>
          <w:r w:rsidR="00DE741D" w:rsidRPr="002815F4">
            <w:rPr>
              <w:rFonts w:ascii="Calibri" w:hAnsi="Calibri"/>
            </w:rPr>
            <w:instrText xml:space="preserve">CITATION ITI1425 \l 1033 </w:instrText>
          </w:r>
          <w:r w:rsidR="00860C8F" w:rsidRPr="002815F4">
            <w:rPr>
              <w:rFonts w:ascii="Calibri" w:hAnsi="Calibri"/>
            </w:rPr>
            <w:fldChar w:fldCharType="separate"/>
          </w:r>
          <w:r w:rsidR="003E626E" w:rsidRPr="002815F4">
            <w:rPr>
              <w:rFonts w:ascii="Calibri" w:hAnsi="Calibri"/>
              <w:noProof/>
            </w:rPr>
            <w:t>(ITIE Senegal, 2014)</w:t>
          </w:r>
          <w:r w:rsidR="00860C8F" w:rsidRPr="002815F4">
            <w:rPr>
              <w:rFonts w:ascii="Calibri" w:hAnsi="Calibri"/>
            </w:rPr>
            <w:fldChar w:fldCharType="end"/>
          </w:r>
        </w:sdtContent>
      </w:sdt>
      <w:r w:rsidR="000207DC" w:rsidRPr="002815F4">
        <w:rPr>
          <w:rFonts w:ascii="Calibri" w:hAnsi="Calibri"/>
        </w:rPr>
        <w:t xml:space="preserve">. </w:t>
      </w:r>
      <w:r w:rsidR="00860C8F" w:rsidRPr="002815F4">
        <w:rPr>
          <w:rFonts w:ascii="Calibri" w:hAnsi="Calibri"/>
        </w:rPr>
        <w:t xml:space="preserve">More recently, the MSG approved the ToR for its 2015-2016 EITI Reports on 14 March 2017 </w:t>
      </w:r>
      <w:sdt>
        <w:sdtPr>
          <w:rPr>
            <w:rFonts w:ascii="Calibri" w:hAnsi="Calibri"/>
          </w:rPr>
          <w:id w:val="-479932719"/>
          <w:citation/>
        </w:sdtPr>
        <w:sdtEndPr/>
        <w:sdtContent>
          <w:r w:rsidR="00860C8F" w:rsidRPr="002815F4">
            <w:rPr>
              <w:rFonts w:ascii="Calibri" w:hAnsi="Calibri"/>
            </w:rPr>
            <w:fldChar w:fldCharType="begin"/>
          </w:r>
          <w:r w:rsidR="00DE741D" w:rsidRPr="002815F4">
            <w:rPr>
              <w:rFonts w:ascii="Calibri" w:hAnsi="Calibri"/>
            </w:rPr>
            <w:instrText xml:space="preserve">CITATION ITI1724 \l 1033 </w:instrText>
          </w:r>
          <w:r w:rsidR="00860C8F" w:rsidRPr="002815F4">
            <w:rPr>
              <w:rFonts w:ascii="Calibri" w:hAnsi="Calibri"/>
            </w:rPr>
            <w:fldChar w:fldCharType="separate"/>
          </w:r>
          <w:r w:rsidR="003E626E" w:rsidRPr="002815F4">
            <w:rPr>
              <w:rFonts w:ascii="Calibri" w:hAnsi="Calibri"/>
              <w:noProof/>
            </w:rPr>
            <w:t>(ITIE Senegal, 2017)</w:t>
          </w:r>
          <w:r w:rsidR="00860C8F" w:rsidRPr="002815F4">
            <w:rPr>
              <w:rFonts w:ascii="Calibri" w:hAnsi="Calibri"/>
            </w:rPr>
            <w:fldChar w:fldCharType="end"/>
          </w:r>
        </w:sdtContent>
      </w:sdt>
      <w:r w:rsidR="00860C8F" w:rsidRPr="002815F4">
        <w:rPr>
          <w:rFonts w:ascii="Calibri" w:hAnsi="Calibri"/>
        </w:rPr>
        <w:t xml:space="preserve">. </w:t>
      </w:r>
    </w:p>
    <w:p w14:paraId="4A3B1A2D" w14:textId="53F80DCD" w:rsidR="00D326A2" w:rsidRPr="002815F4" w:rsidRDefault="001030D3" w:rsidP="001030D3">
      <w:pPr>
        <w:rPr>
          <w:rFonts w:ascii="Calibri" w:hAnsi="Calibri"/>
        </w:rPr>
      </w:pPr>
      <w:r w:rsidRPr="002815F4">
        <w:rPr>
          <w:rFonts w:ascii="Calibri" w:hAnsi="Calibri"/>
          <w:i/>
          <w:u w:val="single"/>
        </w:rPr>
        <w:t>Appointment of the Independent Administrator (IA):</w:t>
      </w:r>
      <w:r w:rsidRPr="002815F4">
        <w:rPr>
          <w:rFonts w:ascii="Calibri" w:hAnsi="Calibri"/>
          <w:i/>
        </w:rPr>
        <w:t xml:space="preserve"> </w:t>
      </w:r>
      <w:r w:rsidR="000207DC" w:rsidRPr="002815F4">
        <w:rPr>
          <w:rFonts w:ascii="Calibri" w:hAnsi="Calibri"/>
          <w:bCs/>
        </w:rPr>
        <w:t xml:space="preserve">Subsequent to MSG approval of the </w:t>
      </w:r>
      <w:r w:rsidR="00C12327" w:rsidRPr="002815F4">
        <w:rPr>
          <w:rFonts w:ascii="Calibri" w:hAnsi="Calibri"/>
          <w:bCs/>
        </w:rPr>
        <w:t xml:space="preserve">IA’s </w:t>
      </w:r>
      <w:r w:rsidR="000207DC" w:rsidRPr="002815F4">
        <w:rPr>
          <w:rFonts w:ascii="Calibri" w:hAnsi="Calibri"/>
          <w:bCs/>
        </w:rPr>
        <w:t xml:space="preserve">ToR, Senegal EITI launched the bidding process </w:t>
      </w:r>
      <w:r w:rsidR="009D1A19" w:rsidRPr="002815F4">
        <w:rPr>
          <w:rFonts w:ascii="Calibri" w:hAnsi="Calibri"/>
          <w:bCs/>
        </w:rPr>
        <w:t xml:space="preserve">for the 2014 EITI Report IA contract on 1 February 2016 </w:t>
      </w:r>
      <w:sdt>
        <w:sdtPr>
          <w:rPr>
            <w:rFonts w:ascii="Calibri" w:hAnsi="Calibri"/>
            <w:bCs/>
          </w:rPr>
          <w:id w:val="484819164"/>
          <w:citation/>
        </w:sdtPr>
        <w:sdtEndPr/>
        <w:sdtContent>
          <w:r w:rsidR="009D1A19" w:rsidRPr="002815F4">
            <w:rPr>
              <w:rFonts w:ascii="Calibri" w:hAnsi="Calibri"/>
              <w:bCs/>
            </w:rPr>
            <w:fldChar w:fldCharType="begin"/>
          </w:r>
          <w:r w:rsidR="009D1A19" w:rsidRPr="002815F4">
            <w:rPr>
              <w:rFonts w:ascii="Calibri" w:hAnsi="Calibri"/>
              <w:bCs/>
            </w:rPr>
            <w:instrText xml:space="preserve"> CITATION ITI1643 \l 1033 </w:instrText>
          </w:r>
          <w:r w:rsidR="009D1A19" w:rsidRPr="002815F4">
            <w:rPr>
              <w:rFonts w:ascii="Calibri" w:hAnsi="Calibri"/>
              <w:bCs/>
            </w:rPr>
            <w:fldChar w:fldCharType="separate"/>
          </w:r>
          <w:r w:rsidR="009D1A19" w:rsidRPr="002815F4">
            <w:rPr>
              <w:rFonts w:ascii="Calibri" w:hAnsi="Calibri"/>
              <w:noProof/>
            </w:rPr>
            <w:t xml:space="preserve">(ITIE Senegal, </w:t>
          </w:r>
          <w:r w:rsidR="009D1A19" w:rsidRPr="002815F4">
            <w:rPr>
              <w:rFonts w:ascii="Calibri" w:hAnsi="Calibri"/>
              <w:noProof/>
            </w:rPr>
            <w:lastRenderedPageBreak/>
            <w:t>2016)</w:t>
          </w:r>
          <w:r w:rsidR="009D1A19" w:rsidRPr="002815F4">
            <w:rPr>
              <w:rFonts w:ascii="Calibri" w:hAnsi="Calibri"/>
              <w:bCs/>
            </w:rPr>
            <w:fldChar w:fldCharType="end"/>
          </w:r>
        </w:sdtContent>
      </w:sdt>
      <w:r w:rsidR="000207DC" w:rsidRPr="002815F4">
        <w:rPr>
          <w:rFonts w:ascii="Calibri" w:hAnsi="Calibri"/>
          <w:bCs/>
        </w:rPr>
        <w:t xml:space="preserve">. </w:t>
      </w:r>
      <w:r w:rsidR="00FC1577" w:rsidRPr="002815F4">
        <w:rPr>
          <w:rFonts w:ascii="Calibri" w:hAnsi="Calibri"/>
        </w:rPr>
        <w:t xml:space="preserve">The deadline for the MSG’s Request for Expressions of Interest for the 2014 EITI Report IA was originally set on 8 February 2016 </w:t>
      </w:r>
      <w:sdt>
        <w:sdtPr>
          <w:rPr>
            <w:rFonts w:ascii="Calibri" w:hAnsi="Calibri"/>
          </w:rPr>
          <w:id w:val="-185129960"/>
          <w:citation/>
        </w:sdtPr>
        <w:sdtEndPr/>
        <w:sdtContent>
          <w:r w:rsidR="00FC1577" w:rsidRPr="002815F4">
            <w:rPr>
              <w:rFonts w:ascii="Calibri" w:hAnsi="Calibri"/>
            </w:rPr>
            <w:fldChar w:fldCharType="begin"/>
          </w:r>
          <w:r w:rsidR="00FC1577" w:rsidRPr="002815F4">
            <w:rPr>
              <w:rFonts w:ascii="Calibri" w:hAnsi="Calibri"/>
            </w:rPr>
            <w:instrText xml:space="preserve"> CITATION ITI1646 \l 1033 </w:instrText>
          </w:r>
          <w:r w:rsidR="00FC1577" w:rsidRPr="002815F4">
            <w:rPr>
              <w:rFonts w:ascii="Calibri" w:hAnsi="Calibri"/>
            </w:rPr>
            <w:fldChar w:fldCharType="separate"/>
          </w:r>
          <w:r w:rsidR="00FC1577" w:rsidRPr="002815F4">
            <w:rPr>
              <w:rFonts w:ascii="Calibri" w:hAnsi="Calibri"/>
              <w:noProof/>
            </w:rPr>
            <w:t>(ITIE Senegal, 2016)</w:t>
          </w:r>
          <w:r w:rsidR="00FC1577" w:rsidRPr="002815F4">
            <w:rPr>
              <w:rFonts w:ascii="Calibri" w:hAnsi="Calibri"/>
            </w:rPr>
            <w:fldChar w:fldCharType="end"/>
          </w:r>
        </w:sdtContent>
      </w:sdt>
      <w:r w:rsidR="00FC1577" w:rsidRPr="002815F4">
        <w:rPr>
          <w:rFonts w:ascii="Calibri" w:hAnsi="Calibri"/>
        </w:rPr>
        <w:t xml:space="preserve"> and subsequently extended to 25 March 2016</w:t>
      </w:r>
      <w:sdt>
        <w:sdtPr>
          <w:rPr>
            <w:rFonts w:ascii="Calibri" w:hAnsi="Calibri"/>
          </w:rPr>
          <w:id w:val="-388044748"/>
          <w:citation/>
        </w:sdtPr>
        <w:sdtEndPr/>
        <w:sdtContent>
          <w:r w:rsidR="00FC1577" w:rsidRPr="002815F4">
            <w:rPr>
              <w:rFonts w:ascii="Calibri" w:hAnsi="Calibri"/>
            </w:rPr>
            <w:fldChar w:fldCharType="begin"/>
          </w:r>
          <w:r w:rsidR="00FC1577" w:rsidRPr="002815F4">
            <w:rPr>
              <w:rFonts w:ascii="Calibri" w:hAnsi="Calibri"/>
            </w:rPr>
            <w:instrText xml:space="preserve"> CITATION ITI1644 \l 1033 </w:instrText>
          </w:r>
          <w:r w:rsidR="00FC1577" w:rsidRPr="002815F4">
            <w:rPr>
              <w:rFonts w:ascii="Calibri" w:hAnsi="Calibri"/>
            </w:rPr>
            <w:fldChar w:fldCharType="separate"/>
          </w:r>
          <w:r w:rsidR="00FC1577" w:rsidRPr="002815F4">
            <w:rPr>
              <w:rFonts w:ascii="Calibri" w:hAnsi="Calibri"/>
              <w:noProof/>
            </w:rPr>
            <w:t xml:space="preserve"> (ITIE Senegal, 2016)</w:t>
          </w:r>
          <w:r w:rsidR="00FC1577" w:rsidRPr="002815F4">
            <w:rPr>
              <w:rFonts w:ascii="Calibri" w:hAnsi="Calibri"/>
            </w:rPr>
            <w:fldChar w:fldCharType="end"/>
          </w:r>
        </w:sdtContent>
      </w:sdt>
      <w:r w:rsidR="009D1A19" w:rsidRPr="002815F4">
        <w:rPr>
          <w:rFonts w:ascii="Calibri" w:hAnsi="Calibri"/>
          <w:bCs/>
        </w:rPr>
        <w:t xml:space="preserve"> because</w:t>
      </w:r>
      <w:r w:rsidR="00A83229" w:rsidRPr="002815F4">
        <w:rPr>
          <w:rFonts w:ascii="Calibri" w:hAnsi="Calibri"/>
          <w:bCs/>
        </w:rPr>
        <w:t xml:space="preserve"> of insufficiently qualified bidders</w:t>
      </w:r>
      <w:r w:rsidR="009D1A19" w:rsidRPr="002815F4">
        <w:rPr>
          <w:rFonts w:ascii="Calibri" w:hAnsi="Calibri"/>
          <w:bCs/>
        </w:rPr>
        <w:t>. Whereas the procurement of the 2012-2013 EITI Reports IA was undertaken on Quality- and Cost-Based Selection, procurement of the IA for the 2014 EITI Report was on the basis of Consultants' Qualifications</w:t>
      </w:r>
      <w:r w:rsidR="00AA0A32">
        <w:rPr>
          <w:rFonts w:ascii="Calibri" w:hAnsi="Calibri"/>
          <w:bCs/>
        </w:rPr>
        <w:t>, both of which</w:t>
      </w:r>
      <w:r w:rsidR="009D1A19" w:rsidRPr="002815F4">
        <w:rPr>
          <w:rFonts w:ascii="Calibri" w:hAnsi="Calibri"/>
          <w:bCs/>
        </w:rPr>
        <w:t xml:space="preserve"> were based on procurement procedures</w:t>
      </w:r>
      <w:r w:rsidR="00AA0A32">
        <w:rPr>
          <w:rFonts w:ascii="Calibri" w:hAnsi="Calibri"/>
          <w:bCs/>
        </w:rPr>
        <w:t xml:space="preserve"> of the World Bank as the source of funding</w:t>
      </w:r>
      <w:r w:rsidR="009D1A19" w:rsidRPr="002815F4">
        <w:rPr>
          <w:rFonts w:ascii="Calibri" w:hAnsi="Calibri"/>
          <w:bCs/>
        </w:rPr>
        <w:t xml:space="preserve">. </w:t>
      </w:r>
      <w:r w:rsidR="00BD6F27" w:rsidRPr="002815F4">
        <w:rPr>
          <w:rFonts w:ascii="Calibri" w:hAnsi="Calibri"/>
          <w:bCs/>
        </w:rPr>
        <w:t xml:space="preserve">The winning bidder for the 2014 EITI Report IA contract, Moore Stephens, was selected on 30 March 2016 and the contract was signed on 13 May 2016. The timeframe for signing the contract for the 2012-2013 EITI Reports was similar, with the winning bidder, Fair Links, selected on 3 November 2014 and the contract signed on 22 December 2014. </w:t>
      </w:r>
      <w:r w:rsidR="006A60CA" w:rsidRPr="002815F4">
        <w:rPr>
          <w:rFonts w:ascii="Calibri" w:hAnsi="Calibri"/>
        </w:rPr>
        <w:t xml:space="preserve">Senegal EITI published a tender for the 2015-2016 EITI Reports with a 13 April 2017 </w:t>
      </w:r>
      <w:r w:rsidR="00AA0A32" w:rsidRPr="002815F4">
        <w:rPr>
          <w:rFonts w:ascii="Calibri" w:hAnsi="Calibri"/>
        </w:rPr>
        <w:t xml:space="preserve">deadline </w:t>
      </w:r>
      <w:sdt>
        <w:sdtPr>
          <w:rPr>
            <w:rFonts w:ascii="Calibri" w:hAnsi="Calibri"/>
          </w:rPr>
          <w:id w:val="1003709509"/>
          <w:citation/>
        </w:sdtPr>
        <w:sdtEndPr/>
        <w:sdtContent>
          <w:r w:rsidR="006A60CA" w:rsidRPr="002815F4">
            <w:rPr>
              <w:rFonts w:ascii="Calibri" w:hAnsi="Calibri"/>
            </w:rPr>
            <w:fldChar w:fldCharType="begin"/>
          </w:r>
          <w:r w:rsidR="006A60CA" w:rsidRPr="002815F4">
            <w:rPr>
              <w:rFonts w:ascii="Calibri" w:hAnsi="Calibri"/>
            </w:rPr>
            <w:instrText xml:space="preserve"> CITATION ITI177 \l 1033 </w:instrText>
          </w:r>
          <w:r w:rsidR="006A60CA" w:rsidRPr="002815F4">
            <w:rPr>
              <w:rFonts w:ascii="Calibri" w:hAnsi="Calibri"/>
            </w:rPr>
            <w:fldChar w:fldCharType="separate"/>
          </w:r>
          <w:r w:rsidR="003E626E" w:rsidRPr="002815F4">
            <w:rPr>
              <w:rFonts w:ascii="Calibri" w:hAnsi="Calibri"/>
              <w:noProof/>
            </w:rPr>
            <w:t>(ITIE Senegal, 2017)</w:t>
          </w:r>
          <w:r w:rsidR="006A60CA" w:rsidRPr="002815F4">
            <w:rPr>
              <w:rFonts w:ascii="Calibri" w:hAnsi="Calibri"/>
            </w:rPr>
            <w:fldChar w:fldCharType="end"/>
          </w:r>
        </w:sdtContent>
      </w:sdt>
      <w:r w:rsidR="006A60CA" w:rsidRPr="002815F4">
        <w:rPr>
          <w:rFonts w:ascii="Calibri" w:hAnsi="Calibri"/>
        </w:rPr>
        <w:t xml:space="preserve">. </w:t>
      </w:r>
    </w:p>
    <w:p w14:paraId="2F228655" w14:textId="692F8658" w:rsidR="000619D7" w:rsidRPr="002815F4" w:rsidRDefault="001030D3" w:rsidP="001030D3">
      <w:pPr>
        <w:rPr>
          <w:rFonts w:ascii="Calibri" w:hAnsi="Calibri"/>
        </w:rPr>
      </w:pPr>
      <w:r w:rsidRPr="002815F4">
        <w:rPr>
          <w:rFonts w:ascii="Calibri" w:hAnsi="Calibri"/>
          <w:i/>
          <w:u w:val="single"/>
        </w:rPr>
        <w:t>Agreement on the reporting templates:</w:t>
      </w:r>
      <w:r w:rsidRPr="002815F4">
        <w:rPr>
          <w:rFonts w:ascii="Calibri" w:hAnsi="Calibri"/>
          <w:i/>
        </w:rPr>
        <w:t xml:space="preserve"> </w:t>
      </w:r>
      <w:r w:rsidR="00DC1F01" w:rsidRPr="002815F4">
        <w:rPr>
          <w:rFonts w:ascii="Calibri" w:hAnsi="Calibri"/>
        </w:rPr>
        <w:t xml:space="preserve">The MSG first discussed reporting templates prepared by </w:t>
      </w:r>
      <w:r w:rsidR="00AA0A32">
        <w:rPr>
          <w:rFonts w:ascii="Calibri" w:hAnsi="Calibri"/>
        </w:rPr>
        <w:t xml:space="preserve">the </w:t>
      </w:r>
      <w:r w:rsidR="00DC1F01" w:rsidRPr="002815F4">
        <w:rPr>
          <w:rFonts w:ascii="Calibri" w:hAnsi="Calibri"/>
        </w:rPr>
        <w:t xml:space="preserve">IA on </w:t>
      </w:r>
      <w:r w:rsidR="006A60CA" w:rsidRPr="002815F4">
        <w:rPr>
          <w:rFonts w:ascii="Calibri" w:hAnsi="Calibri"/>
        </w:rPr>
        <w:t xml:space="preserve">24 October 2014 </w:t>
      </w:r>
      <w:sdt>
        <w:sdtPr>
          <w:rPr>
            <w:rFonts w:ascii="Calibri" w:hAnsi="Calibri"/>
          </w:rPr>
          <w:id w:val="1118574092"/>
          <w:citation/>
        </w:sdtPr>
        <w:sdtEndPr/>
        <w:sdtContent>
          <w:r w:rsidR="006A60CA" w:rsidRPr="002815F4">
            <w:rPr>
              <w:rFonts w:ascii="Calibri" w:hAnsi="Calibri"/>
            </w:rPr>
            <w:fldChar w:fldCharType="begin"/>
          </w:r>
          <w:r w:rsidR="006A60CA" w:rsidRPr="002815F4">
            <w:rPr>
              <w:rFonts w:ascii="Calibri" w:hAnsi="Calibri"/>
            </w:rPr>
            <w:instrText xml:space="preserve"> CITATION ITI1415 \l 1033 </w:instrText>
          </w:r>
          <w:r w:rsidR="006A60CA" w:rsidRPr="002815F4">
            <w:rPr>
              <w:rFonts w:ascii="Calibri" w:hAnsi="Calibri"/>
            </w:rPr>
            <w:fldChar w:fldCharType="separate"/>
          </w:r>
          <w:r w:rsidR="003E626E" w:rsidRPr="002815F4">
            <w:rPr>
              <w:rFonts w:ascii="Calibri" w:hAnsi="Calibri"/>
              <w:noProof/>
            </w:rPr>
            <w:t>(ITIE Senegal, 2014)</w:t>
          </w:r>
          <w:r w:rsidR="006A60CA" w:rsidRPr="002815F4">
            <w:rPr>
              <w:rFonts w:ascii="Calibri" w:hAnsi="Calibri"/>
            </w:rPr>
            <w:fldChar w:fldCharType="end"/>
          </w:r>
        </w:sdtContent>
      </w:sdt>
      <w:r w:rsidR="006A60CA" w:rsidRPr="002815F4">
        <w:rPr>
          <w:rFonts w:ascii="Calibri" w:hAnsi="Calibri"/>
        </w:rPr>
        <w:t xml:space="preserve"> and agreed</w:t>
      </w:r>
      <w:r w:rsidR="00EF5CEF" w:rsidRPr="002815F4">
        <w:rPr>
          <w:rFonts w:ascii="Calibri" w:hAnsi="Calibri"/>
        </w:rPr>
        <w:t xml:space="preserve"> them</w:t>
      </w:r>
      <w:r w:rsidR="006A60CA" w:rsidRPr="002815F4">
        <w:rPr>
          <w:rFonts w:ascii="Calibri" w:hAnsi="Calibri"/>
        </w:rPr>
        <w:t xml:space="preserve"> on </w:t>
      </w:r>
      <w:r w:rsidR="00DC1F01" w:rsidRPr="002815F4">
        <w:rPr>
          <w:rFonts w:ascii="Calibri" w:hAnsi="Calibri"/>
        </w:rPr>
        <w:t xml:space="preserve">23 June 2015 </w:t>
      </w:r>
      <w:sdt>
        <w:sdtPr>
          <w:rPr>
            <w:rFonts w:ascii="Calibri" w:hAnsi="Calibri"/>
          </w:rPr>
          <w:id w:val="-759982819"/>
          <w:citation/>
        </w:sdtPr>
        <w:sdtEndPr/>
        <w:sdtContent>
          <w:r w:rsidR="00DE741D" w:rsidRPr="002815F4">
            <w:rPr>
              <w:rFonts w:ascii="Calibri" w:hAnsi="Calibri"/>
            </w:rPr>
            <w:fldChar w:fldCharType="begin"/>
          </w:r>
          <w:r w:rsidR="00DE741D" w:rsidRPr="002815F4">
            <w:rPr>
              <w:rFonts w:ascii="Calibri" w:hAnsi="Calibri"/>
            </w:rPr>
            <w:instrText xml:space="preserve"> CITATION ITI1545 \l 1033 </w:instrText>
          </w:r>
          <w:r w:rsidR="00DE741D" w:rsidRPr="002815F4">
            <w:rPr>
              <w:rFonts w:ascii="Calibri" w:hAnsi="Calibri"/>
            </w:rPr>
            <w:fldChar w:fldCharType="separate"/>
          </w:r>
          <w:r w:rsidR="003E626E" w:rsidRPr="002815F4">
            <w:rPr>
              <w:rFonts w:ascii="Calibri" w:hAnsi="Calibri"/>
              <w:noProof/>
            </w:rPr>
            <w:t>(ITIE Senegal, 2015)</w:t>
          </w:r>
          <w:r w:rsidR="00DE741D" w:rsidRPr="002815F4">
            <w:rPr>
              <w:rFonts w:ascii="Calibri" w:hAnsi="Calibri"/>
            </w:rPr>
            <w:fldChar w:fldCharType="end"/>
          </w:r>
        </w:sdtContent>
      </w:sdt>
      <w:r w:rsidR="00EF5CEF" w:rsidRPr="002815F4">
        <w:rPr>
          <w:rFonts w:ascii="Calibri" w:hAnsi="Calibri"/>
        </w:rPr>
        <w:t>.</w:t>
      </w:r>
      <w:r w:rsidR="00DE741D" w:rsidRPr="002815F4">
        <w:rPr>
          <w:rFonts w:ascii="Calibri" w:hAnsi="Calibri"/>
        </w:rPr>
        <w:t xml:space="preserve"> </w:t>
      </w:r>
      <w:r w:rsidR="00EF5CEF" w:rsidRPr="002815F4">
        <w:rPr>
          <w:rFonts w:ascii="Calibri" w:hAnsi="Calibri"/>
        </w:rPr>
        <w:t xml:space="preserve">The </w:t>
      </w:r>
      <w:r w:rsidR="00DE741D" w:rsidRPr="002815F4">
        <w:rPr>
          <w:rFonts w:ascii="Calibri" w:hAnsi="Calibri"/>
        </w:rPr>
        <w:t xml:space="preserve">reporting templates for the 2014 EITI Report </w:t>
      </w:r>
      <w:r w:rsidR="00AA0A32">
        <w:rPr>
          <w:rFonts w:ascii="Calibri" w:hAnsi="Calibri"/>
        </w:rPr>
        <w:t xml:space="preserve">were approved </w:t>
      </w:r>
      <w:r w:rsidR="00EF5CEF" w:rsidRPr="002815F4">
        <w:rPr>
          <w:rFonts w:ascii="Calibri" w:hAnsi="Calibri"/>
        </w:rPr>
        <w:t xml:space="preserve">at </w:t>
      </w:r>
      <w:r w:rsidR="00AA0A32">
        <w:rPr>
          <w:rFonts w:ascii="Calibri" w:hAnsi="Calibri"/>
        </w:rPr>
        <w:t xml:space="preserve">the </w:t>
      </w:r>
      <w:r w:rsidR="00EF5CEF" w:rsidRPr="002815F4">
        <w:rPr>
          <w:rFonts w:ascii="Calibri" w:hAnsi="Calibri"/>
        </w:rPr>
        <w:t xml:space="preserve">24 May 2016 meeting </w:t>
      </w:r>
      <w:sdt>
        <w:sdtPr>
          <w:rPr>
            <w:rFonts w:ascii="Calibri" w:hAnsi="Calibri"/>
          </w:rPr>
          <w:id w:val="328251763"/>
          <w:citation/>
        </w:sdtPr>
        <w:sdtEndPr/>
        <w:sdtContent>
          <w:r w:rsidR="00DE741D" w:rsidRPr="002815F4">
            <w:rPr>
              <w:rFonts w:ascii="Calibri" w:hAnsi="Calibri"/>
            </w:rPr>
            <w:fldChar w:fldCharType="begin"/>
          </w:r>
          <w:r w:rsidR="00DE741D" w:rsidRPr="002815F4">
            <w:rPr>
              <w:rFonts w:ascii="Calibri" w:hAnsi="Calibri"/>
            </w:rPr>
            <w:instrText xml:space="preserve"> CITATION ITI1651 \l 1033 </w:instrText>
          </w:r>
          <w:r w:rsidR="00DE741D" w:rsidRPr="002815F4">
            <w:rPr>
              <w:rFonts w:ascii="Calibri" w:hAnsi="Calibri"/>
            </w:rPr>
            <w:fldChar w:fldCharType="separate"/>
          </w:r>
          <w:r w:rsidR="003E626E" w:rsidRPr="002815F4">
            <w:rPr>
              <w:rFonts w:ascii="Calibri" w:hAnsi="Calibri"/>
              <w:noProof/>
            </w:rPr>
            <w:t>(ITIE Senegal, 2016)</w:t>
          </w:r>
          <w:r w:rsidR="00DE741D" w:rsidRPr="002815F4">
            <w:rPr>
              <w:rFonts w:ascii="Calibri" w:hAnsi="Calibri"/>
            </w:rPr>
            <w:fldChar w:fldCharType="end"/>
          </w:r>
        </w:sdtContent>
      </w:sdt>
      <w:r w:rsidR="00DE741D" w:rsidRPr="002815F4">
        <w:rPr>
          <w:rFonts w:ascii="Calibri" w:hAnsi="Calibri"/>
        </w:rPr>
        <w:t xml:space="preserve">. </w:t>
      </w:r>
    </w:p>
    <w:p w14:paraId="38E1657E" w14:textId="11B2EC00" w:rsidR="006635CB" w:rsidRPr="002815F4" w:rsidRDefault="001030D3" w:rsidP="00C8623E">
      <w:pPr>
        <w:spacing w:before="120"/>
        <w:rPr>
          <w:rFonts w:ascii="Calibri" w:hAnsi="Calibri"/>
        </w:rPr>
      </w:pPr>
      <w:r w:rsidRPr="002815F4">
        <w:rPr>
          <w:rFonts w:ascii="Calibri" w:hAnsi="Calibri"/>
          <w:u w:val="single"/>
        </w:rPr>
        <w:t>Review of audit practices</w:t>
      </w:r>
      <w:r w:rsidRPr="002815F4">
        <w:rPr>
          <w:rFonts w:ascii="Calibri" w:hAnsi="Calibri"/>
        </w:rPr>
        <w:t xml:space="preserve">: </w:t>
      </w:r>
      <w:r w:rsidR="00E26135" w:rsidRPr="002815F4">
        <w:rPr>
          <w:rFonts w:ascii="Calibri" w:hAnsi="Calibri"/>
        </w:rPr>
        <w:t xml:space="preserve">The 2014 EITI Report describes statutory audit requirements for </w:t>
      </w:r>
      <w:r w:rsidR="00E26135" w:rsidRPr="002815F4">
        <w:rPr>
          <w:rFonts w:ascii="Calibri" w:hAnsi="Calibri"/>
          <w:i/>
        </w:rPr>
        <w:t>extractives companies</w:t>
      </w:r>
      <w:r w:rsidR="006A3F47">
        <w:rPr>
          <w:rStyle w:val="FootnoteReference"/>
          <w:rFonts w:ascii="Calibri" w:hAnsi="Calibri"/>
          <w:i/>
        </w:rPr>
        <w:footnoteReference w:id="75"/>
      </w:r>
      <w:r w:rsidR="00704B29" w:rsidRPr="002815F4">
        <w:rPr>
          <w:rFonts w:ascii="Calibri" w:hAnsi="Calibri"/>
        </w:rPr>
        <w:t xml:space="preserve"> (2014 EITI Report, p.62). The report describes OHADA auditing rules and confirms existing audit laws dating from 1988 are in line with ISA standards at the time (2014 EITI Report, p.62)</w:t>
      </w:r>
      <w:r w:rsidR="006E41D7" w:rsidRPr="002815F4">
        <w:rPr>
          <w:rFonts w:ascii="Calibri" w:hAnsi="Calibri"/>
        </w:rPr>
        <w:t xml:space="preserve">, but does not assess discrepancies </w:t>
      </w:r>
      <w:r w:rsidR="006635CB" w:rsidRPr="002815F4">
        <w:rPr>
          <w:rFonts w:ascii="Calibri" w:hAnsi="Calibri"/>
        </w:rPr>
        <w:t xml:space="preserve">with current </w:t>
      </w:r>
      <w:r w:rsidR="006E41D7" w:rsidRPr="002815F4">
        <w:rPr>
          <w:rFonts w:ascii="Calibri" w:hAnsi="Calibri"/>
        </w:rPr>
        <w:t>ISA standards</w:t>
      </w:r>
      <w:r w:rsidR="00704B29" w:rsidRPr="002815F4">
        <w:rPr>
          <w:rFonts w:ascii="Calibri" w:hAnsi="Calibri"/>
        </w:rPr>
        <w:t>.</w:t>
      </w:r>
      <w:r w:rsidR="000D5C51" w:rsidRPr="002815F4">
        <w:rPr>
          <w:rFonts w:ascii="Calibri" w:hAnsi="Calibri"/>
        </w:rPr>
        <w:t xml:space="preserve"> The report also comments on the actual audit practice of material companies, stating that all but four companies had audited financial statements for 2014 (three of which were offshore subsidiaries not required to hold audited accounts</w:t>
      </w:r>
      <w:r w:rsidR="00837AEC" w:rsidRPr="002815F4">
        <w:rPr>
          <w:rFonts w:ascii="Calibri" w:hAnsi="Calibri"/>
        </w:rPr>
        <w:t xml:space="preserve"> and one (AZ Petroleum) refusing to respond</w:t>
      </w:r>
      <w:r w:rsidR="000D5C51" w:rsidRPr="002815F4">
        <w:rPr>
          <w:rFonts w:ascii="Calibri" w:hAnsi="Calibri"/>
        </w:rPr>
        <w:t>) (2014 EITI Report, p</w:t>
      </w:r>
      <w:r w:rsidR="00837AEC" w:rsidRPr="002815F4">
        <w:rPr>
          <w:rFonts w:ascii="Calibri" w:hAnsi="Calibri"/>
        </w:rPr>
        <w:t>p</w:t>
      </w:r>
      <w:r w:rsidR="000D5C51" w:rsidRPr="002815F4">
        <w:rPr>
          <w:rFonts w:ascii="Calibri" w:hAnsi="Calibri"/>
        </w:rPr>
        <w:t>.62</w:t>
      </w:r>
      <w:r w:rsidR="00837AEC" w:rsidRPr="002815F4">
        <w:rPr>
          <w:rFonts w:ascii="Calibri" w:hAnsi="Calibri"/>
        </w:rPr>
        <w:t>,106</w:t>
      </w:r>
      <w:r w:rsidR="002A4810" w:rsidRPr="002815F4">
        <w:rPr>
          <w:rFonts w:ascii="Calibri" w:hAnsi="Calibri"/>
        </w:rPr>
        <w:t>-107</w:t>
      </w:r>
      <w:r w:rsidR="000D5C51" w:rsidRPr="002815F4">
        <w:rPr>
          <w:rFonts w:ascii="Calibri" w:hAnsi="Calibri"/>
        </w:rPr>
        <w:t>).</w:t>
      </w:r>
      <w:r w:rsidR="006E41D7" w:rsidRPr="002815F4">
        <w:rPr>
          <w:rFonts w:ascii="Calibri" w:hAnsi="Calibri"/>
        </w:rPr>
        <w:t xml:space="preserve"> The report notes that the two SOEs’ audited financial statements are not publicly available (2014 EITI Report, p.62).</w:t>
      </w:r>
    </w:p>
    <w:p w14:paraId="55A5D06B" w14:textId="05D0B237" w:rsidR="001030D3" w:rsidRPr="002815F4" w:rsidRDefault="006635CB" w:rsidP="00C8623E">
      <w:pPr>
        <w:spacing w:before="120"/>
        <w:rPr>
          <w:rFonts w:ascii="Calibri" w:hAnsi="Calibri"/>
        </w:rPr>
      </w:pPr>
      <w:r w:rsidRPr="002815F4">
        <w:rPr>
          <w:rFonts w:ascii="Calibri" w:hAnsi="Calibri"/>
        </w:rPr>
        <w:t xml:space="preserve">In terms of </w:t>
      </w:r>
      <w:r w:rsidRPr="002815F4">
        <w:rPr>
          <w:rFonts w:ascii="Calibri" w:hAnsi="Calibri"/>
          <w:i/>
        </w:rPr>
        <w:t>government</w:t>
      </w:r>
      <w:r w:rsidR="00D7768C" w:rsidRPr="002815F4">
        <w:rPr>
          <w:rFonts w:ascii="Calibri" w:hAnsi="Calibri"/>
        </w:rPr>
        <w:t xml:space="preserve"> auditing, the 2014 EITI R</w:t>
      </w:r>
      <w:r w:rsidRPr="002815F4">
        <w:rPr>
          <w:rFonts w:ascii="Calibri" w:hAnsi="Calibri"/>
        </w:rPr>
        <w:t>eport describes the statutory audit rules</w:t>
      </w:r>
      <w:r w:rsidR="006A3F47">
        <w:rPr>
          <w:rStyle w:val="FootnoteReference"/>
          <w:rFonts w:ascii="Calibri" w:hAnsi="Calibri"/>
        </w:rPr>
        <w:footnoteReference w:id="76"/>
      </w:r>
      <w:r w:rsidRPr="002815F4">
        <w:rPr>
          <w:rFonts w:ascii="Calibri" w:hAnsi="Calibri"/>
        </w:rPr>
        <w:t xml:space="preserve"> and confirms that CdC practices were in line with organic laws, international practices and INTOSAI standards (2014 EITI Report, p</w:t>
      </w:r>
      <w:r w:rsidR="000563E5" w:rsidRPr="002815F4">
        <w:rPr>
          <w:rFonts w:ascii="Calibri" w:hAnsi="Calibri"/>
        </w:rPr>
        <w:t>p</w:t>
      </w:r>
      <w:r w:rsidRPr="002815F4">
        <w:rPr>
          <w:rFonts w:ascii="Calibri" w:hAnsi="Calibri"/>
        </w:rPr>
        <w:t>.62-63).</w:t>
      </w:r>
      <w:r w:rsidR="00D7768C" w:rsidRPr="002815F4">
        <w:rPr>
          <w:rFonts w:ascii="Calibri" w:hAnsi="Calibri"/>
        </w:rPr>
        <w:t xml:space="preserve"> The report confirms </w:t>
      </w:r>
      <w:r w:rsidR="00D7768C" w:rsidRPr="002815F4">
        <w:rPr>
          <w:rFonts w:ascii="Calibri" w:hAnsi="Calibri"/>
          <w:bCs/>
        </w:rPr>
        <w:t>that the CdC undertook an audit of government accounts in 2014 and that its reports are publicly accessible</w:t>
      </w:r>
      <w:r w:rsidR="006B1EDF" w:rsidRPr="002815F4">
        <w:rPr>
          <w:rFonts w:ascii="Calibri" w:hAnsi="Calibri"/>
          <w:bCs/>
        </w:rPr>
        <w:t>, but that IGF and IGE reports are not publicly accessible</w:t>
      </w:r>
      <w:r w:rsidR="000563E5" w:rsidRPr="002815F4">
        <w:rPr>
          <w:rFonts w:ascii="Calibri" w:hAnsi="Calibri"/>
          <w:bCs/>
        </w:rPr>
        <w:t xml:space="preserve"> </w:t>
      </w:r>
      <w:r w:rsidR="000563E5" w:rsidRPr="002815F4">
        <w:rPr>
          <w:rFonts w:ascii="Calibri" w:hAnsi="Calibri"/>
        </w:rPr>
        <w:t>(2014 EITI Report, p.63).</w:t>
      </w:r>
      <w:r w:rsidR="00AD7A4A" w:rsidRPr="002815F4">
        <w:rPr>
          <w:rFonts w:ascii="Calibri" w:hAnsi="Calibri"/>
        </w:rPr>
        <w:t xml:space="preserve"> The CdC’s standalone report on its certification of government reporting in the 2014 EITI Report provides additional descriptions of its audit roles, both statutorily and in practice </w:t>
      </w:r>
      <w:sdt>
        <w:sdtPr>
          <w:rPr>
            <w:rFonts w:ascii="Calibri" w:hAnsi="Calibri"/>
          </w:rPr>
          <w:id w:val="-823577473"/>
          <w:citation/>
        </w:sdtPr>
        <w:sdtEndPr/>
        <w:sdtContent>
          <w:r w:rsidR="00AD7A4A" w:rsidRPr="002815F4">
            <w:rPr>
              <w:rFonts w:ascii="Calibri" w:hAnsi="Calibri"/>
            </w:rPr>
            <w:fldChar w:fldCharType="begin"/>
          </w:r>
          <w:r w:rsidR="00AD7A4A" w:rsidRPr="002815F4">
            <w:rPr>
              <w:rFonts w:ascii="Calibri" w:hAnsi="Calibri"/>
            </w:rPr>
            <w:instrText xml:space="preserve"> CITATION Cou16 \l 1033 </w:instrText>
          </w:r>
          <w:r w:rsidR="00AD7A4A" w:rsidRPr="002815F4">
            <w:rPr>
              <w:rFonts w:ascii="Calibri" w:hAnsi="Calibri"/>
            </w:rPr>
            <w:fldChar w:fldCharType="separate"/>
          </w:r>
          <w:r w:rsidR="00AD7A4A" w:rsidRPr="002815F4">
            <w:rPr>
              <w:rFonts w:ascii="Calibri" w:hAnsi="Calibri"/>
              <w:noProof/>
            </w:rPr>
            <w:t>(Cour des Comptes, 2016)</w:t>
          </w:r>
          <w:r w:rsidR="00AD7A4A" w:rsidRPr="002815F4">
            <w:rPr>
              <w:rFonts w:ascii="Calibri" w:hAnsi="Calibri"/>
            </w:rPr>
            <w:fldChar w:fldCharType="end"/>
          </w:r>
        </w:sdtContent>
      </w:sdt>
      <w:r w:rsidR="00AD7A4A" w:rsidRPr="002815F4">
        <w:rPr>
          <w:rFonts w:ascii="Calibri" w:hAnsi="Calibri"/>
        </w:rPr>
        <w:t>.</w:t>
      </w:r>
    </w:p>
    <w:p w14:paraId="55396F30" w14:textId="217DA475" w:rsidR="001030D3" w:rsidRPr="002815F4" w:rsidRDefault="001030D3" w:rsidP="001030D3">
      <w:pPr>
        <w:spacing w:before="120"/>
        <w:rPr>
          <w:rFonts w:ascii="Calibri" w:hAnsi="Calibri"/>
        </w:rPr>
      </w:pPr>
      <w:r w:rsidRPr="002815F4">
        <w:rPr>
          <w:rFonts w:ascii="Calibri" w:hAnsi="Calibri"/>
          <w:i/>
          <w:u w:val="single"/>
        </w:rPr>
        <w:t>Assurance methodology</w:t>
      </w:r>
      <w:r w:rsidRPr="002815F4">
        <w:rPr>
          <w:rFonts w:ascii="Calibri" w:hAnsi="Calibri"/>
        </w:rPr>
        <w:t xml:space="preserve">: </w:t>
      </w:r>
      <w:r w:rsidR="00DF6520" w:rsidRPr="002815F4">
        <w:rPr>
          <w:rFonts w:ascii="Calibri" w:hAnsi="Calibri"/>
        </w:rPr>
        <w:t xml:space="preserve">The 2014 EITI Report describes the MSG’s agreed assurance procedures to ensure the reliability of reconciled EITI data (2014 EITI Report, p.15). </w:t>
      </w:r>
      <w:r w:rsidR="000B61C7" w:rsidRPr="002815F4">
        <w:rPr>
          <w:rFonts w:ascii="Calibri" w:hAnsi="Calibri"/>
        </w:rPr>
        <w:t>Assurances required from companies were robust, including senior management sign-off and certification letter from external auditors where applicable</w:t>
      </w:r>
      <w:r w:rsidR="0077733A" w:rsidRPr="002815F4">
        <w:rPr>
          <w:rFonts w:ascii="Calibri" w:hAnsi="Calibri"/>
        </w:rPr>
        <w:t xml:space="preserve"> (2014 EITI Report, p.15). </w:t>
      </w:r>
      <w:r w:rsidR="00E5195B" w:rsidRPr="002815F4">
        <w:rPr>
          <w:rFonts w:ascii="Calibri" w:hAnsi="Calibri"/>
        </w:rPr>
        <w:t>Following significant preliminary work</w:t>
      </w:r>
      <w:r w:rsidR="002F23EF" w:rsidRPr="002815F4">
        <w:rPr>
          <w:rFonts w:ascii="Calibri" w:hAnsi="Calibri"/>
        </w:rPr>
        <w:t xml:space="preserve"> </w:t>
      </w:r>
      <w:r w:rsidR="00E5195B" w:rsidRPr="002815F4">
        <w:rPr>
          <w:rFonts w:ascii="Calibri" w:hAnsi="Calibri"/>
        </w:rPr>
        <w:t xml:space="preserve">with the MSG </w:t>
      </w:r>
      <w:r w:rsidR="002F23EF" w:rsidRPr="002815F4">
        <w:rPr>
          <w:rFonts w:ascii="Calibri" w:hAnsi="Calibri"/>
        </w:rPr>
        <w:t xml:space="preserve">to agree on procedures in early 2016, the quality assurance procedures for government reporting included tailored </w:t>
      </w:r>
      <w:r w:rsidR="002F23EF" w:rsidRPr="002815F4">
        <w:rPr>
          <w:rFonts w:ascii="Calibri" w:hAnsi="Calibri"/>
        </w:rPr>
        <w:lastRenderedPageBreak/>
        <w:t xml:space="preserve">CdC certification for the first time, in addition to sign-off on templates from high-level representatives (2014 EITI Report, p.15). </w:t>
      </w:r>
      <w:r w:rsidR="00C648D5" w:rsidRPr="002815F4">
        <w:rPr>
          <w:rFonts w:ascii="Calibri" w:hAnsi="Calibri"/>
        </w:rPr>
        <w:t xml:space="preserve">On the basis of the IA’s review of the government’s extractives revenues audit practices in 2014, the MSG concluded a MoU with the CdC for the certification of government </w:t>
      </w:r>
      <w:r w:rsidR="00EB4E5A" w:rsidRPr="002815F4">
        <w:rPr>
          <w:rFonts w:ascii="Calibri" w:hAnsi="Calibri"/>
        </w:rPr>
        <w:t xml:space="preserve">EITI reporting </w:t>
      </w:r>
      <w:r w:rsidR="00C648D5" w:rsidRPr="002815F4">
        <w:rPr>
          <w:rFonts w:ascii="Calibri" w:hAnsi="Calibri"/>
        </w:rPr>
        <w:t>on 28 July 2016</w:t>
      </w:r>
      <w:r w:rsidR="00EB4E5A" w:rsidRPr="002815F4">
        <w:rPr>
          <w:rFonts w:ascii="Calibri" w:hAnsi="Calibri"/>
        </w:rPr>
        <w:t>, for one year renewable</w:t>
      </w:r>
      <w:r w:rsidR="00C648D5" w:rsidRPr="002815F4">
        <w:rPr>
          <w:rFonts w:ascii="Calibri" w:hAnsi="Calibri"/>
        </w:rPr>
        <w:t xml:space="preserve"> </w:t>
      </w:r>
      <w:sdt>
        <w:sdtPr>
          <w:rPr>
            <w:rFonts w:ascii="Calibri" w:hAnsi="Calibri"/>
          </w:rPr>
          <w:id w:val="-2142487281"/>
          <w:citation/>
        </w:sdtPr>
        <w:sdtEndPr/>
        <w:sdtContent>
          <w:r w:rsidR="00C648D5" w:rsidRPr="002815F4">
            <w:rPr>
              <w:rFonts w:ascii="Calibri" w:hAnsi="Calibri"/>
            </w:rPr>
            <w:fldChar w:fldCharType="begin"/>
          </w:r>
          <w:r w:rsidR="00C648D5" w:rsidRPr="002815F4">
            <w:rPr>
              <w:rFonts w:ascii="Calibri" w:hAnsi="Calibri"/>
            </w:rPr>
            <w:instrText xml:space="preserve"> CITATION ITI1652 \l 1033 </w:instrText>
          </w:r>
          <w:r w:rsidR="00C648D5" w:rsidRPr="002815F4">
            <w:rPr>
              <w:rFonts w:ascii="Calibri" w:hAnsi="Calibri"/>
            </w:rPr>
            <w:fldChar w:fldCharType="separate"/>
          </w:r>
          <w:r w:rsidR="00C648D5" w:rsidRPr="002815F4">
            <w:rPr>
              <w:rFonts w:ascii="Calibri" w:hAnsi="Calibri"/>
              <w:noProof/>
            </w:rPr>
            <w:t>(ITIE Senegal, 2016)</w:t>
          </w:r>
          <w:r w:rsidR="00C648D5" w:rsidRPr="002815F4">
            <w:rPr>
              <w:rFonts w:ascii="Calibri" w:hAnsi="Calibri"/>
            </w:rPr>
            <w:fldChar w:fldCharType="end"/>
          </w:r>
        </w:sdtContent>
      </w:sdt>
      <w:r w:rsidR="00C648D5" w:rsidRPr="002815F4">
        <w:rPr>
          <w:rFonts w:ascii="Calibri" w:hAnsi="Calibri"/>
        </w:rPr>
        <w:t xml:space="preserve">. </w:t>
      </w:r>
      <w:r w:rsidR="00EB4E5A" w:rsidRPr="002815F4">
        <w:rPr>
          <w:rFonts w:ascii="Calibri" w:hAnsi="Calibri"/>
        </w:rPr>
        <w:t>In line with the protocol, th</w:t>
      </w:r>
      <w:r w:rsidR="002F23EF" w:rsidRPr="002815F4">
        <w:rPr>
          <w:rFonts w:ascii="Calibri" w:hAnsi="Calibri"/>
        </w:rPr>
        <w:t xml:space="preserve">e CdC </w:t>
      </w:r>
      <w:r w:rsidR="00EB4E5A" w:rsidRPr="002815F4">
        <w:rPr>
          <w:rFonts w:ascii="Calibri" w:hAnsi="Calibri"/>
        </w:rPr>
        <w:t>reconciled EITI reporting</w:t>
      </w:r>
      <w:r w:rsidR="002F23EF" w:rsidRPr="002815F4">
        <w:rPr>
          <w:rFonts w:ascii="Calibri" w:hAnsi="Calibri"/>
        </w:rPr>
        <w:t xml:space="preserve"> templates </w:t>
      </w:r>
      <w:r w:rsidR="00EB4E5A" w:rsidRPr="002815F4">
        <w:rPr>
          <w:rFonts w:ascii="Calibri" w:hAnsi="Calibri"/>
        </w:rPr>
        <w:t xml:space="preserve">from revenue-collecting agencies with receipts by the Treasury (DGTCP) </w:t>
      </w:r>
      <w:r w:rsidR="002F23EF" w:rsidRPr="002815F4">
        <w:rPr>
          <w:rFonts w:ascii="Calibri" w:hAnsi="Calibri"/>
        </w:rPr>
        <w:t>to ensure their completeness on a cash basis, in line with procedures set in its organic law and regulation</w:t>
      </w:r>
      <w:r w:rsidR="002F23EF" w:rsidRPr="002815F4">
        <w:rPr>
          <w:rStyle w:val="FootnoteReference"/>
          <w:rFonts w:ascii="Calibri" w:hAnsi="Calibri"/>
        </w:rPr>
        <w:footnoteReference w:id="77"/>
      </w:r>
      <w:r w:rsidR="002F23EF" w:rsidRPr="002815F4">
        <w:rPr>
          <w:rFonts w:ascii="Calibri" w:hAnsi="Calibri"/>
        </w:rPr>
        <w:t>, on international best practice such as the EITI Standard and INTOSAI standards</w:t>
      </w:r>
      <w:r w:rsidR="00EB4E5A" w:rsidRPr="002815F4">
        <w:rPr>
          <w:rFonts w:ascii="Calibri" w:hAnsi="Calibri"/>
        </w:rPr>
        <w:t xml:space="preserve"> (2014 EITI Report, p.15) </w:t>
      </w:r>
      <w:sdt>
        <w:sdtPr>
          <w:rPr>
            <w:rFonts w:ascii="Calibri" w:hAnsi="Calibri"/>
          </w:rPr>
          <w:id w:val="-531573359"/>
          <w:citation/>
        </w:sdtPr>
        <w:sdtEndPr/>
        <w:sdtContent>
          <w:r w:rsidR="00EB4E5A" w:rsidRPr="002815F4">
            <w:rPr>
              <w:rFonts w:ascii="Calibri" w:hAnsi="Calibri"/>
            </w:rPr>
            <w:fldChar w:fldCharType="begin"/>
          </w:r>
          <w:r w:rsidR="00EB4E5A" w:rsidRPr="002815F4">
            <w:rPr>
              <w:rFonts w:ascii="Calibri" w:hAnsi="Calibri"/>
            </w:rPr>
            <w:instrText xml:space="preserve"> CITATION ITI1652 \l 1033 </w:instrText>
          </w:r>
          <w:r w:rsidR="00EB4E5A" w:rsidRPr="002815F4">
            <w:rPr>
              <w:rFonts w:ascii="Calibri" w:hAnsi="Calibri"/>
            </w:rPr>
            <w:fldChar w:fldCharType="separate"/>
          </w:r>
          <w:r w:rsidR="00EB4E5A" w:rsidRPr="002815F4">
            <w:rPr>
              <w:rFonts w:ascii="Calibri" w:hAnsi="Calibri"/>
              <w:noProof/>
            </w:rPr>
            <w:t>(ITIE Senegal, 2016)</w:t>
          </w:r>
          <w:r w:rsidR="00EB4E5A" w:rsidRPr="002815F4">
            <w:rPr>
              <w:rFonts w:ascii="Calibri" w:hAnsi="Calibri"/>
            </w:rPr>
            <w:fldChar w:fldCharType="end"/>
          </w:r>
        </w:sdtContent>
      </w:sdt>
      <w:r w:rsidR="00EB4E5A" w:rsidRPr="002815F4">
        <w:rPr>
          <w:rFonts w:ascii="Calibri" w:hAnsi="Calibri"/>
        </w:rPr>
        <w:t>.</w:t>
      </w:r>
      <w:r w:rsidR="002F23EF" w:rsidRPr="002815F4">
        <w:rPr>
          <w:rFonts w:ascii="Calibri" w:hAnsi="Calibri"/>
        </w:rPr>
        <w:t xml:space="preserve"> The CdC </w:t>
      </w:r>
      <w:r w:rsidR="00913F65" w:rsidRPr="002815F4">
        <w:rPr>
          <w:rFonts w:ascii="Calibri" w:hAnsi="Calibri"/>
        </w:rPr>
        <w:t xml:space="preserve">‘s </w:t>
      </w:r>
      <w:r w:rsidR="002F23EF" w:rsidRPr="002815F4">
        <w:rPr>
          <w:rFonts w:ascii="Calibri" w:hAnsi="Calibri"/>
        </w:rPr>
        <w:t xml:space="preserve">standalone report on </w:t>
      </w:r>
      <w:r w:rsidR="00913F65" w:rsidRPr="002815F4">
        <w:rPr>
          <w:rFonts w:ascii="Calibri" w:hAnsi="Calibri"/>
        </w:rPr>
        <w:t xml:space="preserve">the findings of </w:t>
      </w:r>
      <w:r w:rsidR="002F23EF" w:rsidRPr="002815F4">
        <w:rPr>
          <w:rFonts w:ascii="Calibri" w:hAnsi="Calibri"/>
        </w:rPr>
        <w:t>its certification of EITI reporting requirements</w:t>
      </w:r>
      <w:r w:rsidR="00AD7A4A" w:rsidRPr="002815F4">
        <w:rPr>
          <w:rFonts w:ascii="Calibri" w:hAnsi="Calibri"/>
        </w:rPr>
        <w:t>, which took roughly one month,</w:t>
      </w:r>
      <w:r w:rsidR="002F23EF" w:rsidRPr="002815F4">
        <w:rPr>
          <w:rFonts w:ascii="Calibri" w:hAnsi="Calibri"/>
        </w:rPr>
        <w:t xml:space="preserve"> </w:t>
      </w:r>
      <w:r w:rsidR="00913F65" w:rsidRPr="002815F4">
        <w:rPr>
          <w:rFonts w:ascii="Calibri" w:hAnsi="Calibri"/>
        </w:rPr>
        <w:t xml:space="preserve">was produced in August 2016 </w:t>
      </w:r>
      <w:r w:rsidR="00AD7A4A" w:rsidRPr="002815F4">
        <w:rPr>
          <w:rFonts w:ascii="Calibri" w:hAnsi="Calibri"/>
        </w:rPr>
        <w:t xml:space="preserve">and fed recommendations into the draft 2014 EITI Report </w:t>
      </w:r>
      <w:sdt>
        <w:sdtPr>
          <w:rPr>
            <w:rFonts w:ascii="Calibri" w:hAnsi="Calibri"/>
          </w:rPr>
          <w:id w:val="1556746171"/>
          <w:citation/>
        </w:sdtPr>
        <w:sdtEndPr/>
        <w:sdtContent>
          <w:r w:rsidR="00AD7A4A" w:rsidRPr="002815F4">
            <w:rPr>
              <w:rFonts w:ascii="Calibri" w:hAnsi="Calibri"/>
            </w:rPr>
            <w:fldChar w:fldCharType="begin"/>
          </w:r>
          <w:r w:rsidR="00AD7A4A" w:rsidRPr="002815F4">
            <w:rPr>
              <w:rFonts w:ascii="Calibri" w:hAnsi="Calibri"/>
            </w:rPr>
            <w:instrText xml:space="preserve"> CITATION Cou16 \l 1033 </w:instrText>
          </w:r>
          <w:r w:rsidR="00AD7A4A" w:rsidRPr="002815F4">
            <w:rPr>
              <w:rFonts w:ascii="Calibri" w:hAnsi="Calibri"/>
            </w:rPr>
            <w:fldChar w:fldCharType="separate"/>
          </w:r>
          <w:r w:rsidR="00AD7A4A" w:rsidRPr="002815F4">
            <w:rPr>
              <w:rFonts w:ascii="Calibri" w:hAnsi="Calibri"/>
              <w:noProof/>
            </w:rPr>
            <w:t>(Cour des Comptes, 2016)</w:t>
          </w:r>
          <w:r w:rsidR="00AD7A4A" w:rsidRPr="002815F4">
            <w:rPr>
              <w:rFonts w:ascii="Calibri" w:hAnsi="Calibri"/>
            </w:rPr>
            <w:fldChar w:fldCharType="end"/>
          </w:r>
        </w:sdtContent>
      </w:sdt>
      <w:r w:rsidR="00AD7A4A" w:rsidRPr="002815F4">
        <w:rPr>
          <w:rFonts w:ascii="Calibri" w:hAnsi="Calibri"/>
        </w:rPr>
        <w:t xml:space="preserve">. </w:t>
      </w:r>
      <w:r w:rsidR="00B55D2E" w:rsidRPr="002815F4">
        <w:rPr>
          <w:rFonts w:ascii="Calibri" w:hAnsi="Calibri"/>
        </w:rPr>
        <w:t>The 2014 EITI Report also provided an overview of the IA’s work (2014 EITI Report, pp.</w:t>
      </w:r>
      <w:r w:rsidR="000D3978" w:rsidRPr="002815F4">
        <w:rPr>
          <w:rFonts w:ascii="Calibri" w:hAnsi="Calibri"/>
        </w:rPr>
        <w:t>6,</w:t>
      </w:r>
      <w:r w:rsidR="00B55D2E" w:rsidRPr="002815F4">
        <w:rPr>
          <w:rFonts w:ascii="Calibri" w:hAnsi="Calibri"/>
        </w:rPr>
        <w:t>14-15).</w:t>
      </w:r>
    </w:p>
    <w:p w14:paraId="176B67DF" w14:textId="566BFE9D" w:rsidR="001030D3" w:rsidRPr="002815F4" w:rsidRDefault="001030D3" w:rsidP="001030D3">
      <w:pPr>
        <w:spacing w:before="120"/>
        <w:rPr>
          <w:rFonts w:ascii="Calibri" w:hAnsi="Calibri"/>
        </w:rPr>
      </w:pPr>
      <w:r w:rsidRPr="002815F4">
        <w:rPr>
          <w:rFonts w:ascii="Calibri" w:hAnsi="Calibri"/>
          <w:i/>
          <w:u w:val="single"/>
        </w:rPr>
        <w:t>Confidentiality</w:t>
      </w:r>
      <w:r w:rsidRPr="002815F4">
        <w:rPr>
          <w:rFonts w:ascii="Calibri" w:hAnsi="Calibri"/>
        </w:rPr>
        <w:t xml:space="preserve">: </w:t>
      </w:r>
      <w:r w:rsidR="002F23EF" w:rsidRPr="002815F4">
        <w:rPr>
          <w:rFonts w:ascii="Calibri" w:hAnsi="Calibri"/>
        </w:rPr>
        <w:t xml:space="preserve">The </w:t>
      </w:r>
      <w:r w:rsidR="00A846EF" w:rsidRPr="002815F4">
        <w:rPr>
          <w:rFonts w:ascii="Calibri" w:hAnsi="Calibri"/>
        </w:rPr>
        <w:t>2014 EITI R</w:t>
      </w:r>
      <w:r w:rsidR="002F23EF" w:rsidRPr="002815F4">
        <w:rPr>
          <w:rFonts w:ascii="Calibri" w:hAnsi="Calibri"/>
        </w:rPr>
        <w:t xml:space="preserve">eport confirms that the IA’s work was undertaken in line with ISRS 4400 and the IFAC Code of Ethics, with the traditional caveats regarding the limitations of the IA’s work (as not constituting an audit, etc.) (2014 EITI Report, p.7). </w:t>
      </w:r>
      <w:r w:rsidR="00A846EF" w:rsidRPr="002815F4">
        <w:rPr>
          <w:rFonts w:ascii="Calibri" w:hAnsi="Calibri"/>
        </w:rPr>
        <w:t xml:space="preserve">The report does not include any additional information on mechanisms to ensure the confidentiality of information pre-reconciliation. </w:t>
      </w:r>
    </w:p>
    <w:p w14:paraId="0E7C8AEA" w14:textId="76C19C5A" w:rsidR="001030D3" w:rsidRPr="002815F4" w:rsidRDefault="001030D3" w:rsidP="001030D3">
      <w:pPr>
        <w:spacing w:before="120"/>
        <w:rPr>
          <w:rFonts w:ascii="Calibri" w:hAnsi="Calibri"/>
          <w:bCs/>
        </w:rPr>
      </w:pPr>
      <w:r w:rsidRPr="002815F4">
        <w:rPr>
          <w:rFonts w:ascii="Calibri" w:hAnsi="Calibri"/>
          <w:i/>
          <w:u w:val="single"/>
        </w:rPr>
        <w:t>Reconciliation coverage</w:t>
      </w:r>
      <w:r w:rsidRPr="002815F4">
        <w:rPr>
          <w:rFonts w:ascii="Calibri" w:hAnsi="Calibri"/>
          <w:i/>
        </w:rPr>
        <w:t xml:space="preserve">: </w:t>
      </w:r>
      <w:r w:rsidR="00441368" w:rsidRPr="002815F4">
        <w:rPr>
          <w:rFonts w:ascii="Calibri" w:hAnsi="Calibri"/>
        </w:rPr>
        <w:t xml:space="preserve">The 2014 EITI Report provides the reconciliation coverage (97.3%) in light of materiality thresholds for </w:t>
      </w:r>
      <w:r w:rsidR="000D0EAD" w:rsidRPr="002815F4">
        <w:rPr>
          <w:rFonts w:ascii="Calibri" w:hAnsi="Calibri"/>
        </w:rPr>
        <w:t>selecting companies, although it highlights that this reconciliation coverage excludes exceptional payments like Mittal Steel Holdings’ payment of XOF 49bn</w:t>
      </w:r>
      <w:r w:rsidR="00460409" w:rsidRPr="002815F4">
        <w:rPr>
          <w:rFonts w:ascii="Calibri" w:hAnsi="Calibri"/>
        </w:rPr>
        <w:t xml:space="preserve"> in 2014 (2014 EITI Report, pp.10-11). </w:t>
      </w:r>
      <w:r w:rsidR="00A56199" w:rsidRPr="002815F4">
        <w:rPr>
          <w:rFonts w:ascii="Calibri" w:hAnsi="Calibri"/>
        </w:rPr>
        <w:t xml:space="preserve">However, given the provision of the value of this exceptional payment in the 2014 EITI Report, it is possible to calculate the exact reconciliation coverage. </w:t>
      </w:r>
    </w:p>
    <w:p w14:paraId="29FAE146" w14:textId="77777777" w:rsidR="0067602A" w:rsidRPr="002815F4" w:rsidRDefault="001030D3" w:rsidP="00922ED3">
      <w:pPr>
        <w:spacing w:before="120"/>
        <w:rPr>
          <w:rFonts w:ascii="Calibri" w:hAnsi="Calibri"/>
        </w:rPr>
      </w:pPr>
      <w:r w:rsidRPr="002815F4">
        <w:rPr>
          <w:rFonts w:ascii="Calibri" w:hAnsi="Calibri"/>
          <w:i/>
          <w:u w:val="single"/>
        </w:rPr>
        <w:t>Assurance omissions:</w:t>
      </w:r>
      <w:r w:rsidRPr="002815F4">
        <w:rPr>
          <w:rFonts w:ascii="Calibri" w:hAnsi="Calibri"/>
        </w:rPr>
        <w:t xml:space="preserve"> </w:t>
      </w:r>
      <w:r w:rsidR="0067602A" w:rsidRPr="002815F4">
        <w:rPr>
          <w:rFonts w:ascii="Calibri" w:hAnsi="Calibri"/>
        </w:rPr>
        <w:t xml:space="preserve">In terms of </w:t>
      </w:r>
      <w:r w:rsidR="0067602A" w:rsidRPr="002815F4">
        <w:rPr>
          <w:rFonts w:ascii="Calibri" w:hAnsi="Calibri"/>
          <w:i/>
        </w:rPr>
        <w:t>company</w:t>
      </w:r>
      <w:r w:rsidR="0067602A" w:rsidRPr="002815F4">
        <w:rPr>
          <w:rFonts w:ascii="Calibri" w:hAnsi="Calibri"/>
        </w:rPr>
        <w:t xml:space="preserve"> reporting, t</w:t>
      </w:r>
      <w:r w:rsidR="00BE5582" w:rsidRPr="002815F4">
        <w:rPr>
          <w:rFonts w:ascii="Calibri" w:hAnsi="Calibri"/>
        </w:rPr>
        <w:t xml:space="preserve">he 2014 EITI Report clearly states that all but one of the material companies (AZ Petroleum, an oil and gas company) provided the required quality assurances with their EITI reporting templates (2014 EITI Report, pp.11-12,106-107). The report assesses the materiality of payments from the non-complying company (XOF 698m, or 0.59% of government revenues) and provides an assessment of the omission’s impact on the overall reliability of data in the 2014 EITI Report, noting that it “should not affect the reliability of data” (2014 EITI Report, pp.11-12). </w:t>
      </w:r>
    </w:p>
    <w:p w14:paraId="502B9652" w14:textId="7B4C1438" w:rsidR="00FF62E7" w:rsidRPr="002815F4" w:rsidRDefault="0067602A" w:rsidP="00922ED3">
      <w:pPr>
        <w:spacing w:before="120"/>
        <w:rPr>
          <w:rFonts w:ascii="Calibri" w:hAnsi="Calibri"/>
        </w:rPr>
      </w:pPr>
      <w:r w:rsidRPr="002815F4">
        <w:rPr>
          <w:rFonts w:ascii="Calibri" w:hAnsi="Calibri"/>
        </w:rPr>
        <w:t xml:space="preserve">In terms of </w:t>
      </w:r>
      <w:r w:rsidRPr="002815F4">
        <w:rPr>
          <w:rFonts w:ascii="Calibri" w:hAnsi="Calibri"/>
          <w:i/>
        </w:rPr>
        <w:t>government</w:t>
      </w:r>
      <w:r w:rsidRPr="002815F4">
        <w:rPr>
          <w:rFonts w:ascii="Calibri" w:hAnsi="Calibri"/>
        </w:rPr>
        <w:t xml:space="preserve"> reporting, </w:t>
      </w:r>
      <w:r w:rsidRPr="002815F4">
        <w:rPr>
          <w:rFonts w:ascii="Calibri" w:hAnsi="Calibri"/>
          <w:bCs/>
        </w:rPr>
        <w:t xml:space="preserve">the 2014 EITI Report confirms that all material government entities provided the requested sign-off from senior officials and that the </w:t>
      </w:r>
      <w:r w:rsidR="006C614F" w:rsidRPr="002815F4">
        <w:rPr>
          <w:rFonts w:ascii="Calibri" w:hAnsi="Calibri"/>
          <w:bCs/>
        </w:rPr>
        <w:t>Cour des Comptes</w:t>
      </w:r>
      <w:r w:rsidRPr="002815F4">
        <w:rPr>
          <w:rFonts w:ascii="Calibri" w:hAnsi="Calibri"/>
          <w:bCs/>
        </w:rPr>
        <w:t xml:space="preserve"> provided the agreed certification of templates from government entities including Petrosen and IPRES </w:t>
      </w:r>
      <w:r w:rsidRPr="002815F4">
        <w:rPr>
          <w:rFonts w:ascii="Calibri" w:hAnsi="Calibri"/>
        </w:rPr>
        <w:t>(2014 EITI Report, p.12).</w:t>
      </w:r>
      <w:r w:rsidR="008E3E1B" w:rsidRPr="002815F4">
        <w:rPr>
          <w:rFonts w:ascii="Calibri" w:hAnsi="Calibri"/>
        </w:rPr>
        <w:t xml:space="preserve"> While the report highlights that the </w:t>
      </w:r>
      <w:r w:rsidR="006C614F" w:rsidRPr="002815F4">
        <w:rPr>
          <w:rFonts w:ascii="Calibri" w:hAnsi="Calibri"/>
        </w:rPr>
        <w:t>Cour des Comptes</w:t>
      </w:r>
      <w:r w:rsidR="008E3E1B" w:rsidRPr="002815F4">
        <w:rPr>
          <w:rFonts w:ascii="Calibri" w:hAnsi="Calibri"/>
        </w:rPr>
        <w:t xml:space="preserve"> only certified the government-reported data used for reconciliation, and not data that was unilaterally disclosed and not reconciled, it notes that the low value of unilaterally disclosed revenues (at XOF 1.24bn, or 1% of government </w:t>
      </w:r>
      <w:r w:rsidR="00F729A3" w:rsidRPr="002815F4">
        <w:rPr>
          <w:rFonts w:ascii="Calibri" w:hAnsi="Calibri"/>
        </w:rPr>
        <w:t xml:space="preserve">extractives </w:t>
      </w:r>
      <w:r w:rsidR="008E3E1B" w:rsidRPr="002815F4">
        <w:rPr>
          <w:rFonts w:ascii="Calibri" w:hAnsi="Calibri"/>
        </w:rPr>
        <w:t xml:space="preserve">revenues) meant that the lack of certification “should not affect the reliability of data” in the 2014 EITI Report (2014 EITI Report, p.12). </w:t>
      </w:r>
      <w:r w:rsidR="00FF62E7" w:rsidRPr="002815F4">
        <w:rPr>
          <w:rFonts w:ascii="Calibri" w:hAnsi="Calibri"/>
        </w:rPr>
        <w:t>Having received signed reporting templates from only four of the seven revenue-collecting agencies</w:t>
      </w:r>
      <w:r w:rsidR="00FF62E7" w:rsidRPr="002815F4">
        <w:rPr>
          <w:rStyle w:val="FootnoteReference"/>
          <w:rFonts w:ascii="Calibri" w:hAnsi="Calibri"/>
        </w:rPr>
        <w:footnoteReference w:id="78"/>
      </w:r>
      <w:r w:rsidR="00FF62E7" w:rsidRPr="002815F4">
        <w:rPr>
          <w:rFonts w:ascii="Calibri" w:hAnsi="Calibri"/>
        </w:rPr>
        <w:t xml:space="preserve"> by its cut-off date, </w:t>
      </w:r>
      <w:r w:rsidR="00181CEE" w:rsidRPr="002815F4">
        <w:rPr>
          <w:rFonts w:ascii="Calibri" w:hAnsi="Calibri"/>
        </w:rPr>
        <w:t>t</w:t>
      </w:r>
      <w:r w:rsidR="00FF62E7" w:rsidRPr="002815F4">
        <w:rPr>
          <w:rFonts w:ascii="Calibri" w:hAnsi="Calibri"/>
        </w:rPr>
        <w:t xml:space="preserve">he </w:t>
      </w:r>
      <w:r w:rsidR="006C614F" w:rsidRPr="002815F4">
        <w:rPr>
          <w:rFonts w:ascii="Calibri" w:hAnsi="Calibri"/>
        </w:rPr>
        <w:t>Cour des Comptes</w:t>
      </w:r>
      <w:r w:rsidR="00FF62E7" w:rsidRPr="002815F4">
        <w:rPr>
          <w:rFonts w:ascii="Calibri" w:hAnsi="Calibri"/>
        </w:rPr>
        <w:t xml:space="preserve">’ report on its certification of government EITI </w:t>
      </w:r>
      <w:r w:rsidR="00FF62E7" w:rsidRPr="002815F4">
        <w:rPr>
          <w:rFonts w:ascii="Calibri" w:hAnsi="Calibri"/>
        </w:rPr>
        <w:lastRenderedPageBreak/>
        <w:t xml:space="preserve">reporting could only provide a conditional certification of these three entities’ templates. It also notes that the Treasury’s IT system only allows users to identify the nature of the payment rather than the identity of the taxpayer, adding to challenges in reconciling revenues </w:t>
      </w:r>
      <w:r w:rsidR="006A3F47">
        <w:rPr>
          <w:rFonts w:ascii="Calibri" w:hAnsi="Calibri"/>
        </w:rPr>
        <w:t>between</w:t>
      </w:r>
      <w:r w:rsidR="006A3F47" w:rsidRPr="002815F4">
        <w:rPr>
          <w:rFonts w:ascii="Calibri" w:hAnsi="Calibri"/>
        </w:rPr>
        <w:t xml:space="preserve"> </w:t>
      </w:r>
      <w:r w:rsidR="00FF62E7" w:rsidRPr="002815F4">
        <w:rPr>
          <w:rFonts w:ascii="Calibri" w:hAnsi="Calibri"/>
        </w:rPr>
        <w:t xml:space="preserve">DGID </w:t>
      </w:r>
      <w:r w:rsidR="006A3F47">
        <w:rPr>
          <w:rFonts w:ascii="Calibri" w:hAnsi="Calibri"/>
        </w:rPr>
        <w:t xml:space="preserve">and </w:t>
      </w:r>
      <w:r w:rsidR="00FF62E7" w:rsidRPr="002815F4">
        <w:rPr>
          <w:rFonts w:ascii="Calibri" w:hAnsi="Calibri"/>
        </w:rPr>
        <w:t xml:space="preserve">the Treasury. However, comparing revenues from the Large Taxpayers Office, DGD and DMG with those collected by the Treasury, the CdC did not find any significant discrepancy that raised concerns over the comprehensiveness and reliability of data disclosed </w:t>
      </w:r>
      <w:sdt>
        <w:sdtPr>
          <w:rPr>
            <w:rFonts w:ascii="Calibri" w:hAnsi="Calibri"/>
          </w:rPr>
          <w:id w:val="614328427"/>
          <w:citation/>
        </w:sdtPr>
        <w:sdtEndPr/>
        <w:sdtContent>
          <w:r w:rsidR="00FF62E7" w:rsidRPr="002815F4">
            <w:rPr>
              <w:rFonts w:ascii="Calibri" w:hAnsi="Calibri"/>
            </w:rPr>
            <w:fldChar w:fldCharType="begin"/>
          </w:r>
          <w:r w:rsidR="00FF62E7" w:rsidRPr="002815F4">
            <w:rPr>
              <w:rFonts w:ascii="Calibri" w:hAnsi="Calibri"/>
            </w:rPr>
            <w:instrText xml:space="preserve">CITATION Cou16 \p 16,22 \l 1033 </w:instrText>
          </w:r>
          <w:r w:rsidR="00FF62E7" w:rsidRPr="002815F4">
            <w:rPr>
              <w:rFonts w:ascii="Calibri" w:hAnsi="Calibri"/>
            </w:rPr>
            <w:fldChar w:fldCharType="separate"/>
          </w:r>
          <w:r w:rsidR="00FF62E7" w:rsidRPr="002815F4">
            <w:rPr>
              <w:rFonts w:ascii="Calibri" w:hAnsi="Calibri"/>
              <w:noProof/>
            </w:rPr>
            <w:t>(Cour des Comptes, 2016, pp. 16,22)</w:t>
          </w:r>
          <w:r w:rsidR="00FF62E7" w:rsidRPr="002815F4">
            <w:rPr>
              <w:rFonts w:ascii="Calibri" w:hAnsi="Calibri"/>
            </w:rPr>
            <w:fldChar w:fldCharType="end"/>
          </w:r>
        </w:sdtContent>
      </w:sdt>
      <w:r w:rsidR="00FF62E7" w:rsidRPr="002815F4">
        <w:rPr>
          <w:rFonts w:ascii="Calibri" w:hAnsi="Calibri"/>
        </w:rPr>
        <w:t>.</w:t>
      </w:r>
    </w:p>
    <w:p w14:paraId="3361D4C3" w14:textId="4089C23A" w:rsidR="001030D3" w:rsidRPr="002815F4" w:rsidRDefault="001030D3" w:rsidP="001030D3">
      <w:pPr>
        <w:spacing w:before="120"/>
        <w:rPr>
          <w:rFonts w:ascii="Calibri" w:hAnsi="Calibri"/>
        </w:rPr>
      </w:pPr>
      <w:r w:rsidRPr="002815F4">
        <w:rPr>
          <w:rFonts w:ascii="Calibri" w:hAnsi="Calibri"/>
          <w:i/>
          <w:u w:val="single"/>
        </w:rPr>
        <w:t>Data reliability assessment</w:t>
      </w:r>
      <w:r w:rsidR="00735803" w:rsidRPr="002815F4">
        <w:rPr>
          <w:rFonts w:ascii="Calibri" w:hAnsi="Calibri"/>
        </w:rPr>
        <w:t xml:space="preserve">: </w:t>
      </w:r>
      <w:r w:rsidR="00B55D2E" w:rsidRPr="002815F4">
        <w:rPr>
          <w:rFonts w:ascii="Calibri" w:hAnsi="Calibri"/>
        </w:rPr>
        <w:t xml:space="preserve">The 2014 EITI Report includes clear statements assessing the reliability of data in the EITI Report, with the IA noting that it “reasonably conclude[d] that this EITI Report covers in a satisfactory manner the revenues from Senegal’s extractive industries in 2014” (2014 EITI Report, pp.10-11) and, based on the detail reconciliation per transaction, it “did not identify any elements that would throw into question the credibility of extractives revenues reported by receiving government entities” (2014 EITI Report, p.12). </w:t>
      </w:r>
      <w:r w:rsidR="00CD3470" w:rsidRPr="002815F4">
        <w:rPr>
          <w:rFonts w:ascii="Calibri" w:hAnsi="Calibri"/>
          <w:bCs/>
        </w:rPr>
        <w:t xml:space="preserve">The report also consistently provides the IA’s assessment of the impact of omissions in quality assurance provisions by one material company on the overall reliability of data in the 2014 EITI Report, </w:t>
      </w:r>
      <w:r w:rsidR="000D3978" w:rsidRPr="002815F4">
        <w:rPr>
          <w:rFonts w:ascii="Calibri" w:hAnsi="Calibri"/>
          <w:bCs/>
        </w:rPr>
        <w:t xml:space="preserve">considered </w:t>
      </w:r>
      <w:r w:rsidR="00F23367" w:rsidRPr="002815F4">
        <w:rPr>
          <w:rFonts w:ascii="Calibri" w:hAnsi="Calibri"/>
          <w:bCs/>
        </w:rPr>
        <w:t>non-material</w:t>
      </w:r>
      <w:r w:rsidR="00CD3470" w:rsidRPr="002815F4">
        <w:rPr>
          <w:rFonts w:ascii="Calibri" w:hAnsi="Calibri"/>
        </w:rPr>
        <w:t xml:space="preserve"> (2014 EITI Report, pp.11-12). </w:t>
      </w:r>
    </w:p>
    <w:p w14:paraId="4B2C00F3" w14:textId="028579F9" w:rsidR="001030D3" w:rsidRPr="002815F4" w:rsidRDefault="001030D3" w:rsidP="001030D3">
      <w:pPr>
        <w:spacing w:before="120"/>
        <w:rPr>
          <w:rFonts w:ascii="Calibri" w:hAnsi="Calibri"/>
          <w:bCs/>
        </w:rPr>
      </w:pPr>
      <w:r w:rsidRPr="002815F4">
        <w:rPr>
          <w:rFonts w:ascii="Calibri" w:hAnsi="Calibri"/>
          <w:i/>
          <w:u w:val="single"/>
        </w:rPr>
        <w:t>Sourcing of information</w:t>
      </w:r>
      <w:r w:rsidRPr="002815F4">
        <w:rPr>
          <w:rFonts w:ascii="Calibri" w:hAnsi="Calibri"/>
        </w:rPr>
        <w:t xml:space="preserve">: </w:t>
      </w:r>
      <w:r w:rsidR="000D3978" w:rsidRPr="002815F4">
        <w:rPr>
          <w:rFonts w:ascii="Calibri" w:hAnsi="Calibri"/>
        </w:rPr>
        <w:t xml:space="preserve">All information in the 2014 EITI Report appears to be clearly and consistently sourced and there do not appear to be views included from other </w:t>
      </w:r>
      <w:r w:rsidR="002815F4" w:rsidRPr="002815F4">
        <w:rPr>
          <w:rFonts w:ascii="Calibri" w:hAnsi="Calibri"/>
        </w:rPr>
        <w:t>stakeholders</w:t>
      </w:r>
      <w:r w:rsidR="000D3978" w:rsidRPr="002815F4">
        <w:rPr>
          <w:rFonts w:ascii="Calibri" w:hAnsi="Calibri"/>
        </w:rPr>
        <w:t xml:space="preserve"> than the IA</w:t>
      </w:r>
      <w:r w:rsidR="000E77A6" w:rsidRPr="002815F4">
        <w:rPr>
          <w:rFonts w:ascii="Calibri" w:hAnsi="Calibri"/>
        </w:rPr>
        <w:t xml:space="preserve">, aside from the views of the </w:t>
      </w:r>
      <w:r w:rsidR="006C614F" w:rsidRPr="002815F4">
        <w:rPr>
          <w:rFonts w:ascii="Calibri" w:hAnsi="Calibri"/>
        </w:rPr>
        <w:t>Cour des Comptes</w:t>
      </w:r>
      <w:r w:rsidR="000E77A6" w:rsidRPr="002815F4">
        <w:rPr>
          <w:rFonts w:ascii="Calibri" w:hAnsi="Calibri"/>
        </w:rPr>
        <w:t xml:space="preserve"> that are clearly identified</w:t>
      </w:r>
      <w:r w:rsidR="000D3978" w:rsidRPr="002815F4">
        <w:rPr>
          <w:rFonts w:ascii="Calibri" w:hAnsi="Calibri"/>
        </w:rPr>
        <w:t xml:space="preserve">. </w:t>
      </w:r>
    </w:p>
    <w:p w14:paraId="114583DC" w14:textId="6812E36E" w:rsidR="000D3978" w:rsidRPr="002815F4" w:rsidRDefault="000D3978" w:rsidP="001030D3">
      <w:pPr>
        <w:spacing w:before="120"/>
        <w:rPr>
          <w:rFonts w:ascii="Calibri" w:hAnsi="Calibri"/>
        </w:rPr>
      </w:pPr>
      <w:r w:rsidRPr="002815F4">
        <w:rPr>
          <w:rFonts w:ascii="Calibri" w:hAnsi="Calibri"/>
          <w:i/>
          <w:u w:val="single"/>
        </w:rPr>
        <w:t>Summary tables</w:t>
      </w:r>
      <w:r w:rsidRPr="002815F4">
        <w:rPr>
          <w:rFonts w:ascii="Calibri" w:hAnsi="Calibri"/>
        </w:rPr>
        <w:t xml:space="preserve">: </w:t>
      </w:r>
      <w:r w:rsidR="00C61EA8" w:rsidRPr="002815F4">
        <w:rPr>
          <w:rFonts w:ascii="Calibri" w:hAnsi="Calibri"/>
        </w:rPr>
        <w:t xml:space="preserve">The IA appears to have prepared summary tables of EITI data </w:t>
      </w:r>
      <w:r w:rsidR="00EB76F2" w:rsidRPr="002815F4">
        <w:rPr>
          <w:rFonts w:ascii="Calibri" w:hAnsi="Calibri"/>
        </w:rPr>
        <w:t xml:space="preserve">for both EITI Reports produced </w:t>
      </w:r>
      <w:r w:rsidR="00C61EA8" w:rsidRPr="002815F4">
        <w:rPr>
          <w:rFonts w:ascii="Calibri" w:hAnsi="Calibri"/>
        </w:rPr>
        <w:t>in line with provisions of the IA’s ToR for the 2015 EITI Report, available on the Senegal EITI national website</w:t>
      </w:r>
      <w:r w:rsidR="00C61EA8" w:rsidRPr="002815F4">
        <w:rPr>
          <w:rStyle w:val="FootnoteReference"/>
          <w:rFonts w:ascii="Calibri" w:hAnsi="Calibri"/>
        </w:rPr>
        <w:footnoteReference w:id="79"/>
      </w:r>
      <w:r w:rsidR="00C61EA8" w:rsidRPr="002815F4">
        <w:rPr>
          <w:rFonts w:ascii="Calibri" w:hAnsi="Calibri"/>
        </w:rPr>
        <w:t xml:space="preserve"> and on the Senegal page of the global EITI website.</w:t>
      </w:r>
      <w:r w:rsidR="00C61EA8" w:rsidRPr="002815F4">
        <w:rPr>
          <w:rStyle w:val="FootnoteReference"/>
          <w:rFonts w:ascii="Calibri" w:hAnsi="Calibri"/>
        </w:rPr>
        <w:footnoteReference w:id="80"/>
      </w:r>
    </w:p>
    <w:p w14:paraId="2329919A" w14:textId="24C159E0" w:rsidR="00CB17C6" w:rsidRPr="002815F4" w:rsidRDefault="00EB76F2">
      <w:pPr>
        <w:spacing w:before="120"/>
        <w:rPr>
          <w:rFonts w:ascii="Calibri" w:hAnsi="Calibri"/>
        </w:rPr>
      </w:pPr>
      <w:r w:rsidRPr="002815F4">
        <w:rPr>
          <w:rFonts w:ascii="Calibri" w:hAnsi="Calibri"/>
          <w:i/>
          <w:u w:val="single"/>
        </w:rPr>
        <w:t>R</w:t>
      </w:r>
      <w:r w:rsidR="001030D3" w:rsidRPr="002815F4">
        <w:rPr>
          <w:rFonts w:ascii="Calibri" w:hAnsi="Calibri"/>
          <w:i/>
          <w:u w:val="single"/>
        </w:rPr>
        <w:t>ecommendations</w:t>
      </w:r>
      <w:r w:rsidR="001030D3" w:rsidRPr="002815F4">
        <w:rPr>
          <w:rFonts w:ascii="Calibri" w:hAnsi="Calibri"/>
        </w:rPr>
        <w:t xml:space="preserve">: </w:t>
      </w:r>
      <w:r w:rsidR="00CB17C6" w:rsidRPr="002815F4">
        <w:rPr>
          <w:rFonts w:ascii="Calibri" w:hAnsi="Calibri"/>
        </w:rPr>
        <w:t>The 2014 EITI Report provides an overview of follow-up on past EITI recommendations (2014 EITI Report, pp.90-96), which finds that four recommendations were fully implemented, two recommendations were in process of being implemented and one recommendation had not yet been followed up on.</w:t>
      </w:r>
      <w:r w:rsidR="00CB17C6" w:rsidRPr="002815F4">
        <w:rPr>
          <w:rFonts w:ascii="Calibri" w:hAnsi="Calibri"/>
          <w:bCs/>
        </w:rPr>
        <w:t xml:space="preserve"> </w:t>
      </w:r>
      <w:r w:rsidR="00CB17C6" w:rsidRPr="002815F4">
        <w:rPr>
          <w:rFonts w:ascii="Calibri" w:hAnsi="Calibri"/>
        </w:rPr>
        <w:t>The report also presents a list of 12 recommendations from the 2014 EITI Report (2014 EITI Report, pp.13,82-89), including at least eight that are related to broader sector reforms.</w:t>
      </w:r>
      <w:r w:rsidR="00564393" w:rsidRPr="002815F4">
        <w:rPr>
          <w:rFonts w:ascii="Calibri" w:hAnsi="Calibri"/>
        </w:rPr>
        <w:t xml:space="preserve"> In July 2017, just after the start of Validation, the MSG also published a 22-page report tracking progress in implementing recommendations from the 2014 EITI Report </w:t>
      </w:r>
      <w:sdt>
        <w:sdtPr>
          <w:rPr>
            <w:rFonts w:ascii="Calibri" w:hAnsi="Calibri"/>
          </w:rPr>
          <w:id w:val="2093508952"/>
          <w:citation/>
        </w:sdtPr>
        <w:sdtEndPr/>
        <w:sdtContent>
          <w:r w:rsidR="00564393" w:rsidRPr="002815F4">
            <w:rPr>
              <w:rFonts w:ascii="Calibri" w:hAnsi="Calibri"/>
            </w:rPr>
            <w:fldChar w:fldCharType="begin"/>
          </w:r>
          <w:r w:rsidR="00564393" w:rsidRPr="002815F4">
            <w:rPr>
              <w:rFonts w:ascii="Calibri" w:hAnsi="Calibri"/>
            </w:rPr>
            <w:instrText xml:space="preserve">CITATION ITI1727 \l 1033 </w:instrText>
          </w:r>
          <w:r w:rsidR="00564393" w:rsidRPr="002815F4">
            <w:rPr>
              <w:rFonts w:ascii="Calibri" w:hAnsi="Calibri"/>
            </w:rPr>
            <w:fldChar w:fldCharType="separate"/>
          </w:r>
          <w:r w:rsidR="00564393" w:rsidRPr="002815F4">
            <w:rPr>
              <w:rFonts w:ascii="Calibri" w:hAnsi="Calibri"/>
              <w:noProof/>
            </w:rPr>
            <w:t>(ITIE Senegal, 2017)</w:t>
          </w:r>
          <w:r w:rsidR="00564393" w:rsidRPr="002815F4">
            <w:rPr>
              <w:rFonts w:ascii="Calibri" w:hAnsi="Calibri"/>
            </w:rPr>
            <w:fldChar w:fldCharType="end"/>
          </w:r>
        </w:sdtContent>
      </w:sdt>
      <w:r w:rsidR="00564393" w:rsidRPr="002815F4">
        <w:rPr>
          <w:rFonts w:ascii="Calibri" w:hAnsi="Calibri"/>
        </w:rPr>
        <w:t>.</w:t>
      </w:r>
    </w:p>
    <w:p w14:paraId="4E6F348E" w14:textId="1ECBF04D" w:rsidR="003E58F5" w:rsidRPr="002815F4" w:rsidRDefault="001030D3" w:rsidP="009B3E66">
      <w:pPr>
        <w:pStyle w:val="Heading3"/>
      </w:pPr>
      <w:r w:rsidRPr="002815F4">
        <w:t xml:space="preserve">Stakeholder views </w:t>
      </w:r>
    </w:p>
    <w:p w14:paraId="38BE1FEE" w14:textId="249D535F" w:rsidR="00F23367" w:rsidRPr="002815F4" w:rsidRDefault="00F23367" w:rsidP="001030D3">
      <w:pPr>
        <w:spacing w:before="120"/>
        <w:rPr>
          <w:rFonts w:ascii="Calibri" w:hAnsi="Calibri"/>
          <w:bCs/>
        </w:rPr>
      </w:pPr>
      <w:r w:rsidRPr="002815F4">
        <w:rPr>
          <w:rFonts w:ascii="Calibri" w:hAnsi="Calibri"/>
          <w:bCs/>
          <w:i/>
          <w:u w:val="single"/>
        </w:rPr>
        <w:t>IA procurement and templates</w:t>
      </w:r>
      <w:r w:rsidRPr="002815F4">
        <w:rPr>
          <w:rFonts w:ascii="Calibri" w:hAnsi="Calibri"/>
          <w:bCs/>
        </w:rPr>
        <w:t xml:space="preserve">: </w:t>
      </w:r>
      <w:r w:rsidR="00A66EC3" w:rsidRPr="002815F4">
        <w:rPr>
          <w:rFonts w:ascii="Calibri" w:hAnsi="Calibri"/>
          <w:bCs/>
        </w:rPr>
        <w:t xml:space="preserve">There was consensus amongst </w:t>
      </w:r>
      <w:r w:rsidR="006A3F47">
        <w:rPr>
          <w:rFonts w:ascii="Calibri" w:hAnsi="Calibri"/>
          <w:bCs/>
        </w:rPr>
        <w:t>stakeholders</w:t>
      </w:r>
      <w:r w:rsidR="00A66EC3" w:rsidRPr="002815F4">
        <w:rPr>
          <w:rFonts w:ascii="Calibri" w:hAnsi="Calibri"/>
          <w:bCs/>
        </w:rPr>
        <w:t xml:space="preserve"> consulted that the MSG had more confidence in the professional methodology adopted by the </w:t>
      </w:r>
      <w:r w:rsidR="006A3F47">
        <w:rPr>
          <w:rFonts w:ascii="Calibri" w:hAnsi="Calibri"/>
          <w:bCs/>
        </w:rPr>
        <w:t xml:space="preserve">second </w:t>
      </w:r>
      <w:r w:rsidR="00A66EC3" w:rsidRPr="002815F4">
        <w:rPr>
          <w:rFonts w:ascii="Calibri" w:hAnsi="Calibri"/>
          <w:bCs/>
        </w:rPr>
        <w:t xml:space="preserve">IA </w:t>
      </w:r>
      <w:r w:rsidR="006A3F47">
        <w:rPr>
          <w:rFonts w:ascii="Calibri" w:hAnsi="Calibri"/>
          <w:bCs/>
        </w:rPr>
        <w:t>than by the first</w:t>
      </w:r>
      <w:r w:rsidR="00A66EC3" w:rsidRPr="002815F4">
        <w:rPr>
          <w:rFonts w:ascii="Calibri" w:hAnsi="Calibri"/>
          <w:bCs/>
        </w:rPr>
        <w:t xml:space="preserve">. Several government and industry MSG members expressed concern that the first IA had refused to take account of additional information they provided, which made the comprehensiveness and reliability of the 2013 EITI Report appear </w:t>
      </w:r>
      <w:r w:rsidR="002815F4" w:rsidRPr="002815F4">
        <w:rPr>
          <w:rFonts w:ascii="Calibri" w:hAnsi="Calibri"/>
          <w:bCs/>
        </w:rPr>
        <w:t>worse</w:t>
      </w:r>
      <w:r w:rsidR="00A66EC3" w:rsidRPr="002815F4">
        <w:rPr>
          <w:rFonts w:ascii="Calibri" w:hAnsi="Calibri"/>
          <w:bCs/>
        </w:rPr>
        <w:t xml:space="preserve"> than it would otherwise been. While the MSG had prepared parts of the contextual information for the 2013 EITI Report, this had not been taken into account by the IA. This situation had prompted the MSG to establish working groups to draft </w:t>
      </w:r>
      <w:r w:rsidR="006A3F47">
        <w:rPr>
          <w:rFonts w:ascii="Calibri" w:hAnsi="Calibri"/>
          <w:bCs/>
        </w:rPr>
        <w:t>most</w:t>
      </w:r>
      <w:r w:rsidR="006A3F47" w:rsidRPr="002815F4">
        <w:rPr>
          <w:rFonts w:ascii="Calibri" w:hAnsi="Calibri"/>
          <w:bCs/>
        </w:rPr>
        <w:t xml:space="preserve"> </w:t>
      </w:r>
      <w:r w:rsidR="00A66EC3" w:rsidRPr="002815F4">
        <w:rPr>
          <w:rFonts w:ascii="Calibri" w:hAnsi="Calibri"/>
          <w:bCs/>
        </w:rPr>
        <w:t xml:space="preserve">sections of the contextual </w:t>
      </w:r>
      <w:r w:rsidR="00A66EC3" w:rsidRPr="002815F4">
        <w:rPr>
          <w:rFonts w:ascii="Calibri" w:hAnsi="Calibri"/>
          <w:bCs/>
        </w:rPr>
        <w:lastRenderedPageBreak/>
        <w:t xml:space="preserve">information for the 2014 EITI Report. Overall, all stakeholders consulted expressed satisfaction in the second IA’s performance, in </w:t>
      </w:r>
      <w:r w:rsidR="006A3F47">
        <w:rPr>
          <w:rFonts w:ascii="Calibri" w:hAnsi="Calibri"/>
          <w:bCs/>
        </w:rPr>
        <w:t>contrast</w:t>
      </w:r>
      <w:r w:rsidR="006A3F47" w:rsidRPr="002815F4">
        <w:rPr>
          <w:rFonts w:ascii="Calibri" w:hAnsi="Calibri"/>
          <w:bCs/>
        </w:rPr>
        <w:t xml:space="preserve"> </w:t>
      </w:r>
      <w:r w:rsidR="00A66EC3" w:rsidRPr="002815F4">
        <w:rPr>
          <w:rFonts w:ascii="Calibri" w:hAnsi="Calibri"/>
          <w:bCs/>
        </w:rPr>
        <w:t xml:space="preserve">to their experience with the first </w:t>
      </w:r>
      <w:r w:rsidR="006A3F47">
        <w:rPr>
          <w:rFonts w:ascii="Calibri" w:hAnsi="Calibri"/>
          <w:bCs/>
        </w:rPr>
        <w:t>IA</w:t>
      </w:r>
      <w:r w:rsidR="00A66EC3" w:rsidRPr="002815F4">
        <w:rPr>
          <w:rFonts w:ascii="Calibri" w:hAnsi="Calibri"/>
          <w:bCs/>
        </w:rPr>
        <w:t xml:space="preserve">, although several industry MSG members </w:t>
      </w:r>
      <w:r w:rsidR="006A3F47">
        <w:rPr>
          <w:rFonts w:ascii="Calibri" w:hAnsi="Calibri"/>
          <w:bCs/>
        </w:rPr>
        <w:t>considered that</w:t>
      </w:r>
      <w:r w:rsidR="00A66EC3" w:rsidRPr="002815F4">
        <w:rPr>
          <w:rFonts w:ascii="Calibri" w:hAnsi="Calibri"/>
          <w:bCs/>
        </w:rPr>
        <w:t xml:space="preserve"> the steep learning curve involved in preparing the first EITI Report</w:t>
      </w:r>
      <w:r w:rsidR="006A3F47">
        <w:rPr>
          <w:rFonts w:ascii="Calibri" w:hAnsi="Calibri"/>
          <w:bCs/>
        </w:rPr>
        <w:t xml:space="preserve"> may also have played a part</w:t>
      </w:r>
      <w:r w:rsidR="00A66EC3" w:rsidRPr="002815F4">
        <w:rPr>
          <w:rFonts w:ascii="Calibri" w:hAnsi="Calibri"/>
          <w:bCs/>
        </w:rPr>
        <w:t xml:space="preserve">. </w:t>
      </w:r>
      <w:r w:rsidR="006A3F47">
        <w:rPr>
          <w:rFonts w:ascii="Calibri" w:hAnsi="Calibri"/>
          <w:bCs/>
        </w:rPr>
        <w:t>S</w:t>
      </w:r>
      <w:r w:rsidR="005E5484" w:rsidRPr="002815F4">
        <w:rPr>
          <w:rFonts w:ascii="Calibri" w:hAnsi="Calibri"/>
          <w:bCs/>
        </w:rPr>
        <w:t xml:space="preserve">everal government and </w:t>
      </w:r>
      <w:r w:rsidR="002815F4" w:rsidRPr="002815F4">
        <w:rPr>
          <w:rFonts w:ascii="Calibri" w:hAnsi="Calibri"/>
          <w:bCs/>
        </w:rPr>
        <w:t>industry</w:t>
      </w:r>
      <w:r w:rsidR="005E5484" w:rsidRPr="002815F4">
        <w:rPr>
          <w:rFonts w:ascii="Calibri" w:hAnsi="Calibri"/>
          <w:bCs/>
        </w:rPr>
        <w:t xml:space="preserve"> representatives also highlighted more detailed guidance to reporting entities provided by the second IA, which was reflected in the more complete final reporting results. None of the stakeholders consulted expressed any concern about the </w:t>
      </w:r>
      <w:r w:rsidR="006A3F47">
        <w:rPr>
          <w:rFonts w:ascii="Calibri" w:hAnsi="Calibri"/>
          <w:bCs/>
        </w:rPr>
        <w:t xml:space="preserve">IA </w:t>
      </w:r>
      <w:r w:rsidR="005E5484" w:rsidRPr="002815F4">
        <w:rPr>
          <w:rFonts w:ascii="Calibri" w:hAnsi="Calibri"/>
          <w:bCs/>
        </w:rPr>
        <w:t>procurement process</w:t>
      </w:r>
      <w:r w:rsidR="006A3F47">
        <w:rPr>
          <w:rFonts w:ascii="Calibri" w:hAnsi="Calibri"/>
          <w:bCs/>
        </w:rPr>
        <w:t>, with all MSG m</w:t>
      </w:r>
      <w:r w:rsidR="005E5484" w:rsidRPr="002815F4">
        <w:rPr>
          <w:rFonts w:ascii="Calibri" w:hAnsi="Calibri"/>
          <w:bCs/>
        </w:rPr>
        <w:t>embers confirm</w:t>
      </w:r>
      <w:r w:rsidR="006A3F47">
        <w:rPr>
          <w:rFonts w:ascii="Calibri" w:hAnsi="Calibri"/>
          <w:bCs/>
        </w:rPr>
        <w:t>ing</w:t>
      </w:r>
      <w:r w:rsidR="005E5484" w:rsidRPr="002815F4">
        <w:rPr>
          <w:rFonts w:ascii="Calibri" w:hAnsi="Calibri"/>
          <w:bCs/>
        </w:rPr>
        <w:t xml:space="preserve"> they had approved </w:t>
      </w:r>
      <w:r w:rsidR="006A3F47">
        <w:rPr>
          <w:rFonts w:ascii="Calibri" w:hAnsi="Calibri"/>
          <w:bCs/>
        </w:rPr>
        <w:t>the contract signing</w:t>
      </w:r>
      <w:r w:rsidR="005E5484" w:rsidRPr="002815F4">
        <w:rPr>
          <w:rFonts w:ascii="Calibri" w:hAnsi="Calibri"/>
          <w:bCs/>
        </w:rPr>
        <w:t xml:space="preserve">. </w:t>
      </w:r>
      <w:r w:rsidR="005E5484" w:rsidRPr="002815F4">
        <w:t xml:space="preserve">All reporting entities consulted, from both government and industry, expressed satisfaction at EITI reporting templates and all MSG members confirmed they had approved the reporting templates prior to data collection. </w:t>
      </w:r>
    </w:p>
    <w:p w14:paraId="3098D53F" w14:textId="5B3843A1" w:rsidR="006C4B62" w:rsidRPr="002815F4" w:rsidRDefault="00F23367" w:rsidP="001030D3">
      <w:pPr>
        <w:spacing w:before="120"/>
        <w:rPr>
          <w:rFonts w:ascii="Calibri" w:hAnsi="Calibri"/>
          <w:bCs/>
        </w:rPr>
      </w:pPr>
      <w:r w:rsidRPr="002815F4">
        <w:rPr>
          <w:rFonts w:ascii="Calibri" w:hAnsi="Calibri"/>
          <w:bCs/>
          <w:i/>
          <w:u w:val="single"/>
        </w:rPr>
        <w:t>Audit practices</w:t>
      </w:r>
      <w:r w:rsidRPr="002815F4">
        <w:rPr>
          <w:rFonts w:ascii="Calibri" w:hAnsi="Calibri"/>
          <w:bCs/>
        </w:rPr>
        <w:t xml:space="preserve">: </w:t>
      </w:r>
      <w:r w:rsidR="005E5484" w:rsidRPr="002815F4">
        <w:rPr>
          <w:rFonts w:ascii="Calibri" w:hAnsi="Calibri"/>
          <w:bCs/>
        </w:rPr>
        <w:t xml:space="preserve">The IA </w:t>
      </w:r>
      <w:r w:rsidR="006A3F47">
        <w:rPr>
          <w:rFonts w:ascii="Calibri" w:hAnsi="Calibri"/>
          <w:bCs/>
        </w:rPr>
        <w:t xml:space="preserve">noted that </w:t>
      </w:r>
      <w:r w:rsidR="005E5484" w:rsidRPr="002815F4">
        <w:rPr>
          <w:rFonts w:ascii="Calibri" w:hAnsi="Calibri"/>
          <w:bCs/>
        </w:rPr>
        <w:t>it had reviewed actual 2014 audit practices for public-sector entities prior to reporting</w:t>
      </w:r>
      <w:r w:rsidR="006A3F47">
        <w:rPr>
          <w:rFonts w:ascii="Calibri" w:hAnsi="Calibri"/>
          <w:bCs/>
        </w:rPr>
        <w:t xml:space="preserve"> and for </w:t>
      </w:r>
      <w:r w:rsidR="005E5484" w:rsidRPr="002815F4">
        <w:rPr>
          <w:rFonts w:ascii="Calibri" w:hAnsi="Calibri"/>
          <w:bCs/>
        </w:rPr>
        <w:t xml:space="preserve">material companies as part of data collection. </w:t>
      </w:r>
      <w:r w:rsidR="0099469F" w:rsidRPr="002815F4">
        <w:rPr>
          <w:rFonts w:ascii="Calibri" w:hAnsi="Calibri"/>
          <w:bCs/>
        </w:rPr>
        <w:t xml:space="preserve">Several industry representatives noted that all material companies underwent regular annual audits by external auditors and that they considered </w:t>
      </w:r>
      <w:r w:rsidR="006A3F47">
        <w:rPr>
          <w:rFonts w:ascii="Calibri" w:hAnsi="Calibri"/>
          <w:bCs/>
        </w:rPr>
        <w:t xml:space="preserve">certification of EITI reporting templates by external auditors to be </w:t>
      </w:r>
      <w:r w:rsidR="0099469F" w:rsidRPr="002815F4">
        <w:rPr>
          <w:rFonts w:ascii="Calibri" w:hAnsi="Calibri"/>
          <w:bCs/>
        </w:rPr>
        <w:t xml:space="preserve">a duplication of effort. </w:t>
      </w:r>
      <w:r w:rsidR="006A3F47">
        <w:rPr>
          <w:rFonts w:ascii="Calibri" w:hAnsi="Calibri"/>
          <w:bCs/>
        </w:rPr>
        <w:t xml:space="preserve">Industry </w:t>
      </w:r>
      <w:r w:rsidR="00EB13AA" w:rsidRPr="002815F4">
        <w:rPr>
          <w:rFonts w:ascii="Calibri" w:hAnsi="Calibri"/>
          <w:bCs/>
        </w:rPr>
        <w:t xml:space="preserve">representatives confirmed that there were no confidentiality provisions in Senegal’s tax code. </w:t>
      </w:r>
      <w:r w:rsidR="005A194A" w:rsidRPr="002815F4">
        <w:rPr>
          <w:rFonts w:ascii="Calibri" w:hAnsi="Calibri"/>
          <w:bCs/>
        </w:rPr>
        <w:t xml:space="preserve">None of the civil society representatives consulted expressed any concern over audit practices by government or companies. </w:t>
      </w:r>
      <w:r w:rsidR="006C4B62" w:rsidRPr="002815F4">
        <w:rPr>
          <w:rFonts w:ascii="Calibri" w:hAnsi="Calibri"/>
          <w:bCs/>
        </w:rPr>
        <w:t xml:space="preserve">Government representatives confirmed that the annual CdC assessment of conformity of the government’s budget execution was always published on the CdC website, usually in July. </w:t>
      </w:r>
      <w:r w:rsidR="006A3F47">
        <w:rPr>
          <w:rFonts w:ascii="Calibri" w:hAnsi="Calibri"/>
          <w:bCs/>
        </w:rPr>
        <w:t>T</w:t>
      </w:r>
      <w:r w:rsidR="006C4B62" w:rsidRPr="002815F4">
        <w:rPr>
          <w:rFonts w:ascii="Calibri" w:hAnsi="Calibri"/>
          <w:bCs/>
        </w:rPr>
        <w:t xml:space="preserve">hey explained that while Petrosen had not been audited by the CdC since 2006, it was audited annually by external auditors, although these reports were not </w:t>
      </w:r>
      <w:r w:rsidR="006A3F47">
        <w:rPr>
          <w:rFonts w:ascii="Calibri" w:hAnsi="Calibri"/>
          <w:bCs/>
        </w:rPr>
        <w:t xml:space="preserve">yet </w:t>
      </w:r>
      <w:r w:rsidR="006C4B62" w:rsidRPr="002815F4">
        <w:rPr>
          <w:rFonts w:ascii="Calibri" w:hAnsi="Calibri"/>
          <w:bCs/>
        </w:rPr>
        <w:t xml:space="preserve">published since Petrosen’s website was still under construction. One government representative expressed concern that Petrosen’s audit reports could be misinterpreted if they were made public. Government representatives also explained that the CdC had not audited Miferso since 2000, although they planned to return to auditing SOEs every five years. </w:t>
      </w:r>
    </w:p>
    <w:p w14:paraId="19BC40CE" w14:textId="2063CA4D" w:rsidR="00805371" w:rsidRPr="002815F4" w:rsidRDefault="006C4B62">
      <w:pPr>
        <w:spacing w:before="120"/>
        <w:rPr>
          <w:rFonts w:ascii="Calibri" w:hAnsi="Calibri"/>
        </w:rPr>
      </w:pPr>
      <w:r w:rsidRPr="002815F4">
        <w:rPr>
          <w:rFonts w:ascii="Calibri" w:hAnsi="Calibri"/>
          <w:bCs/>
        </w:rPr>
        <w:t xml:space="preserve">In terms of routine assurances of government agencies, </w:t>
      </w:r>
      <w:r w:rsidR="00FA185D">
        <w:rPr>
          <w:rFonts w:ascii="Calibri" w:hAnsi="Calibri"/>
          <w:bCs/>
        </w:rPr>
        <w:t>government</w:t>
      </w:r>
      <w:r w:rsidR="00FA185D" w:rsidRPr="002815F4">
        <w:rPr>
          <w:rFonts w:ascii="Calibri" w:hAnsi="Calibri"/>
          <w:bCs/>
        </w:rPr>
        <w:t xml:space="preserve"> </w:t>
      </w:r>
      <w:r w:rsidRPr="002815F4">
        <w:rPr>
          <w:rFonts w:ascii="Calibri" w:hAnsi="Calibri"/>
          <w:bCs/>
        </w:rPr>
        <w:t>representatives highlighted the lack of disaggregation by taxpayer in the Treasury’s systems, although revenues were disaggregated by revenue flow. These representatives explained that the Treasury was currently planning reforms of its systems to allow for disaggregation by taxpayer, although this reform was still at the inception phase. Other government officials noted that the CdC only issued statements of conformity on budget execution, based on the reconciliation of revenues between collecting agencies and the Treasury, rather than full financial audits, although they emphasised that this was in line with practice in the rest of the UEMOA. The officials explained that Senegal’s CdC was a member of INTOSAI</w:t>
      </w:r>
      <w:r w:rsidR="0099469F" w:rsidRPr="002815F4">
        <w:rPr>
          <w:rFonts w:ascii="Calibri" w:hAnsi="Calibri"/>
          <w:bCs/>
        </w:rPr>
        <w:t xml:space="preserve"> and that it was moving towards full financial audits as part of its 2015-2018 strategic plan. While the CdC had received technical assistance from the World Bank, European Union and France in the past, it was not currently supported by any development partner, although </w:t>
      </w:r>
      <w:r w:rsidR="00FA185D">
        <w:rPr>
          <w:rFonts w:ascii="Calibri" w:hAnsi="Calibri"/>
          <w:bCs/>
        </w:rPr>
        <w:t xml:space="preserve">it was currently discussing possible support from </w:t>
      </w:r>
      <w:r w:rsidR="0099469F" w:rsidRPr="002815F4">
        <w:rPr>
          <w:rFonts w:ascii="Calibri" w:hAnsi="Calibri"/>
          <w:bCs/>
        </w:rPr>
        <w:t xml:space="preserve">Canada. One government official highlighted the CdC’s capacity constraints, with 18 magistrates and around 30 auditors, </w:t>
      </w:r>
      <w:r w:rsidR="00FA185D">
        <w:rPr>
          <w:rFonts w:ascii="Calibri" w:hAnsi="Calibri"/>
          <w:bCs/>
        </w:rPr>
        <w:t xml:space="preserve">and </w:t>
      </w:r>
      <w:r w:rsidR="0099469F" w:rsidRPr="002815F4">
        <w:rPr>
          <w:rFonts w:ascii="Calibri" w:hAnsi="Calibri"/>
          <w:bCs/>
        </w:rPr>
        <w:t xml:space="preserve">the lack of new recruitments since 2005. </w:t>
      </w:r>
    </w:p>
    <w:p w14:paraId="28E82D4E" w14:textId="7DF3556A" w:rsidR="00F23367" w:rsidRPr="002815F4" w:rsidRDefault="00F23367" w:rsidP="001030D3">
      <w:pPr>
        <w:spacing w:before="120"/>
        <w:rPr>
          <w:rFonts w:ascii="Calibri" w:hAnsi="Calibri"/>
          <w:bCs/>
        </w:rPr>
      </w:pPr>
      <w:r w:rsidRPr="002815F4">
        <w:rPr>
          <w:rFonts w:ascii="Calibri" w:hAnsi="Calibri"/>
          <w:bCs/>
          <w:i/>
          <w:u w:val="single"/>
        </w:rPr>
        <w:t>Quality assurance</w:t>
      </w:r>
      <w:r w:rsidRPr="002815F4">
        <w:rPr>
          <w:rFonts w:ascii="Calibri" w:hAnsi="Calibri"/>
          <w:bCs/>
        </w:rPr>
        <w:t xml:space="preserve">: </w:t>
      </w:r>
      <w:r w:rsidR="005C4D0C" w:rsidRPr="002815F4">
        <w:rPr>
          <w:rFonts w:ascii="Calibri" w:hAnsi="Calibri"/>
          <w:bCs/>
        </w:rPr>
        <w:t xml:space="preserve">All stakeholders expressed satisfaction at the quality assurance procedures agreed for </w:t>
      </w:r>
      <w:r w:rsidR="005C4D0C" w:rsidRPr="002815F4">
        <w:rPr>
          <w:rFonts w:ascii="Calibri" w:hAnsi="Calibri"/>
          <w:bCs/>
          <w:i/>
        </w:rPr>
        <w:t>government reporting</w:t>
      </w:r>
      <w:r w:rsidR="005C4D0C" w:rsidRPr="002815F4">
        <w:rPr>
          <w:rFonts w:ascii="Calibri" w:hAnsi="Calibri"/>
          <w:bCs/>
        </w:rPr>
        <w:t xml:space="preserve">. </w:t>
      </w:r>
      <w:r w:rsidR="00914C10" w:rsidRPr="002815F4">
        <w:rPr>
          <w:rFonts w:ascii="Calibri" w:hAnsi="Calibri"/>
          <w:bCs/>
        </w:rPr>
        <w:t xml:space="preserve">The IA and </w:t>
      </w:r>
      <w:r w:rsidR="004E1E1D" w:rsidRPr="002815F4">
        <w:rPr>
          <w:rFonts w:ascii="Calibri" w:hAnsi="Calibri"/>
          <w:bCs/>
        </w:rPr>
        <w:t xml:space="preserve">MSG members confirmed </w:t>
      </w:r>
      <w:r w:rsidR="00914C10" w:rsidRPr="002815F4">
        <w:rPr>
          <w:rFonts w:ascii="Calibri" w:hAnsi="Calibri"/>
          <w:bCs/>
        </w:rPr>
        <w:t xml:space="preserve">that </w:t>
      </w:r>
      <w:r w:rsidR="004E1E1D" w:rsidRPr="002815F4">
        <w:rPr>
          <w:rFonts w:ascii="Calibri" w:hAnsi="Calibri"/>
          <w:bCs/>
        </w:rPr>
        <w:t xml:space="preserve">they had consulted with the CdC in developing agreed procedures for certification of government reporting. </w:t>
      </w:r>
      <w:r w:rsidR="00AE5A83" w:rsidRPr="002815F4">
        <w:rPr>
          <w:rFonts w:ascii="Calibri" w:hAnsi="Calibri"/>
          <w:bCs/>
        </w:rPr>
        <w:t xml:space="preserve">Although </w:t>
      </w:r>
      <w:r w:rsidR="00FA185D">
        <w:rPr>
          <w:rFonts w:ascii="Calibri" w:hAnsi="Calibri"/>
          <w:bCs/>
        </w:rPr>
        <w:t>some</w:t>
      </w:r>
      <w:r w:rsidR="00FA185D" w:rsidRPr="002815F4">
        <w:rPr>
          <w:rFonts w:ascii="Calibri" w:hAnsi="Calibri"/>
          <w:bCs/>
        </w:rPr>
        <w:t xml:space="preserve"> </w:t>
      </w:r>
      <w:r w:rsidR="00AE5A83" w:rsidRPr="002815F4">
        <w:rPr>
          <w:rFonts w:ascii="Calibri" w:hAnsi="Calibri"/>
          <w:bCs/>
        </w:rPr>
        <w:t xml:space="preserve">industry representatives expressed general scepticism about the speed </w:t>
      </w:r>
      <w:r w:rsidR="00FA185D">
        <w:rPr>
          <w:rFonts w:ascii="Calibri" w:hAnsi="Calibri"/>
          <w:bCs/>
        </w:rPr>
        <w:t xml:space="preserve">of </w:t>
      </w:r>
      <w:r w:rsidR="00AE5A83" w:rsidRPr="002815F4">
        <w:rPr>
          <w:rFonts w:ascii="Calibri" w:hAnsi="Calibri"/>
          <w:bCs/>
        </w:rPr>
        <w:t>the CdC</w:t>
      </w:r>
      <w:r w:rsidR="00FA185D">
        <w:rPr>
          <w:rFonts w:ascii="Calibri" w:hAnsi="Calibri"/>
          <w:bCs/>
        </w:rPr>
        <w:t>’s</w:t>
      </w:r>
      <w:r w:rsidR="00AE5A83" w:rsidRPr="002815F4">
        <w:rPr>
          <w:rFonts w:ascii="Calibri" w:hAnsi="Calibri"/>
          <w:bCs/>
        </w:rPr>
        <w:t xml:space="preserve"> certification of government reporting templates, they did not express any specific doubts about the quality of the CdC’s </w:t>
      </w:r>
      <w:r w:rsidR="00FA185D">
        <w:rPr>
          <w:rFonts w:ascii="Calibri" w:hAnsi="Calibri"/>
          <w:bCs/>
        </w:rPr>
        <w:t xml:space="preserve">EITI </w:t>
      </w:r>
      <w:r w:rsidR="00AE5A83" w:rsidRPr="002815F4">
        <w:rPr>
          <w:rFonts w:ascii="Calibri" w:hAnsi="Calibri"/>
          <w:bCs/>
        </w:rPr>
        <w:t xml:space="preserve">work. </w:t>
      </w:r>
      <w:r w:rsidR="00B350F3" w:rsidRPr="002815F4">
        <w:rPr>
          <w:rFonts w:ascii="Calibri" w:hAnsi="Calibri"/>
          <w:bCs/>
        </w:rPr>
        <w:t xml:space="preserve">Despite the CdC’s inability to reconcile revenues disaggregated by taxpayer, given the lack of disaggregation in Treasury systems, all stakeholders consulted considered that the CdC’s approach to </w:t>
      </w:r>
      <w:r w:rsidR="00B350F3" w:rsidRPr="002815F4">
        <w:rPr>
          <w:rFonts w:ascii="Calibri" w:hAnsi="Calibri"/>
          <w:bCs/>
        </w:rPr>
        <w:lastRenderedPageBreak/>
        <w:t xml:space="preserve">certification provided strong quality assurance. Several government representatives highlighted the importance of the CdC’s statutory independence from the executive branch of government, in contrast to other options for EITI certification involving the IGF or IGE. These officials explained that the CdC </w:t>
      </w:r>
      <w:r w:rsidR="00FA185D">
        <w:rPr>
          <w:rFonts w:ascii="Calibri" w:hAnsi="Calibri"/>
          <w:bCs/>
        </w:rPr>
        <w:t xml:space="preserve">was in the process of prolonging the </w:t>
      </w:r>
      <w:r w:rsidR="00B350F3" w:rsidRPr="002815F4">
        <w:rPr>
          <w:rFonts w:ascii="Calibri" w:hAnsi="Calibri"/>
          <w:bCs/>
        </w:rPr>
        <w:t xml:space="preserve">MoU with EITI Senegal </w:t>
      </w:r>
      <w:r w:rsidR="00FA185D">
        <w:rPr>
          <w:rFonts w:ascii="Calibri" w:hAnsi="Calibri"/>
          <w:bCs/>
        </w:rPr>
        <w:t xml:space="preserve">to cover </w:t>
      </w:r>
      <w:r w:rsidR="00B350F3" w:rsidRPr="002815F4">
        <w:rPr>
          <w:rFonts w:ascii="Calibri" w:hAnsi="Calibri"/>
          <w:bCs/>
        </w:rPr>
        <w:t xml:space="preserve">all future EITI Reports. The officials also explained that the CdC had only been able to certify the reporting of the three main revenue-collecting government entities given that other government </w:t>
      </w:r>
      <w:r w:rsidR="002815F4" w:rsidRPr="002815F4">
        <w:rPr>
          <w:rFonts w:ascii="Calibri" w:hAnsi="Calibri"/>
          <w:bCs/>
        </w:rPr>
        <w:t>agencies</w:t>
      </w:r>
      <w:r w:rsidR="00B350F3" w:rsidRPr="002815F4">
        <w:rPr>
          <w:rFonts w:ascii="Calibri" w:hAnsi="Calibri"/>
          <w:bCs/>
        </w:rPr>
        <w:t xml:space="preserve"> had not provided signed hard copies of their EITI reporting templates</w:t>
      </w:r>
      <w:r w:rsidR="00FA185D">
        <w:rPr>
          <w:rFonts w:ascii="Calibri" w:hAnsi="Calibri"/>
          <w:bCs/>
        </w:rPr>
        <w:t>, although</w:t>
      </w:r>
      <w:r w:rsidR="00B350F3" w:rsidRPr="002815F4">
        <w:rPr>
          <w:rFonts w:ascii="Calibri" w:hAnsi="Calibri"/>
          <w:bCs/>
        </w:rPr>
        <w:t xml:space="preserve"> </w:t>
      </w:r>
      <w:r w:rsidR="00FA185D">
        <w:rPr>
          <w:rFonts w:ascii="Calibri" w:hAnsi="Calibri"/>
          <w:bCs/>
        </w:rPr>
        <w:t xml:space="preserve">they </w:t>
      </w:r>
      <w:r w:rsidR="00B350F3" w:rsidRPr="002815F4">
        <w:rPr>
          <w:rFonts w:ascii="Calibri" w:hAnsi="Calibri"/>
          <w:bCs/>
        </w:rPr>
        <w:t>expected th</w:t>
      </w:r>
      <w:r w:rsidR="00FA185D">
        <w:rPr>
          <w:rFonts w:ascii="Calibri" w:hAnsi="Calibri"/>
          <w:bCs/>
        </w:rPr>
        <w:t>e</w:t>
      </w:r>
      <w:r w:rsidR="00B350F3" w:rsidRPr="002815F4">
        <w:rPr>
          <w:rFonts w:ascii="Calibri" w:hAnsi="Calibri"/>
          <w:bCs/>
        </w:rPr>
        <w:t xml:space="preserve"> situation to </w:t>
      </w:r>
      <w:r w:rsidR="00FA185D">
        <w:rPr>
          <w:rFonts w:ascii="Calibri" w:hAnsi="Calibri"/>
          <w:bCs/>
        </w:rPr>
        <w:t xml:space="preserve">improve as all </w:t>
      </w:r>
      <w:r w:rsidR="00B350F3" w:rsidRPr="002815F4">
        <w:rPr>
          <w:rFonts w:ascii="Calibri" w:hAnsi="Calibri"/>
          <w:bCs/>
        </w:rPr>
        <w:t xml:space="preserve">government entities now understood the need to provide signed hard copies of their templates to the CdC. The IA and government entities explained that </w:t>
      </w:r>
      <w:r w:rsidR="00FA185D">
        <w:rPr>
          <w:rFonts w:ascii="Calibri" w:hAnsi="Calibri"/>
          <w:bCs/>
        </w:rPr>
        <w:t>the majority of</w:t>
      </w:r>
      <w:r w:rsidR="00B350F3" w:rsidRPr="002815F4">
        <w:rPr>
          <w:rFonts w:ascii="Calibri" w:hAnsi="Calibri"/>
          <w:bCs/>
        </w:rPr>
        <w:t xml:space="preserve"> government revenues disclosed for EITI reporting purposes had received the CdC’s certification. </w:t>
      </w:r>
      <w:r w:rsidR="00FB7299" w:rsidRPr="002815F4">
        <w:rPr>
          <w:rFonts w:ascii="Calibri" w:hAnsi="Calibri"/>
          <w:bCs/>
        </w:rPr>
        <w:t xml:space="preserve">All stakeholders </w:t>
      </w:r>
      <w:r w:rsidR="00FA185D">
        <w:rPr>
          <w:rFonts w:ascii="Calibri" w:hAnsi="Calibri"/>
          <w:bCs/>
        </w:rPr>
        <w:t>highlighted</w:t>
      </w:r>
      <w:r w:rsidR="00FA185D" w:rsidRPr="002815F4">
        <w:rPr>
          <w:rFonts w:ascii="Calibri" w:hAnsi="Calibri"/>
          <w:bCs/>
        </w:rPr>
        <w:t xml:space="preserve"> </w:t>
      </w:r>
      <w:r w:rsidR="00FB7299" w:rsidRPr="002815F4">
        <w:rPr>
          <w:rFonts w:ascii="Calibri" w:hAnsi="Calibri"/>
          <w:bCs/>
        </w:rPr>
        <w:t xml:space="preserve">that the CdC had certified the exceptional Mittal payment, even though this had not been included in the scope of reconciliation. </w:t>
      </w:r>
      <w:r w:rsidR="00B350F3" w:rsidRPr="002815F4">
        <w:rPr>
          <w:rFonts w:ascii="Calibri" w:hAnsi="Calibri"/>
          <w:bCs/>
        </w:rPr>
        <w:t xml:space="preserve">Despite the </w:t>
      </w:r>
      <w:r w:rsidR="00FA185D">
        <w:rPr>
          <w:rFonts w:ascii="Calibri" w:hAnsi="Calibri"/>
          <w:bCs/>
        </w:rPr>
        <w:t xml:space="preserve">timing </w:t>
      </w:r>
      <w:r w:rsidR="00B350F3" w:rsidRPr="002815F4">
        <w:rPr>
          <w:rFonts w:ascii="Calibri" w:hAnsi="Calibri"/>
          <w:bCs/>
        </w:rPr>
        <w:t xml:space="preserve">issues of the CdC’s certification, which was conducted on the basis of initial government reporting without taking account of </w:t>
      </w:r>
      <w:r w:rsidR="00FA185D">
        <w:rPr>
          <w:rFonts w:ascii="Calibri" w:hAnsi="Calibri"/>
          <w:bCs/>
        </w:rPr>
        <w:t xml:space="preserve">reconciliation </w:t>
      </w:r>
      <w:r w:rsidR="00B350F3" w:rsidRPr="002815F4">
        <w:rPr>
          <w:rFonts w:ascii="Calibri" w:hAnsi="Calibri"/>
          <w:bCs/>
        </w:rPr>
        <w:t xml:space="preserve">adjustments, the IA and MSG members did not express any concerns over the approach adopted by the CdC and </w:t>
      </w:r>
      <w:r w:rsidR="00FA185D">
        <w:rPr>
          <w:rFonts w:ascii="Calibri" w:hAnsi="Calibri"/>
          <w:bCs/>
        </w:rPr>
        <w:t>noted</w:t>
      </w:r>
      <w:r w:rsidR="00FA185D" w:rsidRPr="002815F4">
        <w:rPr>
          <w:rFonts w:ascii="Calibri" w:hAnsi="Calibri"/>
          <w:bCs/>
        </w:rPr>
        <w:t xml:space="preserve"> </w:t>
      </w:r>
      <w:r w:rsidR="00B350F3" w:rsidRPr="002815F4">
        <w:rPr>
          <w:rFonts w:ascii="Calibri" w:hAnsi="Calibri"/>
          <w:bCs/>
        </w:rPr>
        <w:t xml:space="preserve">that reporting entities would </w:t>
      </w:r>
      <w:r w:rsidR="00FA185D">
        <w:rPr>
          <w:rFonts w:ascii="Calibri" w:hAnsi="Calibri"/>
          <w:bCs/>
        </w:rPr>
        <w:t>liaise</w:t>
      </w:r>
      <w:r w:rsidR="00FA185D" w:rsidRPr="002815F4">
        <w:rPr>
          <w:rFonts w:ascii="Calibri" w:hAnsi="Calibri"/>
          <w:bCs/>
        </w:rPr>
        <w:t xml:space="preserve"> </w:t>
      </w:r>
      <w:r w:rsidR="00B350F3" w:rsidRPr="002815F4">
        <w:rPr>
          <w:rFonts w:ascii="Calibri" w:hAnsi="Calibri"/>
          <w:bCs/>
        </w:rPr>
        <w:t xml:space="preserve">more closely with the CdC in future EITI Reports. </w:t>
      </w:r>
      <w:r w:rsidR="004E5388" w:rsidRPr="002815F4">
        <w:rPr>
          <w:rFonts w:ascii="Calibri" w:hAnsi="Calibri"/>
          <w:bCs/>
        </w:rPr>
        <w:t xml:space="preserve">Secretariat staff highlighted the importance of the EITI to support CdC reforms in its oversight of </w:t>
      </w:r>
      <w:r w:rsidR="002815F4" w:rsidRPr="002815F4">
        <w:rPr>
          <w:rFonts w:ascii="Calibri" w:hAnsi="Calibri"/>
          <w:bCs/>
        </w:rPr>
        <w:t>extractives</w:t>
      </w:r>
      <w:r w:rsidR="004E5388" w:rsidRPr="002815F4">
        <w:rPr>
          <w:rFonts w:ascii="Calibri" w:hAnsi="Calibri"/>
          <w:bCs/>
        </w:rPr>
        <w:t xml:space="preserve"> </w:t>
      </w:r>
      <w:r w:rsidR="002815F4" w:rsidRPr="002815F4">
        <w:rPr>
          <w:rFonts w:ascii="Calibri" w:hAnsi="Calibri"/>
          <w:bCs/>
        </w:rPr>
        <w:t>revenues</w:t>
      </w:r>
      <w:r w:rsidR="004E5388" w:rsidRPr="002815F4">
        <w:rPr>
          <w:rFonts w:ascii="Calibri" w:hAnsi="Calibri"/>
          <w:bCs/>
        </w:rPr>
        <w:t xml:space="preserve"> and its position within INTOSAI. </w:t>
      </w:r>
      <w:r w:rsidR="00D0559D" w:rsidRPr="002815F4">
        <w:rPr>
          <w:rFonts w:ascii="Calibri" w:hAnsi="Calibri"/>
          <w:bCs/>
        </w:rPr>
        <w:t xml:space="preserve">Representatives of government entities receiving off-budget revenues and not audited by the CdC expressed </w:t>
      </w:r>
      <w:r w:rsidR="002815F4" w:rsidRPr="002815F4">
        <w:rPr>
          <w:rFonts w:ascii="Calibri" w:hAnsi="Calibri"/>
          <w:bCs/>
        </w:rPr>
        <w:t>dissatisfaction</w:t>
      </w:r>
      <w:r w:rsidR="00D0559D" w:rsidRPr="002815F4">
        <w:rPr>
          <w:rFonts w:ascii="Calibri" w:hAnsi="Calibri"/>
          <w:bCs/>
        </w:rPr>
        <w:t xml:space="preserve"> at the requirement for them to provide letters from their external auditors certifying their EITI reporting templates</w:t>
      </w:r>
      <w:r w:rsidR="00FA185D">
        <w:rPr>
          <w:rFonts w:ascii="Calibri" w:hAnsi="Calibri"/>
          <w:bCs/>
        </w:rPr>
        <w:t xml:space="preserve">, </w:t>
      </w:r>
      <w:r w:rsidR="00D0559D" w:rsidRPr="002815F4">
        <w:rPr>
          <w:rFonts w:ascii="Calibri" w:hAnsi="Calibri"/>
          <w:bCs/>
        </w:rPr>
        <w:t>consider</w:t>
      </w:r>
      <w:r w:rsidR="00FA185D">
        <w:rPr>
          <w:rFonts w:ascii="Calibri" w:hAnsi="Calibri"/>
          <w:bCs/>
        </w:rPr>
        <w:t>ing that</w:t>
      </w:r>
      <w:r w:rsidR="00D0559D" w:rsidRPr="002815F4">
        <w:rPr>
          <w:rFonts w:ascii="Calibri" w:hAnsi="Calibri"/>
          <w:bCs/>
        </w:rPr>
        <w:t xml:space="preserve"> this represent</w:t>
      </w:r>
      <w:r w:rsidR="00FA185D">
        <w:rPr>
          <w:rFonts w:ascii="Calibri" w:hAnsi="Calibri"/>
          <w:bCs/>
        </w:rPr>
        <w:t>ed</w:t>
      </w:r>
      <w:r w:rsidR="00D0559D" w:rsidRPr="002815F4">
        <w:rPr>
          <w:rFonts w:ascii="Calibri" w:hAnsi="Calibri"/>
          <w:bCs/>
        </w:rPr>
        <w:t xml:space="preserve"> a duplication of </w:t>
      </w:r>
      <w:r w:rsidR="00FA185D">
        <w:rPr>
          <w:rFonts w:ascii="Calibri" w:hAnsi="Calibri"/>
          <w:bCs/>
        </w:rPr>
        <w:t xml:space="preserve">the routine auditing </w:t>
      </w:r>
      <w:r w:rsidR="00D0559D" w:rsidRPr="002815F4">
        <w:rPr>
          <w:rFonts w:ascii="Calibri" w:hAnsi="Calibri"/>
          <w:bCs/>
        </w:rPr>
        <w:t>work</w:t>
      </w:r>
      <w:r w:rsidR="00FA185D">
        <w:rPr>
          <w:rFonts w:ascii="Calibri" w:hAnsi="Calibri"/>
          <w:bCs/>
        </w:rPr>
        <w:t xml:space="preserve"> of their </w:t>
      </w:r>
      <w:r w:rsidR="00D0559D" w:rsidRPr="002815F4">
        <w:rPr>
          <w:rFonts w:ascii="Calibri" w:hAnsi="Calibri"/>
          <w:bCs/>
        </w:rPr>
        <w:t xml:space="preserve">external auditors. </w:t>
      </w:r>
    </w:p>
    <w:p w14:paraId="3924889D" w14:textId="6FC8AC40" w:rsidR="000D0EE0" w:rsidRPr="002815F4" w:rsidRDefault="00FA185D" w:rsidP="007474FE">
      <w:pPr>
        <w:spacing w:before="120"/>
        <w:rPr>
          <w:rFonts w:ascii="Calibri" w:hAnsi="Calibri"/>
        </w:rPr>
      </w:pPr>
      <w:r>
        <w:rPr>
          <w:rFonts w:ascii="Calibri" w:hAnsi="Calibri"/>
        </w:rPr>
        <w:t>This concern was echoed by several industry representatives i</w:t>
      </w:r>
      <w:r w:rsidR="00AE5A83" w:rsidRPr="002815F4">
        <w:rPr>
          <w:rFonts w:ascii="Calibri" w:hAnsi="Calibri"/>
        </w:rPr>
        <w:t xml:space="preserve">n terms of quality assurance for </w:t>
      </w:r>
      <w:r w:rsidR="00AE5A83" w:rsidRPr="002815F4">
        <w:rPr>
          <w:rFonts w:ascii="Calibri" w:hAnsi="Calibri"/>
          <w:i/>
        </w:rPr>
        <w:t>company reporting</w:t>
      </w:r>
      <w:r w:rsidR="00D0559D" w:rsidRPr="002815F4">
        <w:rPr>
          <w:rFonts w:ascii="Calibri" w:hAnsi="Calibri"/>
        </w:rPr>
        <w:t>. Highlighting that they were already audited to international standards, albeit on an accrual-accounting basis, these representatives considered that sign-off from a senior management certifying that their cash-based EITI reporting was consistent with their</w:t>
      </w:r>
      <w:r w:rsidR="00D0559D" w:rsidRPr="002815F4">
        <w:rPr>
          <w:rFonts w:ascii="Calibri" w:hAnsi="Calibri"/>
          <w:b/>
        </w:rPr>
        <w:t xml:space="preserve"> </w:t>
      </w:r>
      <w:r w:rsidR="00D0559D" w:rsidRPr="002815F4">
        <w:rPr>
          <w:rFonts w:ascii="Calibri" w:hAnsi="Calibri"/>
        </w:rPr>
        <w:t xml:space="preserve">accrual-based audited financial statements would have been sufficient to provide robust assurances for their EITI reporting. </w:t>
      </w:r>
      <w:r w:rsidR="00AE5A83" w:rsidRPr="002815F4">
        <w:rPr>
          <w:rFonts w:ascii="Calibri" w:hAnsi="Calibri"/>
        </w:rPr>
        <w:t>While the</w:t>
      </w:r>
      <w:r>
        <w:rPr>
          <w:rFonts w:ascii="Calibri" w:hAnsi="Calibri"/>
        </w:rPr>
        <w:t>y</w:t>
      </w:r>
      <w:r w:rsidR="00AE5A83" w:rsidRPr="002815F4">
        <w:rPr>
          <w:rFonts w:ascii="Calibri" w:hAnsi="Calibri"/>
        </w:rPr>
        <w:t xml:space="preserve"> explained that they had voiced these concerns when discussing different options for quality assurance for the 2014 EITI Report, they conceded that the Chamber of Mines had not presented a united front on the issue and that the MSG’s decision on quality assurances was taken by consensus. One company representative explained that the Minister of Mines had been </w:t>
      </w:r>
      <w:r>
        <w:rPr>
          <w:rFonts w:ascii="Calibri" w:hAnsi="Calibri"/>
        </w:rPr>
        <w:t>particularly proactive</w:t>
      </w:r>
      <w:r w:rsidR="00AE5A83" w:rsidRPr="002815F4">
        <w:rPr>
          <w:rFonts w:ascii="Calibri" w:hAnsi="Calibri"/>
        </w:rPr>
        <w:t xml:space="preserve"> in encouraging companies to comply with the quality assurance procedures. While certain companies considered that their external auditors’ certification of their EITI reporting templates had cost them the equivalent of a new audit of their annual accounts, or roughly USD 10,000, secretariat staff considered that the cost was closer to USD 3,000 per company. Several company representatives called for the inclusion of certification of EITI reporting templates in their regular annual audits, although some expressed concern that they would be unable to reduce the cost of the additional work by their external auditors since they had already demonstrated their willingness to pay the extra cost for the 2014 EITI Report. Secretariat staff noted that certain companies like Capricorn had included certification of their EITI reporting templates as part of their regular 2014 audit, although they had been forced to use the 2013 reporting templates given that the 2014 templates had not yet been agreed when the company undertook its </w:t>
      </w:r>
      <w:r>
        <w:rPr>
          <w:rFonts w:ascii="Calibri" w:hAnsi="Calibri"/>
        </w:rPr>
        <w:t xml:space="preserve">annual </w:t>
      </w:r>
      <w:r w:rsidR="00AE5A83" w:rsidRPr="002815F4">
        <w:rPr>
          <w:rFonts w:ascii="Calibri" w:hAnsi="Calibri"/>
        </w:rPr>
        <w:t xml:space="preserve">audit in </w:t>
      </w:r>
      <w:r>
        <w:rPr>
          <w:rFonts w:ascii="Calibri" w:hAnsi="Calibri"/>
        </w:rPr>
        <w:t>2015</w:t>
      </w:r>
      <w:r w:rsidR="00AE5A83" w:rsidRPr="002815F4">
        <w:rPr>
          <w:rFonts w:ascii="Calibri" w:hAnsi="Calibri"/>
        </w:rPr>
        <w:t xml:space="preserve">. However, secretariat staff explained that the company was then able to fill out the new reporting templates while keeping their external auditor’s certification, given that the </w:t>
      </w:r>
      <w:r>
        <w:rPr>
          <w:rFonts w:ascii="Calibri" w:hAnsi="Calibri"/>
        </w:rPr>
        <w:t xml:space="preserve">reporting templates covered </w:t>
      </w:r>
      <w:r>
        <w:rPr>
          <w:rFonts w:ascii="Calibri" w:hAnsi="Calibri"/>
        </w:rPr>
        <w:lastRenderedPageBreak/>
        <w:t xml:space="preserve">the same major </w:t>
      </w:r>
      <w:r w:rsidR="00AE5A83" w:rsidRPr="002815F4">
        <w:rPr>
          <w:rFonts w:ascii="Calibri" w:hAnsi="Calibri"/>
        </w:rPr>
        <w:t xml:space="preserve">payment flows. </w:t>
      </w:r>
    </w:p>
    <w:p w14:paraId="7B0C0798" w14:textId="57BF178D" w:rsidR="00AE5A83" w:rsidRPr="002815F4" w:rsidRDefault="00EB13AA" w:rsidP="007474FE">
      <w:pPr>
        <w:spacing w:before="120"/>
        <w:rPr>
          <w:rFonts w:ascii="Calibri" w:hAnsi="Calibri"/>
        </w:rPr>
      </w:pPr>
      <w:r w:rsidRPr="002815F4">
        <w:rPr>
          <w:rFonts w:ascii="Calibri" w:hAnsi="Calibri"/>
        </w:rPr>
        <w:t>All stakeholders consulted confirmed that all reporting entities had provided the required quality assurances for their EITI reporting, aside from one oil and gas company</w:t>
      </w:r>
      <w:r w:rsidR="00FA185D">
        <w:rPr>
          <w:rStyle w:val="FootnoteReference"/>
          <w:rFonts w:ascii="Calibri" w:hAnsi="Calibri"/>
        </w:rPr>
        <w:footnoteReference w:id="81"/>
      </w:r>
      <w:r w:rsidRPr="002815F4">
        <w:rPr>
          <w:rFonts w:ascii="Calibri" w:hAnsi="Calibri"/>
        </w:rPr>
        <w:t xml:space="preserve"> based in Nigeria with no office in Senegal. </w:t>
      </w:r>
      <w:r w:rsidR="00F63FEB">
        <w:rPr>
          <w:rFonts w:ascii="Calibri" w:hAnsi="Calibri"/>
        </w:rPr>
        <w:t>T</w:t>
      </w:r>
      <w:r w:rsidRPr="002815F4">
        <w:rPr>
          <w:rFonts w:ascii="Calibri" w:hAnsi="Calibri"/>
        </w:rPr>
        <w:t>he IA and MSG members noted the challenges in following up with the company given its lack of operational presence in Senegal</w:t>
      </w:r>
      <w:r w:rsidR="00C135D4">
        <w:rPr>
          <w:rFonts w:ascii="Calibri" w:hAnsi="Calibri"/>
        </w:rPr>
        <w:t xml:space="preserve"> but noted </w:t>
      </w:r>
      <w:r w:rsidRPr="002815F4">
        <w:rPr>
          <w:rFonts w:ascii="Calibri" w:hAnsi="Calibri"/>
        </w:rPr>
        <w:t>the low level of payments from this company</w:t>
      </w:r>
      <w:r w:rsidR="0080241B">
        <w:rPr>
          <w:rFonts w:ascii="Calibri" w:hAnsi="Calibri"/>
        </w:rPr>
        <w:t>, with</w:t>
      </w:r>
      <w:r w:rsidRPr="002815F4">
        <w:rPr>
          <w:rFonts w:ascii="Calibri" w:hAnsi="Calibri"/>
        </w:rPr>
        <w:t xml:space="preserve"> the IA confirm</w:t>
      </w:r>
      <w:r w:rsidR="0080241B">
        <w:rPr>
          <w:rFonts w:ascii="Calibri" w:hAnsi="Calibri"/>
        </w:rPr>
        <w:t>ing</w:t>
      </w:r>
      <w:r w:rsidRPr="002815F4">
        <w:rPr>
          <w:rFonts w:ascii="Calibri" w:hAnsi="Calibri"/>
        </w:rPr>
        <w:t xml:space="preserve"> that th</w:t>
      </w:r>
      <w:r w:rsidR="0080241B">
        <w:rPr>
          <w:rFonts w:ascii="Calibri" w:hAnsi="Calibri"/>
        </w:rPr>
        <w:t>e</w:t>
      </w:r>
      <w:r w:rsidRPr="002815F4">
        <w:rPr>
          <w:rFonts w:ascii="Calibri" w:hAnsi="Calibri"/>
        </w:rPr>
        <w:t xml:space="preserve"> omission had not affected the overall reliability of reconciled data. </w:t>
      </w:r>
    </w:p>
    <w:p w14:paraId="03DC879D" w14:textId="58F7723C" w:rsidR="00F23367" w:rsidRPr="002815F4" w:rsidRDefault="00EB13AA" w:rsidP="001030D3">
      <w:pPr>
        <w:spacing w:before="120"/>
        <w:rPr>
          <w:rFonts w:ascii="Calibri" w:hAnsi="Calibri"/>
          <w:bCs/>
        </w:rPr>
      </w:pPr>
      <w:r w:rsidRPr="002815F4">
        <w:rPr>
          <w:rFonts w:ascii="Calibri" w:hAnsi="Calibri"/>
          <w:i/>
          <w:u w:val="single"/>
        </w:rPr>
        <w:t>Confidentiality</w:t>
      </w:r>
      <w:r w:rsidRPr="002815F4">
        <w:rPr>
          <w:rFonts w:ascii="Calibri" w:hAnsi="Calibri"/>
        </w:rPr>
        <w:t>: The IA explained that, while there were no specific confidentiality provisions agreed to preserve the confidentiality of reported financial information pre-reconciliation, it had followed its usual internal procedures</w:t>
      </w:r>
      <w:r w:rsidR="008D5615">
        <w:rPr>
          <w:rFonts w:ascii="Calibri" w:hAnsi="Calibri"/>
        </w:rPr>
        <w:t xml:space="preserve"> and </w:t>
      </w:r>
      <w:r w:rsidR="008D5615" w:rsidRPr="002815F4">
        <w:rPr>
          <w:rFonts w:ascii="Calibri" w:hAnsi="Calibri"/>
        </w:rPr>
        <w:t>that none of the reporting entities had raised any concerns about confidentiality</w:t>
      </w:r>
      <w:r w:rsidR="008D5615">
        <w:rPr>
          <w:rFonts w:ascii="Calibri" w:hAnsi="Calibri"/>
        </w:rPr>
        <w:t xml:space="preserve"> of their reported information</w:t>
      </w:r>
      <w:r w:rsidRPr="002815F4">
        <w:rPr>
          <w:rFonts w:ascii="Calibri" w:hAnsi="Calibri"/>
        </w:rPr>
        <w:t xml:space="preserve">. These included its corporate adherence to the industry’s code of ethics and the signing of non-disclosure agreements between individual staff members and the firm (Moore Stephens). </w:t>
      </w:r>
    </w:p>
    <w:p w14:paraId="5941945F" w14:textId="0EB1A9E3" w:rsidR="00F23367" w:rsidRPr="002815F4" w:rsidRDefault="00D90CE1" w:rsidP="001030D3">
      <w:pPr>
        <w:spacing w:before="120"/>
        <w:rPr>
          <w:rFonts w:ascii="Calibri" w:hAnsi="Calibri"/>
          <w:bCs/>
        </w:rPr>
      </w:pPr>
      <w:r w:rsidRPr="002815F4">
        <w:rPr>
          <w:rFonts w:ascii="Calibri" w:hAnsi="Calibri"/>
          <w:bCs/>
          <w:i/>
          <w:u w:val="single"/>
        </w:rPr>
        <w:t>Data reliability</w:t>
      </w:r>
      <w:r w:rsidRPr="002815F4">
        <w:rPr>
          <w:rFonts w:ascii="Calibri" w:hAnsi="Calibri"/>
          <w:bCs/>
        </w:rPr>
        <w:t>:</w:t>
      </w:r>
      <w:r w:rsidR="00EB13AA" w:rsidRPr="002815F4">
        <w:rPr>
          <w:rFonts w:ascii="Calibri" w:hAnsi="Calibri"/>
          <w:bCs/>
        </w:rPr>
        <w:t xml:space="preserve"> All stakeholders consulted, including civil society</w:t>
      </w:r>
      <w:r w:rsidR="006D4E9B" w:rsidRPr="002815F4">
        <w:rPr>
          <w:rFonts w:ascii="Calibri" w:hAnsi="Calibri"/>
          <w:bCs/>
        </w:rPr>
        <w:t>, parliamentarians and journalists</w:t>
      </w:r>
      <w:r w:rsidR="00EB13AA" w:rsidRPr="002815F4">
        <w:rPr>
          <w:rFonts w:ascii="Calibri" w:hAnsi="Calibri"/>
          <w:bCs/>
        </w:rPr>
        <w:t xml:space="preserve">, expressed satisfaction over the comprehensiveness and reliability of data in the 2014 EITI Report, particularly in comparison to the 2013 EITI Report. Several government and industry representatives explained that </w:t>
      </w:r>
      <w:r w:rsidR="008D5615">
        <w:rPr>
          <w:rFonts w:ascii="Calibri" w:hAnsi="Calibri"/>
          <w:bCs/>
        </w:rPr>
        <w:t xml:space="preserve">past misunderstandings about </w:t>
      </w:r>
      <w:r w:rsidR="00EB13AA" w:rsidRPr="002815F4">
        <w:rPr>
          <w:rFonts w:ascii="Calibri" w:hAnsi="Calibri"/>
          <w:bCs/>
        </w:rPr>
        <w:t xml:space="preserve">quality assurance </w:t>
      </w:r>
      <w:r w:rsidR="008D5615">
        <w:rPr>
          <w:rFonts w:ascii="Calibri" w:hAnsi="Calibri"/>
          <w:bCs/>
        </w:rPr>
        <w:t xml:space="preserve">by </w:t>
      </w:r>
      <w:r w:rsidR="00EB13AA" w:rsidRPr="002815F4">
        <w:rPr>
          <w:rFonts w:ascii="Calibri" w:hAnsi="Calibri"/>
          <w:bCs/>
        </w:rPr>
        <w:t xml:space="preserve">reporting entities </w:t>
      </w:r>
      <w:r w:rsidR="008D5615">
        <w:rPr>
          <w:rFonts w:ascii="Calibri" w:hAnsi="Calibri"/>
          <w:bCs/>
        </w:rPr>
        <w:t>had now been resolved</w:t>
      </w:r>
      <w:r w:rsidR="00EB13AA" w:rsidRPr="002815F4">
        <w:rPr>
          <w:rFonts w:ascii="Calibri" w:hAnsi="Calibri"/>
          <w:bCs/>
        </w:rPr>
        <w:t xml:space="preserve">. </w:t>
      </w:r>
      <w:r w:rsidR="006D4E9B" w:rsidRPr="002815F4">
        <w:rPr>
          <w:rFonts w:ascii="Calibri" w:hAnsi="Calibri"/>
          <w:bCs/>
        </w:rPr>
        <w:t xml:space="preserve">All MSG members also expressed satisfaction at the quality of the contextual information in the 2014 EITI Report, </w:t>
      </w:r>
      <w:r w:rsidR="008D5615">
        <w:rPr>
          <w:rFonts w:ascii="Calibri" w:hAnsi="Calibri"/>
          <w:bCs/>
        </w:rPr>
        <w:t>highlighting the input of</w:t>
      </w:r>
      <w:r w:rsidR="006D4E9B" w:rsidRPr="002815F4">
        <w:rPr>
          <w:rFonts w:ascii="Calibri" w:hAnsi="Calibri"/>
          <w:bCs/>
        </w:rPr>
        <w:t xml:space="preserve"> the MSG</w:t>
      </w:r>
      <w:r w:rsidR="008D5615">
        <w:rPr>
          <w:rFonts w:ascii="Calibri" w:hAnsi="Calibri"/>
          <w:bCs/>
        </w:rPr>
        <w:t>’s</w:t>
      </w:r>
      <w:r w:rsidR="006D4E9B" w:rsidRPr="002815F4">
        <w:rPr>
          <w:rFonts w:ascii="Calibri" w:hAnsi="Calibri"/>
          <w:bCs/>
        </w:rPr>
        <w:t xml:space="preserve"> working groups. None of the stakeholders consulted expressed any concerns over the reliability of information on the exceptional payment from Mittal in 2014, which was certified by the CdC despite the lack of reconciliation of this payment</w:t>
      </w:r>
      <w:r w:rsidR="008D5615">
        <w:rPr>
          <w:rFonts w:ascii="Calibri" w:hAnsi="Calibri"/>
          <w:bCs/>
        </w:rPr>
        <w:t xml:space="preserve"> (</w:t>
      </w:r>
      <w:r w:rsidR="008D5615" w:rsidRPr="00E2507C">
        <w:rPr>
          <w:rFonts w:ascii="Calibri" w:hAnsi="Calibri"/>
          <w:bCs/>
          <w:i/>
        </w:rPr>
        <w:t>see Requirement 4.1</w:t>
      </w:r>
      <w:r w:rsidR="008D5615">
        <w:rPr>
          <w:rFonts w:ascii="Calibri" w:hAnsi="Calibri"/>
          <w:bCs/>
        </w:rPr>
        <w:t>)</w:t>
      </w:r>
      <w:r w:rsidR="006D4E9B" w:rsidRPr="002815F4">
        <w:rPr>
          <w:rFonts w:ascii="Calibri" w:hAnsi="Calibri"/>
          <w:bCs/>
        </w:rPr>
        <w:t xml:space="preserve">. </w:t>
      </w:r>
    </w:p>
    <w:p w14:paraId="57C45DC5" w14:textId="26065D0E" w:rsidR="00D90CE1" w:rsidRPr="002815F4" w:rsidRDefault="003B66C1" w:rsidP="001030D3">
      <w:pPr>
        <w:spacing w:before="120"/>
        <w:rPr>
          <w:rFonts w:ascii="Calibri" w:hAnsi="Calibri"/>
          <w:bCs/>
        </w:rPr>
      </w:pPr>
      <w:r w:rsidRPr="002815F4">
        <w:rPr>
          <w:rFonts w:ascii="Calibri" w:hAnsi="Calibri"/>
          <w:bCs/>
          <w:i/>
          <w:u w:val="single"/>
        </w:rPr>
        <w:t>Recommendations</w:t>
      </w:r>
      <w:r w:rsidRPr="002815F4">
        <w:rPr>
          <w:rFonts w:ascii="Calibri" w:hAnsi="Calibri"/>
          <w:bCs/>
        </w:rPr>
        <w:t xml:space="preserve">: </w:t>
      </w:r>
      <w:r w:rsidR="006D4E9B" w:rsidRPr="002815F4">
        <w:rPr>
          <w:rFonts w:ascii="Calibri" w:hAnsi="Calibri"/>
          <w:bCs/>
        </w:rPr>
        <w:t>All stakeholders consulted expressed satisfaction at the quality of recommendations in EITI Reports and highlighted regular follow-up on recommendations of past EITI Reports, both by the MSG and through strict monitoring and evaluation by the National Secretariat (</w:t>
      </w:r>
      <w:r w:rsidR="006D4E9B" w:rsidRPr="002815F4">
        <w:rPr>
          <w:rFonts w:ascii="Calibri" w:hAnsi="Calibri"/>
          <w:bCs/>
          <w:i/>
        </w:rPr>
        <w:t>see Requirement 7.3</w:t>
      </w:r>
      <w:r w:rsidR="006D4E9B" w:rsidRPr="002815F4">
        <w:rPr>
          <w:rFonts w:ascii="Calibri" w:hAnsi="Calibri"/>
          <w:bCs/>
        </w:rPr>
        <w:t xml:space="preserve">). </w:t>
      </w:r>
    </w:p>
    <w:p w14:paraId="76897B64" w14:textId="4FE52793" w:rsidR="001030D3" w:rsidRPr="002815F4" w:rsidRDefault="001030D3" w:rsidP="009B3E66">
      <w:pPr>
        <w:pStyle w:val="Heading3"/>
      </w:pPr>
      <w:bookmarkStart w:id="323" w:name="_Toc459133170"/>
      <w:bookmarkStart w:id="324" w:name="_Toc461803120"/>
      <w:r w:rsidRPr="002815F4">
        <w:t>Initial assessment</w:t>
      </w:r>
      <w:bookmarkEnd w:id="323"/>
      <w:bookmarkEnd w:id="324"/>
    </w:p>
    <w:p w14:paraId="6747F98B" w14:textId="77777777" w:rsidR="00BB19E6" w:rsidRDefault="001030D3" w:rsidP="007474FE">
      <w:pPr>
        <w:spacing w:before="120"/>
        <w:rPr>
          <w:rFonts w:ascii="Calibri" w:hAnsi="Calibri"/>
        </w:rPr>
      </w:pPr>
      <w:r w:rsidRPr="002815F4">
        <w:rPr>
          <w:rFonts w:ascii="Calibri" w:hAnsi="Calibri"/>
        </w:rPr>
        <w:t xml:space="preserve">The International Secretariat’s </w:t>
      </w:r>
      <w:r w:rsidR="00D8410F" w:rsidRPr="002815F4">
        <w:rPr>
          <w:rFonts w:ascii="Calibri" w:hAnsi="Calibri"/>
        </w:rPr>
        <w:t xml:space="preserve">initial </w:t>
      </w:r>
      <w:r w:rsidRPr="002815F4">
        <w:rPr>
          <w:rFonts w:ascii="Calibri" w:hAnsi="Calibri"/>
        </w:rPr>
        <w:t xml:space="preserve">assessment is that </w:t>
      </w:r>
      <w:r w:rsidR="00954328" w:rsidRPr="002815F4">
        <w:rPr>
          <w:rFonts w:ascii="Calibri" w:hAnsi="Calibri"/>
          <w:bCs/>
        </w:rPr>
        <w:t>Senegal</w:t>
      </w:r>
      <w:r w:rsidR="00954328" w:rsidRPr="002815F4">
        <w:rPr>
          <w:rFonts w:ascii="Calibri" w:hAnsi="Calibri"/>
        </w:rPr>
        <w:t xml:space="preserve"> </w:t>
      </w:r>
      <w:r w:rsidRPr="002815F4">
        <w:rPr>
          <w:rFonts w:ascii="Calibri" w:hAnsi="Calibri"/>
        </w:rPr>
        <w:t>has made</w:t>
      </w:r>
      <w:r w:rsidR="00D9535F" w:rsidRPr="002815F4">
        <w:rPr>
          <w:rFonts w:ascii="Calibri" w:hAnsi="Calibri"/>
        </w:rPr>
        <w:t xml:space="preserve"> satisfactory </w:t>
      </w:r>
      <w:r w:rsidRPr="002815F4">
        <w:rPr>
          <w:rFonts w:ascii="Calibri" w:hAnsi="Calibri"/>
        </w:rPr>
        <w:t xml:space="preserve">progress towards meeting this </w:t>
      </w:r>
      <w:commentRangeStart w:id="325"/>
      <w:r w:rsidRPr="002815F4">
        <w:rPr>
          <w:rFonts w:ascii="Calibri" w:hAnsi="Calibri"/>
        </w:rPr>
        <w:t>requirement</w:t>
      </w:r>
      <w:commentRangeEnd w:id="325"/>
      <w:r w:rsidR="000977BB">
        <w:rPr>
          <w:rStyle w:val="CommentReference"/>
          <w:szCs w:val="20"/>
        </w:rPr>
        <w:commentReference w:id="325"/>
      </w:r>
      <w:r w:rsidRPr="002815F4">
        <w:rPr>
          <w:rFonts w:ascii="Calibri" w:hAnsi="Calibri"/>
        </w:rPr>
        <w:t xml:space="preserve">. </w:t>
      </w:r>
      <w:r w:rsidR="00A56199" w:rsidRPr="002815F4">
        <w:rPr>
          <w:rFonts w:ascii="Calibri" w:hAnsi="Calibri"/>
        </w:rPr>
        <w:t>In accordance with Requirement 4.9, the reconciliation of payments</w:t>
      </w:r>
      <w:r w:rsidR="00D01203" w:rsidRPr="002815F4">
        <w:rPr>
          <w:rFonts w:ascii="Calibri" w:hAnsi="Calibri"/>
        </w:rPr>
        <w:t xml:space="preserve"> </w:t>
      </w:r>
      <w:r w:rsidR="00A56199" w:rsidRPr="002815F4">
        <w:rPr>
          <w:rFonts w:ascii="Calibri" w:hAnsi="Calibri"/>
        </w:rPr>
        <w:t>and revenues has been undertaken by an IA, appointed by the MSG, and applying international</w:t>
      </w:r>
      <w:r w:rsidR="00D01203" w:rsidRPr="002815F4">
        <w:rPr>
          <w:rFonts w:ascii="Calibri" w:hAnsi="Calibri"/>
        </w:rPr>
        <w:t xml:space="preserve"> </w:t>
      </w:r>
      <w:r w:rsidR="00A56199" w:rsidRPr="002815F4">
        <w:rPr>
          <w:rFonts w:ascii="Calibri" w:hAnsi="Calibri"/>
        </w:rPr>
        <w:t>professional standar</w:t>
      </w:r>
      <w:r w:rsidR="00D01203" w:rsidRPr="002815F4">
        <w:rPr>
          <w:rFonts w:ascii="Calibri" w:hAnsi="Calibri"/>
        </w:rPr>
        <w:t>ds. The IA and the MSG agreed ToR</w:t>
      </w:r>
      <w:r w:rsidR="00A56199" w:rsidRPr="002815F4">
        <w:rPr>
          <w:rFonts w:ascii="Calibri" w:hAnsi="Calibri"/>
        </w:rPr>
        <w:t xml:space="preserve"> for the production of the </w:t>
      </w:r>
      <w:r w:rsidR="00D01203" w:rsidRPr="002815F4">
        <w:rPr>
          <w:rFonts w:ascii="Calibri" w:hAnsi="Calibri"/>
        </w:rPr>
        <w:t xml:space="preserve">2014 </w:t>
      </w:r>
      <w:r w:rsidR="00A56199" w:rsidRPr="002815F4">
        <w:rPr>
          <w:rFonts w:ascii="Calibri" w:hAnsi="Calibri"/>
        </w:rPr>
        <w:t>EITI Report</w:t>
      </w:r>
      <w:r w:rsidR="00D01203" w:rsidRPr="002815F4">
        <w:rPr>
          <w:rFonts w:ascii="Calibri" w:hAnsi="Calibri"/>
        </w:rPr>
        <w:t xml:space="preserve"> consistent with the standard To</w:t>
      </w:r>
      <w:r w:rsidR="00A56199" w:rsidRPr="002815F4">
        <w:rPr>
          <w:rFonts w:ascii="Calibri" w:hAnsi="Calibri"/>
        </w:rPr>
        <w:t>R and agreed upon procedures issued by the EITI Board, and applied this</w:t>
      </w:r>
      <w:r w:rsidR="00D01203" w:rsidRPr="002815F4">
        <w:rPr>
          <w:rFonts w:ascii="Calibri" w:hAnsi="Calibri"/>
        </w:rPr>
        <w:t xml:space="preserve"> To</w:t>
      </w:r>
      <w:r w:rsidR="00A56199" w:rsidRPr="002815F4">
        <w:rPr>
          <w:rFonts w:ascii="Calibri" w:hAnsi="Calibri"/>
        </w:rPr>
        <w:t xml:space="preserve">R and procedures in practice. The final report provides a clear statement from the </w:t>
      </w:r>
      <w:r w:rsidR="00D01203" w:rsidRPr="002815F4">
        <w:rPr>
          <w:rFonts w:ascii="Calibri" w:hAnsi="Calibri"/>
        </w:rPr>
        <w:t xml:space="preserve">IA </w:t>
      </w:r>
      <w:r w:rsidR="00A56199" w:rsidRPr="002815F4">
        <w:rPr>
          <w:rFonts w:ascii="Calibri" w:hAnsi="Calibri"/>
        </w:rPr>
        <w:t>on the comprehensiveness and reliability of the (financial) data presented, including an</w:t>
      </w:r>
      <w:r w:rsidR="00D01203" w:rsidRPr="002815F4">
        <w:rPr>
          <w:rFonts w:ascii="Calibri" w:hAnsi="Calibri"/>
        </w:rPr>
        <w:t xml:space="preserve"> </w:t>
      </w:r>
      <w:r w:rsidR="00A56199" w:rsidRPr="002815F4">
        <w:rPr>
          <w:rFonts w:ascii="Calibri" w:hAnsi="Calibri"/>
        </w:rPr>
        <w:t xml:space="preserve">informative summary of the work performed by the </w:t>
      </w:r>
      <w:r w:rsidR="00D01203" w:rsidRPr="002815F4">
        <w:rPr>
          <w:rFonts w:ascii="Calibri" w:hAnsi="Calibri"/>
        </w:rPr>
        <w:t xml:space="preserve">IA </w:t>
      </w:r>
      <w:r w:rsidR="00A56199" w:rsidRPr="002815F4">
        <w:rPr>
          <w:rFonts w:ascii="Calibri" w:hAnsi="Calibri"/>
        </w:rPr>
        <w:t>and the limitations of the</w:t>
      </w:r>
      <w:r w:rsidR="00D01203" w:rsidRPr="002815F4">
        <w:rPr>
          <w:rFonts w:ascii="Calibri" w:hAnsi="Calibri"/>
        </w:rPr>
        <w:t xml:space="preserve"> </w:t>
      </w:r>
      <w:r w:rsidR="00A56199" w:rsidRPr="002815F4">
        <w:rPr>
          <w:rFonts w:ascii="Calibri" w:hAnsi="Calibri"/>
        </w:rPr>
        <w:t>assessment provided. While the report indicates a coverage of the reconciliation exercise, based on the</w:t>
      </w:r>
      <w:r w:rsidR="00D01203" w:rsidRPr="002815F4">
        <w:rPr>
          <w:rFonts w:ascii="Calibri" w:hAnsi="Calibri"/>
        </w:rPr>
        <w:t xml:space="preserve"> </w:t>
      </w:r>
      <w:r w:rsidR="00A56199" w:rsidRPr="002815F4">
        <w:rPr>
          <w:rFonts w:ascii="Calibri" w:hAnsi="Calibri"/>
        </w:rPr>
        <w:t xml:space="preserve">government's disclosure of total revenues which omit </w:t>
      </w:r>
      <w:r w:rsidR="00D01203" w:rsidRPr="002815F4">
        <w:rPr>
          <w:rFonts w:ascii="Calibri" w:hAnsi="Calibri"/>
        </w:rPr>
        <w:t>one exceptional payment to government</w:t>
      </w:r>
      <w:r w:rsidR="00A56199" w:rsidRPr="002815F4">
        <w:rPr>
          <w:rFonts w:ascii="Calibri" w:hAnsi="Calibri"/>
        </w:rPr>
        <w:t xml:space="preserve">, it is possible to calculate the </w:t>
      </w:r>
      <w:r w:rsidR="008D5615">
        <w:rPr>
          <w:rFonts w:ascii="Calibri" w:hAnsi="Calibri"/>
        </w:rPr>
        <w:t>final</w:t>
      </w:r>
      <w:r w:rsidR="008D5615" w:rsidRPr="002815F4">
        <w:rPr>
          <w:rFonts w:ascii="Calibri" w:hAnsi="Calibri"/>
        </w:rPr>
        <w:t xml:space="preserve"> </w:t>
      </w:r>
      <w:r w:rsidR="00A56199" w:rsidRPr="002815F4">
        <w:rPr>
          <w:rFonts w:ascii="Calibri" w:hAnsi="Calibri"/>
        </w:rPr>
        <w:t>reconciliation coverage.</w:t>
      </w:r>
    </w:p>
    <w:p w14:paraId="297E4B79" w14:textId="5C9550C2" w:rsidR="000B5861" w:rsidRPr="002815F4" w:rsidRDefault="000B5861" w:rsidP="007474FE">
      <w:pPr>
        <w:spacing w:before="120"/>
        <w:rPr>
          <w:rFonts w:ascii="Calibri" w:hAnsi="Calibri"/>
          <w:i/>
          <w:color w:val="000000"/>
        </w:rPr>
      </w:pPr>
      <w:r w:rsidRPr="002815F4">
        <w:rPr>
          <w:rFonts w:ascii="Calibri" w:hAnsi="Calibri"/>
          <w:i/>
          <w:color w:val="000000"/>
        </w:rPr>
        <w:lastRenderedPageBreak/>
        <w:br w:type="page"/>
      </w:r>
    </w:p>
    <w:p w14:paraId="287CA062" w14:textId="05AF59B9" w:rsidR="000722F1" w:rsidRPr="002815F4" w:rsidRDefault="000B5861" w:rsidP="00F97CA1">
      <w:pPr>
        <w:pStyle w:val="Caption"/>
        <w:rPr>
          <w:color w:val="000000"/>
        </w:rPr>
      </w:pPr>
      <w:bookmarkStart w:id="326" w:name="_Toc463537777"/>
      <w:bookmarkStart w:id="327" w:name="_Toc485385505"/>
      <w:r w:rsidRPr="002815F4">
        <w:lastRenderedPageBreak/>
        <w:t xml:space="preserve">Table </w:t>
      </w:r>
      <w:r w:rsidR="0002611B">
        <w:fldChar w:fldCharType="begin"/>
      </w:r>
      <w:r w:rsidR="0002611B">
        <w:instrText xml:space="preserve"> SEQ Table \* ARABIC </w:instrText>
      </w:r>
      <w:r w:rsidR="0002611B">
        <w:fldChar w:fldCharType="separate"/>
      </w:r>
      <w:r w:rsidR="0083320D" w:rsidRPr="002815F4">
        <w:rPr>
          <w:noProof/>
        </w:rPr>
        <w:t>4</w:t>
      </w:r>
      <w:r w:rsidR="0002611B">
        <w:rPr>
          <w:noProof/>
        </w:rPr>
        <w:fldChar w:fldCharType="end"/>
      </w:r>
      <w:r w:rsidR="000722F1" w:rsidRPr="002815F4">
        <w:rPr>
          <w:color w:val="000000"/>
        </w:rPr>
        <w:t xml:space="preserve">- </w:t>
      </w:r>
      <w:r w:rsidR="000722F1" w:rsidRPr="002815F4">
        <w:rPr>
          <w:rFonts w:eastAsia="Calibri"/>
        </w:rPr>
        <w:t xml:space="preserve">Summary </w:t>
      </w:r>
      <w:r w:rsidR="00F46F04" w:rsidRPr="002815F4">
        <w:rPr>
          <w:rFonts w:eastAsia="Calibri"/>
        </w:rPr>
        <w:t xml:space="preserve">initial </w:t>
      </w:r>
      <w:r w:rsidR="000722F1" w:rsidRPr="002815F4">
        <w:rPr>
          <w:rFonts w:eastAsia="Calibri"/>
        </w:rPr>
        <w:t>assessment table: Revenue collection</w:t>
      </w:r>
      <w:bookmarkEnd w:id="326"/>
      <w:bookmarkEnd w:id="3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4732"/>
        <w:gridCol w:w="1983"/>
      </w:tblGrid>
      <w:tr w:rsidR="006D4E9B" w:rsidRPr="002815F4" w14:paraId="19125AD9" w14:textId="77777777" w:rsidTr="007474FE">
        <w:trPr>
          <w:trHeight w:val="675"/>
        </w:trPr>
        <w:tc>
          <w:tcPr>
            <w:tcW w:w="2662" w:type="dxa"/>
            <w:shd w:val="clear" w:color="auto" w:fill="D9D9D9"/>
            <w:vAlign w:val="center"/>
          </w:tcPr>
          <w:p w14:paraId="502194C2" w14:textId="77777777" w:rsidR="00FC3899" w:rsidRPr="002815F4" w:rsidRDefault="00FC3899" w:rsidP="00E217A9">
            <w:pPr>
              <w:pStyle w:val="Tabletext"/>
              <w:rPr>
                <w:lang w:val="en-GB"/>
              </w:rPr>
            </w:pPr>
            <w:r w:rsidRPr="002815F4">
              <w:rPr>
                <w:lang w:val="en-GB"/>
              </w:rPr>
              <w:t>EITI provisions</w:t>
            </w:r>
          </w:p>
        </w:tc>
        <w:tc>
          <w:tcPr>
            <w:tcW w:w="4732" w:type="dxa"/>
            <w:shd w:val="clear" w:color="auto" w:fill="D9D9D9"/>
            <w:vAlign w:val="center"/>
          </w:tcPr>
          <w:p w14:paraId="3354C96B" w14:textId="77777777" w:rsidR="00FC3899" w:rsidRPr="002815F4" w:rsidRDefault="00FC3899" w:rsidP="00E217A9">
            <w:pPr>
              <w:pStyle w:val="Tabletext"/>
              <w:rPr>
                <w:lang w:val="en-GB"/>
              </w:rPr>
            </w:pPr>
            <w:r w:rsidRPr="002815F4">
              <w:rPr>
                <w:lang w:val="en-GB"/>
              </w:rPr>
              <w:t>Summary of main findings</w:t>
            </w:r>
          </w:p>
        </w:tc>
        <w:tc>
          <w:tcPr>
            <w:tcW w:w="1983" w:type="dxa"/>
            <w:shd w:val="clear" w:color="auto" w:fill="D9D9D9"/>
            <w:vAlign w:val="center"/>
          </w:tcPr>
          <w:p w14:paraId="56BFD9C6" w14:textId="271976B2" w:rsidR="00FC3899" w:rsidRPr="002815F4" w:rsidRDefault="00FC3899" w:rsidP="00E217A9">
            <w:pPr>
              <w:pStyle w:val="Tabletext"/>
              <w:rPr>
                <w:lang w:val="en-GB"/>
              </w:rPr>
            </w:pPr>
            <w:r w:rsidRPr="002815F4">
              <w:rPr>
                <w:lang w:val="en-GB"/>
              </w:rPr>
              <w:t xml:space="preserve">International Secretariat’s initial assessment of progress with the EITI provisions </w:t>
            </w:r>
          </w:p>
        </w:tc>
      </w:tr>
      <w:tr w:rsidR="006D4E9B" w:rsidRPr="002815F4" w14:paraId="69DBC012" w14:textId="77777777" w:rsidTr="007474FE">
        <w:tc>
          <w:tcPr>
            <w:tcW w:w="2662" w:type="dxa"/>
            <w:shd w:val="clear" w:color="auto" w:fill="auto"/>
            <w:vAlign w:val="center"/>
          </w:tcPr>
          <w:p w14:paraId="7033E91B" w14:textId="77777777" w:rsidR="001030D3" w:rsidRPr="002815F4" w:rsidRDefault="001030D3" w:rsidP="00E217A9">
            <w:pPr>
              <w:pStyle w:val="Tabletext"/>
              <w:rPr>
                <w:lang w:val="en-GB"/>
              </w:rPr>
            </w:pPr>
            <w:r w:rsidRPr="002815F4">
              <w:rPr>
                <w:lang w:val="en-GB"/>
              </w:rPr>
              <w:t>Comprehensiveness (#4.1)</w:t>
            </w:r>
          </w:p>
        </w:tc>
        <w:tc>
          <w:tcPr>
            <w:tcW w:w="4732" w:type="dxa"/>
            <w:shd w:val="clear" w:color="auto" w:fill="auto"/>
            <w:vAlign w:val="center"/>
          </w:tcPr>
          <w:p w14:paraId="3A1E39CD" w14:textId="5B4CB937" w:rsidR="001030D3" w:rsidRPr="002815F4" w:rsidRDefault="006D4E9B" w:rsidP="00E217A9">
            <w:pPr>
              <w:pStyle w:val="Tabletext"/>
              <w:rPr>
                <w:lang w:val="en-GB"/>
              </w:rPr>
            </w:pPr>
            <w:r w:rsidRPr="002815F4">
              <w:rPr>
                <w:lang w:val="en-GB"/>
              </w:rPr>
              <w:t xml:space="preserve">The 2014 EITI Report includes a definition of the materiality thresholds for payments and companies to be included in reconciliation, including a justification for why the threshold was set at this level. The MSG was involved in setting the materiality threshold for payments and for companies. Requirement 4.1.b.viii of the EITI Standard requires that implementing countries include “any other significant payments and material benefit to government” in the scope of reconciliation. While the MSG decided to exclude an exceptional payment from Mittal Steel Holding AG worth XOF 49bn, or roughly 45% of government </w:t>
            </w:r>
            <w:r w:rsidR="002815F4" w:rsidRPr="002815F4">
              <w:rPr>
                <w:lang w:val="en-GB"/>
              </w:rPr>
              <w:t>extractives</w:t>
            </w:r>
            <w:r w:rsidRPr="002815F4">
              <w:rPr>
                <w:lang w:val="en-GB"/>
              </w:rPr>
              <w:t xml:space="preserve"> revenues in 2014, from the scope of reconciliation, the 2014 EITI Report justifies this decision given the exceptional nature of the payment and the lack of jurisdiction to compel the company to participate in EITI reporting given the end of contractual relations between Mittal Steel and the government following the conclusion of arbitration. All material companies and government entities reported comprehensively all material payments and revenues in the 2014 EITI Report and full unilateral government disclosures were provided. While the exclusion of a significant payment to government from the scope of reconciliation poses a procedural challenge under Requirement 4.1.b.viii, the International Secretariat considers that the broader objective of revenue transparency was achieved given publicly-accessible evidence of the payment in ArcelorMittal’s financial statements audited to international standards, the exceptional nature of the payment and the practical constraints on the ability of Senegal’s MSG to follow up with the company.</w:t>
            </w:r>
          </w:p>
        </w:tc>
        <w:tc>
          <w:tcPr>
            <w:tcW w:w="1983" w:type="dxa"/>
            <w:vAlign w:val="center"/>
          </w:tcPr>
          <w:p w14:paraId="349C43A4" w14:textId="595D1DE8" w:rsidR="001030D3" w:rsidRPr="002815F4" w:rsidRDefault="00824676" w:rsidP="00E217A9">
            <w:pPr>
              <w:pStyle w:val="Tabletext"/>
              <w:rPr>
                <w:lang w:val="en-GB"/>
              </w:rPr>
            </w:pPr>
            <w:r w:rsidRPr="002815F4">
              <w:rPr>
                <w:lang w:val="en-GB"/>
              </w:rPr>
              <w:t>Satisfactory</w:t>
            </w:r>
            <w:r w:rsidR="00BB19E6">
              <w:rPr>
                <w:lang w:val="en-GB"/>
              </w:rPr>
              <w:t xml:space="preserve"> progress</w:t>
            </w:r>
          </w:p>
        </w:tc>
      </w:tr>
      <w:tr w:rsidR="006D4E9B" w:rsidRPr="002815F4" w14:paraId="4335EBA7" w14:textId="77777777" w:rsidTr="007474FE">
        <w:tc>
          <w:tcPr>
            <w:tcW w:w="2662" w:type="dxa"/>
            <w:shd w:val="clear" w:color="auto" w:fill="auto"/>
            <w:vAlign w:val="center"/>
          </w:tcPr>
          <w:p w14:paraId="2E64560C" w14:textId="77777777" w:rsidR="001030D3" w:rsidRPr="002815F4" w:rsidRDefault="001030D3" w:rsidP="00E217A9">
            <w:pPr>
              <w:pStyle w:val="Tabletext"/>
              <w:rPr>
                <w:lang w:val="en-GB"/>
              </w:rPr>
            </w:pPr>
            <w:r w:rsidRPr="002815F4">
              <w:rPr>
                <w:lang w:val="en-GB"/>
              </w:rPr>
              <w:t>In-kind revenues (#4.2)</w:t>
            </w:r>
          </w:p>
        </w:tc>
        <w:tc>
          <w:tcPr>
            <w:tcW w:w="4732" w:type="dxa"/>
            <w:shd w:val="clear" w:color="auto" w:fill="auto"/>
            <w:vAlign w:val="center"/>
          </w:tcPr>
          <w:p w14:paraId="5A45C63A" w14:textId="7A693B64" w:rsidR="001030D3" w:rsidRPr="002815F4" w:rsidRDefault="006D4E9B" w:rsidP="00E217A9">
            <w:pPr>
              <w:pStyle w:val="Tabletext"/>
              <w:rPr>
                <w:lang w:val="en-GB"/>
              </w:rPr>
            </w:pPr>
            <w:r w:rsidRPr="002815F4">
              <w:rPr>
                <w:lang w:val="en-GB"/>
              </w:rPr>
              <w:t xml:space="preserve">The 2014 EITI Report describes the general statutory procedures for Petrosen’s commercialisation of the state’s in-kind revenues and confirms that the state’s statutory in-kind revenue entitlements from Senegal’s sole </w:t>
            </w:r>
            <w:r w:rsidRPr="002815F4">
              <w:rPr>
                <w:lang w:val="en-GB"/>
              </w:rPr>
              <w:lastRenderedPageBreak/>
              <w:t>producing license are commercialised by the operator, who transfers the proceeds in cash to the government. The International Secretariat understands that there are no regulatory provisions for the state to receive any in-kind revenues from the mining sector.</w:t>
            </w:r>
          </w:p>
        </w:tc>
        <w:tc>
          <w:tcPr>
            <w:tcW w:w="1983" w:type="dxa"/>
            <w:vAlign w:val="center"/>
          </w:tcPr>
          <w:p w14:paraId="41D27DEE" w14:textId="153582C8" w:rsidR="001030D3" w:rsidRPr="002815F4" w:rsidRDefault="00824676" w:rsidP="00E217A9">
            <w:pPr>
              <w:pStyle w:val="Tabletext"/>
              <w:rPr>
                <w:lang w:val="en-GB"/>
              </w:rPr>
            </w:pPr>
            <w:r w:rsidRPr="002815F4">
              <w:rPr>
                <w:lang w:val="en-GB"/>
              </w:rPr>
              <w:lastRenderedPageBreak/>
              <w:t>Not applicable</w:t>
            </w:r>
          </w:p>
        </w:tc>
      </w:tr>
      <w:tr w:rsidR="006D4E9B" w:rsidRPr="002815F4" w14:paraId="28228398" w14:textId="77777777" w:rsidTr="007474FE">
        <w:tc>
          <w:tcPr>
            <w:tcW w:w="2662" w:type="dxa"/>
            <w:shd w:val="clear" w:color="auto" w:fill="auto"/>
            <w:vAlign w:val="center"/>
          </w:tcPr>
          <w:p w14:paraId="069E377E" w14:textId="77777777" w:rsidR="001030D3" w:rsidRPr="002815F4" w:rsidRDefault="001030D3" w:rsidP="00E217A9">
            <w:pPr>
              <w:pStyle w:val="Tabletext"/>
              <w:rPr>
                <w:lang w:val="en-GB"/>
              </w:rPr>
            </w:pPr>
            <w:r w:rsidRPr="002815F4">
              <w:rPr>
                <w:lang w:val="en-GB"/>
              </w:rPr>
              <w:lastRenderedPageBreak/>
              <w:t>Barter and infrastructure transactions (#4.3)</w:t>
            </w:r>
          </w:p>
        </w:tc>
        <w:tc>
          <w:tcPr>
            <w:tcW w:w="4732" w:type="dxa"/>
            <w:shd w:val="clear" w:color="auto" w:fill="auto"/>
            <w:vAlign w:val="center"/>
          </w:tcPr>
          <w:p w14:paraId="7EC39DBC" w14:textId="32AC0A10" w:rsidR="001030D3" w:rsidRPr="002815F4" w:rsidRDefault="006D4E9B" w:rsidP="00E217A9">
            <w:pPr>
              <w:pStyle w:val="Tabletext"/>
              <w:rPr>
                <w:lang w:val="en-GB"/>
              </w:rPr>
            </w:pPr>
            <w:r w:rsidRPr="002815F4">
              <w:rPr>
                <w:lang w:val="en-GB"/>
              </w:rPr>
              <w:t xml:space="preserve">The 2014 EITI Report describes the structure of a transaction related to the Teranga-OJVG acquisition as a barter, whereby the government renounced an option to acquire a stake in Teranga in exchange for the provision of infrastructure for the host community. While the 2014 EITI Report describes the transaction and the project, it only states that “the majority” of the USD 1.5m in infrastructure provided under the transaction in 2014 was through an Agricultural Development Project, but does not specify the exact breakdown in infrastructure development in 2014. However, as of </w:t>
            </w:r>
            <w:r w:rsidR="00C30EDD" w:rsidRPr="002815F4">
              <w:rPr>
                <w:lang w:val="en-GB"/>
              </w:rPr>
              <w:t>22</w:t>
            </w:r>
            <w:r w:rsidRPr="002815F4">
              <w:rPr>
                <w:lang w:val="en-GB"/>
              </w:rPr>
              <w:t xml:space="preserve"> September 2017, additional information on the barter transaction was provided on the EITI Senegal website</w:t>
            </w:r>
            <w:r w:rsidR="00C30EDD" w:rsidRPr="002815F4">
              <w:rPr>
                <w:lang w:val="en-GB"/>
              </w:rPr>
              <w:t>, disaggregated by transaction</w:t>
            </w:r>
            <w:r w:rsidRPr="002815F4">
              <w:rPr>
                <w:lang w:val="en-GB"/>
              </w:rPr>
              <w:t xml:space="preserve">. </w:t>
            </w:r>
          </w:p>
        </w:tc>
        <w:tc>
          <w:tcPr>
            <w:tcW w:w="1983" w:type="dxa"/>
            <w:tcBorders>
              <w:bottom w:val="single" w:sz="4" w:space="0" w:color="auto"/>
            </w:tcBorders>
            <w:vAlign w:val="center"/>
          </w:tcPr>
          <w:p w14:paraId="318721A5" w14:textId="10AB9A68" w:rsidR="001030D3" w:rsidRPr="002815F4" w:rsidRDefault="00C30EDD" w:rsidP="00E217A9">
            <w:pPr>
              <w:pStyle w:val="Tabletext"/>
              <w:rPr>
                <w:lang w:val="en-GB"/>
              </w:rPr>
            </w:pPr>
            <w:r w:rsidRPr="002815F4">
              <w:rPr>
                <w:lang w:val="en-GB"/>
              </w:rPr>
              <w:t>Satisfactory</w:t>
            </w:r>
            <w:r w:rsidR="00BB19E6">
              <w:rPr>
                <w:lang w:val="en-GB"/>
              </w:rPr>
              <w:t xml:space="preserve"> progress</w:t>
            </w:r>
          </w:p>
        </w:tc>
      </w:tr>
      <w:tr w:rsidR="006D4E9B" w:rsidRPr="002815F4" w14:paraId="7B38E908" w14:textId="77777777" w:rsidTr="007474FE">
        <w:tc>
          <w:tcPr>
            <w:tcW w:w="2662" w:type="dxa"/>
            <w:shd w:val="clear" w:color="auto" w:fill="auto"/>
            <w:vAlign w:val="center"/>
          </w:tcPr>
          <w:p w14:paraId="4F1F3117" w14:textId="77777777" w:rsidR="001030D3" w:rsidRPr="002815F4" w:rsidRDefault="001030D3" w:rsidP="00E217A9">
            <w:pPr>
              <w:pStyle w:val="Tabletext"/>
              <w:rPr>
                <w:lang w:val="en-GB"/>
              </w:rPr>
            </w:pPr>
            <w:r w:rsidRPr="002815F4">
              <w:rPr>
                <w:lang w:val="en-GB"/>
              </w:rPr>
              <w:t>Transport revenues (#4.4)</w:t>
            </w:r>
          </w:p>
        </w:tc>
        <w:tc>
          <w:tcPr>
            <w:tcW w:w="4732" w:type="dxa"/>
            <w:shd w:val="clear" w:color="auto" w:fill="auto"/>
            <w:vAlign w:val="center"/>
          </w:tcPr>
          <w:p w14:paraId="7AAB1525" w14:textId="6E7277C7" w:rsidR="001030D3" w:rsidRPr="002815F4" w:rsidRDefault="006D4E9B" w:rsidP="00E217A9">
            <w:pPr>
              <w:pStyle w:val="Tabletext"/>
              <w:rPr>
                <w:lang w:val="en-GB"/>
              </w:rPr>
            </w:pPr>
            <w:r w:rsidRPr="002815F4">
              <w:rPr>
                <w:lang w:val="en-GB"/>
              </w:rPr>
              <w:t>The 2014 EITI Report describes two arrangements whereby the government receives transportation revenues, in mining and oil and gas respectively. It provides descriptions of the arrangements, the tariffs paid and the total revenues collected, although it does not explicitly provide the volumes and value of minerals and natural gas transported. In line with the EITI Board’s decision on Mongolia’s 2016 Validation, where it found that revenues collected by the part government-owned railway were not covered by Requirement 4.4 given that the railway was not considered a SOE for EITI reporting purposes, the International Secretariat considers that this requirement is not applicable to Senegal’s mining sector in the year under review. While the 2014 EITI Report’s lack of explicit figures for volumes and value of natural gas transported in Petrosen’s 10km pipeline is a concern, it is possible to calculate these figures based on data provided in the 2014 EITI Report. In addition, the total transportation revenues of XOF 19,173,159 (USD 39,524) under the arrangement could be considered immaterial. As such, the International Secretariat’s assessment is that Senegal has made satisfactory progress towards meeting this requirement.</w:t>
            </w:r>
          </w:p>
        </w:tc>
        <w:tc>
          <w:tcPr>
            <w:tcW w:w="1983" w:type="dxa"/>
            <w:shd w:val="clear" w:color="auto" w:fill="auto"/>
            <w:vAlign w:val="center"/>
          </w:tcPr>
          <w:p w14:paraId="10572BD3" w14:textId="6CA922CD" w:rsidR="001030D3" w:rsidRPr="002815F4" w:rsidRDefault="006D4E9B" w:rsidP="00E217A9">
            <w:pPr>
              <w:pStyle w:val="Tabletext"/>
              <w:rPr>
                <w:lang w:val="en-GB"/>
              </w:rPr>
            </w:pPr>
            <w:r w:rsidRPr="002815F4">
              <w:rPr>
                <w:lang w:val="en-GB"/>
              </w:rPr>
              <w:t>Satisfactory</w:t>
            </w:r>
            <w:r w:rsidR="00BB19E6">
              <w:rPr>
                <w:lang w:val="en-GB"/>
              </w:rPr>
              <w:t xml:space="preserve"> progress</w:t>
            </w:r>
          </w:p>
        </w:tc>
      </w:tr>
      <w:tr w:rsidR="006D4E9B" w:rsidRPr="002815F4" w14:paraId="00276993" w14:textId="77777777" w:rsidTr="007474FE">
        <w:trPr>
          <w:trHeight w:val="1283"/>
        </w:trPr>
        <w:tc>
          <w:tcPr>
            <w:tcW w:w="2662" w:type="dxa"/>
            <w:shd w:val="clear" w:color="auto" w:fill="auto"/>
            <w:vAlign w:val="center"/>
          </w:tcPr>
          <w:p w14:paraId="5150DEA0" w14:textId="77777777" w:rsidR="001030D3" w:rsidRPr="002815F4" w:rsidRDefault="001030D3" w:rsidP="00E217A9">
            <w:pPr>
              <w:pStyle w:val="Tabletext"/>
              <w:rPr>
                <w:lang w:val="en-GB"/>
              </w:rPr>
            </w:pPr>
            <w:r w:rsidRPr="002815F4">
              <w:rPr>
                <w:lang w:val="en-GB"/>
              </w:rPr>
              <w:lastRenderedPageBreak/>
              <w:t>Transactions between SOEs and government (#4.5)</w:t>
            </w:r>
          </w:p>
        </w:tc>
        <w:tc>
          <w:tcPr>
            <w:tcW w:w="4732" w:type="dxa"/>
            <w:shd w:val="clear" w:color="auto" w:fill="auto"/>
            <w:vAlign w:val="center"/>
          </w:tcPr>
          <w:p w14:paraId="267990BE" w14:textId="500305A9" w:rsidR="001030D3" w:rsidRPr="002815F4" w:rsidRDefault="00DC3F6D" w:rsidP="00E217A9">
            <w:pPr>
              <w:pStyle w:val="Tabletext"/>
              <w:rPr>
                <w:lang w:val="en-GB"/>
              </w:rPr>
            </w:pPr>
            <w:r w:rsidRPr="002815F4">
              <w:rPr>
                <w:lang w:val="en-GB"/>
              </w:rPr>
              <w:t>The 2014 EITI Report discloses and reconciles company payments to Petrosen, payments from Petrosen to the Treasury and from Treasury to Miferso and Petrosen. The International Secretariat received no information that suggested any company payment to SOEs or SOE payments to government were excluded from the scope of reporting.</w:t>
            </w:r>
          </w:p>
        </w:tc>
        <w:tc>
          <w:tcPr>
            <w:tcW w:w="1983" w:type="dxa"/>
            <w:vAlign w:val="center"/>
          </w:tcPr>
          <w:p w14:paraId="20B2A317" w14:textId="331C59D2" w:rsidR="001030D3" w:rsidRPr="002815F4" w:rsidRDefault="00824676" w:rsidP="00E217A9">
            <w:pPr>
              <w:pStyle w:val="Tabletext"/>
              <w:rPr>
                <w:lang w:val="en-GB"/>
              </w:rPr>
            </w:pPr>
            <w:r w:rsidRPr="002815F4">
              <w:rPr>
                <w:lang w:val="en-GB"/>
              </w:rPr>
              <w:t>Satisfactory</w:t>
            </w:r>
            <w:r w:rsidR="00BB19E6">
              <w:rPr>
                <w:lang w:val="en-GB"/>
              </w:rPr>
              <w:t xml:space="preserve"> progress</w:t>
            </w:r>
          </w:p>
        </w:tc>
      </w:tr>
      <w:tr w:rsidR="006D4E9B" w:rsidRPr="002815F4" w14:paraId="7CE74483" w14:textId="77777777" w:rsidTr="007474FE">
        <w:tc>
          <w:tcPr>
            <w:tcW w:w="2662" w:type="dxa"/>
            <w:shd w:val="clear" w:color="auto" w:fill="auto"/>
            <w:vAlign w:val="center"/>
          </w:tcPr>
          <w:p w14:paraId="0309D312" w14:textId="77777777" w:rsidR="001030D3" w:rsidRPr="002815F4" w:rsidRDefault="001030D3" w:rsidP="00E217A9">
            <w:pPr>
              <w:pStyle w:val="Tabletext"/>
              <w:rPr>
                <w:lang w:val="en-GB"/>
              </w:rPr>
            </w:pPr>
            <w:r w:rsidRPr="002815F4">
              <w:rPr>
                <w:lang w:val="en-GB"/>
              </w:rPr>
              <w:t>Subnational direct payments (#4.6)</w:t>
            </w:r>
          </w:p>
        </w:tc>
        <w:tc>
          <w:tcPr>
            <w:tcW w:w="4732" w:type="dxa"/>
            <w:shd w:val="clear" w:color="auto" w:fill="auto"/>
            <w:vAlign w:val="center"/>
          </w:tcPr>
          <w:p w14:paraId="2AF30287" w14:textId="73812D3D" w:rsidR="001030D3" w:rsidRPr="002815F4" w:rsidRDefault="00AA0A32" w:rsidP="00E217A9">
            <w:pPr>
              <w:pStyle w:val="Tabletext"/>
              <w:rPr>
                <w:lang w:val="en-GB"/>
              </w:rPr>
            </w:pPr>
            <w:r w:rsidRPr="00AA0A32">
              <w:rPr>
                <w:lang w:val="en-GB"/>
              </w:rPr>
              <w:t>The International Secretariat’s initial assessment is that this requirement is not applicable to Senegal in the year under review (2014). The 2014 EITI Report confirms the lack of direct subnational payments, although it could do more in explaining the centralised nature of public accounts and lack of tax-levying powers at the subnational level.</w:t>
            </w:r>
          </w:p>
        </w:tc>
        <w:tc>
          <w:tcPr>
            <w:tcW w:w="1983" w:type="dxa"/>
            <w:vAlign w:val="center"/>
          </w:tcPr>
          <w:p w14:paraId="47B4C49B" w14:textId="36B58391" w:rsidR="001030D3" w:rsidRPr="002815F4" w:rsidRDefault="00824676" w:rsidP="00E217A9">
            <w:pPr>
              <w:pStyle w:val="Tabletext"/>
              <w:rPr>
                <w:lang w:val="en-GB"/>
              </w:rPr>
            </w:pPr>
            <w:r w:rsidRPr="002815F4">
              <w:rPr>
                <w:lang w:val="en-GB"/>
              </w:rPr>
              <w:t>Not Applicable</w:t>
            </w:r>
          </w:p>
        </w:tc>
      </w:tr>
      <w:tr w:rsidR="006D4E9B" w:rsidRPr="002815F4" w14:paraId="4F1ADA6D" w14:textId="77777777" w:rsidTr="007474FE">
        <w:tc>
          <w:tcPr>
            <w:tcW w:w="2662" w:type="dxa"/>
            <w:shd w:val="clear" w:color="auto" w:fill="auto"/>
            <w:vAlign w:val="center"/>
          </w:tcPr>
          <w:p w14:paraId="4F3C41C9" w14:textId="77777777" w:rsidR="001030D3" w:rsidRPr="002815F4" w:rsidRDefault="001030D3" w:rsidP="00E217A9">
            <w:pPr>
              <w:pStyle w:val="Tabletext"/>
              <w:rPr>
                <w:lang w:val="en-GB"/>
              </w:rPr>
            </w:pPr>
            <w:r w:rsidRPr="002815F4">
              <w:rPr>
                <w:lang w:val="en-GB"/>
              </w:rPr>
              <w:t>Level of disaggregation (#4.7)</w:t>
            </w:r>
          </w:p>
        </w:tc>
        <w:tc>
          <w:tcPr>
            <w:tcW w:w="4732" w:type="dxa"/>
            <w:shd w:val="clear" w:color="auto" w:fill="auto"/>
            <w:vAlign w:val="center"/>
          </w:tcPr>
          <w:p w14:paraId="55B4A0F2" w14:textId="67EEB87B" w:rsidR="001030D3" w:rsidRPr="002815F4" w:rsidRDefault="00DC3F6D" w:rsidP="00E217A9">
            <w:pPr>
              <w:pStyle w:val="Tabletext"/>
              <w:rPr>
                <w:lang w:val="en-GB"/>
              </w:rPr>
            </w:pPr>
            <w:r w:rsidRPr="002815F4">
              <w:rPr>
                <w:lang w:val="en-GB"/>
              </w:rPr>
              <w:t>The data is disaggregated by individual company, revenue stream and government entity for all revenue streams. It is also encouraging that EITI Senegal has made detailed reconciliation tables in open data format available on its website.</w:t>
            </w:r>
          </w:p>
        </w:tc>
        <w:tc>
          <w:tcPr>
            <w:tcW w:w="1983" w:type="dxa"/>
            <w:vAlign w:val="center"/>
          </w:tcPr>
          <w:p w14:paraId="0D8F5775" w14:textId="2541CD46" w:rsidR="001030D3" w:rsidRPr="002815F4" w:rsidRDefault="00824676" w:rsidP="00E217A9">
            <w:pPr>
              <w:pStyle w:val="Tabletext"/>
              <w:rPr>
                <w:lang w:val="en-GB"/>
              </w:rPr>
            </w:pPr>
            <w:r w:rsidRPr="002815F4">
              <w:rPr>
                <w:lang w:val="en-GB"/>
              </w:rPr>
              <w:t>Satisfactory</w:t>
            </w:r>
            <w:r w:rsidR="00BB19E6">
              <w:rPr>
                <w:lang w:val="en-GB"/>
              </w:rPr>
              <w:t xml:space="preserve"> progress</w:t>
            </w:r>
          </w:p>
        </w:tc>
      </w:tr>
      <w:tr w:rsidR="006D4E9B" w:rsidRPr="002815F4" w14:paraId="17838198" w14:textId="77777777" w:rsidTr="007474FE">
        <w:tc>
          <w:tcPr>
            <w:tcW w:w="2662" w:type="dxa"/>
            <w:shd w:val="clear" w:color="auto" w:fill="auto"/>
            <w:vAlign w:val="center"/>
          </w:tcPr>
          <w:p w14:paraId="543A66E8" w14:textId="77777777" w:rsidR="001030D3" w:rsidRPr="002815F4" w:rsidRDefault="001030D3" w:rsidP="00E217A9">
            <w:pPr>
              <w:pStyle w:val="Tabletext"/>
              <w:rPr>
                <w:lang w:val="en-GB"/>
              </w:rPr>
            </w:pPr>
            <w:r w:rsidRPr="002815F4">
              <w:rPr>
                <w:lang w:val="en-GB"/>
              </w:rPr>
              <w:t>Data timeliness (#4.8)</w:t>
            </w:r>
          </w:p>
        </w:tc>
        <w:tc>
          <w:tcPr>
            <w:tcW w:w="4732" w:type="dxa"/>
            <w:shd w:val="clear" w:color="auto" w:fill="auto"/>
            <w:vAlign w:val="center"/>
          </w:tcPr>
          <w:p w14:paraId="5F8AADEB" w14:textId="0BAAEDA8" w:rsidR="001030D3" w:rsidRPr="002815F4" w:rsidRDefault="00DC3F6D" w:rsidP="00E217A9">
            <w:pPr>
              <w:pStyle w:val="Tabletext"/>
              <w:rPr>
                <w:lang w:val="en-GB"/>
              </w:rPr>
            </w:pPr>
            <w:r w:rsidRPr="002815F4">
              <w:rPr>
                <w:lang w:val="en-GB"/>
              </w:rPr>
              <w:t>Senegal has published EITI Reports on an annual basis and the data has not been older than the second to the last complete accounting period. The MSG approved the reporting period. There is evidence of EITI Senegal making efforts to go beyond the minimum requirement by exploring opportunities to disclose data as soon as practically possible, both through timelier EITI Reports as well as through continuous online disclosures.</w:t>
            </w:r>
          </w:p>
        </w:tc>
        <w:tc>
          <w:tcPr>
            <w:tcW w:w="1983" w:type="dxa"/>
            <w:vAlign w:val="center"/>
          </w:tcPr>
          <w:p w14:paraId="663EEFD4" w14:textId="402407DF" w:rsidR="001030D3" w:rsidRPr="002815F4" w:rsidRDefault="00824676" w:rsidP="00E217A9">
            <w:pPr>
              <w:pStyle w:val="Tabletext"/>
              <w:rPr>
                <w:lang w:val="en-GB"/>
              </w:rPr>
            </w:pPr>
            <w:r w:rsidRPr="002815F4">
              <w:rPr>
                <w:lang w:val="en-GB"/>
              </w:rPr>
              <w:t>Satisfactory</w:t>
            </w:r>
            <w:r w:rsidR="00BB19E6">
              <w:rPr>
                <w:lang w:val="en-GB"/>
              </w:rPr>
              <w:t xml:space="preserve"> progress</w:t>
            </w:r>
          </w:p>
        </w:tc>
      </w:tr>
      <w:tr w:rsidR="006D4E9B" w:rsidRPr="002815F4" w14:paraId="65F7B711" w14:textId="77777777" w:rsidTr="007474FE">
        <w:tc>
          <w:tcPr>
            <w:tcW w:w="2662" w:type="dxa"/>
            <w:shd w:val="clear" w:color="auto" w:fill="auto"/>
            <w:vAlign w:val="center"/>
          </w:tcPr>
          <w:p w14:paraId="2B0F5513" w14:textId="77777777" w:rsidR="001030D3" w:rsidRPr="002815F4" w:rsidRDefault="001030D3" w:rsidP="00E217A9">
            <w:pPr>
              <w:pStyle w:val="Tabletext"/>
              <w:rPr>
                <w:lang w:val="en-GB"/>
              </w:rPr>
            </w:pPr>
            <w:r w:rsidRPr="002815F4">
              <w:rPr>
                <w:lang w:val="en-GB"/>
              </w:rPr>
              <w:t>Data quality (#4.9)</w:t>
            </w:r>
          </w:p>
        </w:tc>
        <w:tc>
          <w:tcPr>
            <w:tcW w:w="4732" w:type="dxa"/>
            <w:shd w:val="clear" w:color="auto" w:fill="auto"/>
            <w:vAlign w:val="center"/>
          </w:tcPr>
          <w:p w14:paraId="56440AFB" w14:textId="3DB181B5" w:rsidR="001030D3" w:rsidRPr="002815F4" w:rsidRDefault="00DC3F6D" w:rsidP="008D5615">
            <w:pPr>
              <w:pStyle w:val="Tabletext"/>
              <w:rPr>
                <w:lang w:val="en-GB"/>
              </w:rPr>
            </w:pPr>
            <w:r w:rsidRPr="002815F4">
              <w:rPr>
                <w:lang w:val="en-GB"/>
              </w:rPr>
              <w:t xml:space="preserve">The reconciliation of payments and revenues has been undertaken by an IA, appointed by the MSG, and applying international professional standards. The IA and the MSG agreed ToR for the production of the 2014 EITI Report consistent with the standard ToR and agreed upon procedures issued by the EITI Board, and applied this ToR and procedures in practice. The final report provides a clear statement from the IA on the comprehensiveness and reliability of the (financial) data presented, including an informative summary of the work performed by the IA and the limitations of the assessment provided. While the report indicates a coverage of the reconciliation exercise, based on the government's disclosure of total revenues which omit one exceptional payment to government, it </w:t>
            </w:r>
            <w:r w:rsidRPr="002815F4">
              <w:rPr>
                <w:lang w:val="en-GB"/>
              </w:rPr>
              <w:lastRenderedPageBreak/>
              <w:t xml:space="preserve">is possible to calculate the </w:t>
            </w:r>
            <w:r w:rsidR="008D5615">
              <w:rPr>
                <w:lang w:val="en-GB"/>
              </w:rPr>
              <w:t>final</w:t>
            </w:r>
            <w:r w:rsidR="008D5615" w:rsidRPr="002815F4">
              <w:rPr>
                <w:lang w:val="en-GB"/>
              </w:rPr>
              <w:t xml:space="preserve"> </w:t>
            </w:r>
            <w:r w:rsidRPr="002815F4">
              <w:rPr>
                <w:lang w:val="en-GB"/>
              </w:rPr>
              <w:t>reconciliation coverage.</w:t>
            </w:r>
          </w:p>
        </w:tc>
        <w:tc>
          <w:tcPr>
            <w:tcW w:w="1983" w:type="dxa"/>
            <w:vAlign w:val="center"/>
          </w:tcPr>
          <w:p w14:paraId="0B66131B" w14:textId="49839155" w:rsidR="001030D3" w:rsidRPr="002815F4" w:rsidRDefault="00824676" w:rsidP="00E217A9">
            <w:pPr>
              <w:pStyle w:val="Tabletext"/>
              <w:rPr>
                <w:lang w:val="en-GB"/>
              </w:rPr>
            </w:pPr>
            <w:r w:rsidRPr="002815F4">
              <w:rPr>
                <w:lang w:val="en-GB"/>
              </w:rPr>
              <w:lastRenderedPageBreak/>
              <w:t>Satisfactory</w:t>
            </w:r>
            <w:r w:rsidR="00BB19E6">
              <w:rPr>
                <w:lang w:val="en-GB"/>
              </w:rPr>
              <w:t xml:space="preserve"> progress</w:t>
            </w:r>
          </w:p>
        </w:tc>
      </w:tr>
      <w:tr w:rsidR="001030D3" w:rsidRPr="002815F4" w14:paraId="0E9889D9" w14:textId="77777777" w:rsidTr="00E03D03">
        <w:tc>
          <w:tcPr>
            <w:tcW w:w="9377" w:type="dxa"/>
            <w:gridSpan w:val="3"/>
            <w:shd w:val="clear" w:color="auto" w:fill="FFFFFF"/>
            <w:vAlign w:val="center"/>
          </w:tcPr>
          <w:p w14:paraId="6B36F338" w14:textId="3378164C" w:rsidR="001030D3" w:rsidRPr="002815F4" w:rsidRDefault="00C86D75" w:rsidP="00E217A9">
            <w:pPr>
              <w:pStyle w:val="Tabletext"/>
              <w:rPr>
                <w:lang w:val="en-GB"/>
              </w:rPr>
            </w:pPr>
            <w:r w:rsidRPr="006D747D">
              <w:rPr>
                <w:b/>
                <w:lang w:val="en-GB"/>
              </w:rPr>
              <w:lastRenderedPageBreak/>
              <w:t xml:space="preserve">Secretariat’s </w:t>
            </w:r>
            <w:r w:rsidR="001030D3" w:rsidRPr="006D747D">
              <w:rPr>
                <w:b/>
                <w:lang w:val="en-GB"/>
              </w:rPr>
              <w:t>recommendations</w:t>
            </w:r>
            <w:r w:rsidR="001030D3" w:rsidRPr="002815F4">
              <w:rPr>
                <w:lang w:val="en-GB"/>
              </w:rPr>
              <w:t>:</w:t>
            </w:r>
          </w:p>
          <w:p w14:paraId="361DA8B3" w14:textId="0DB17203" w:rsidR="001030D3" w:rsidRPr="004158A2" w:rsidRDefault="006D4E9B" w:rsidP="006D747D">
            <w:pPr>
              <w:pStyle w:val="ListParagraph"/>
              <w:numPr>
                <w:ilvl w:val="0"/>
                <w:numId w:val="71"/>
              </w:numPr>
              <w:rPr>
                <w:rFonts w:eastAsia="Calibri"/>
              </w:rPr>
            </w:pPr>
            <w:r w:rsidRPr="002815F4">
              <w:t>To further strengthen implementation, the MSG could ensure that future EITI Reports include publicly-accessible and audited evidence of any exceptional material payment to government from companies without contractual links to Senegal.</w:t>
            </w:r>
            <w:r w:rsidRPr="002815F4" w:rsidDel="006D4E9B">
              <w:t xml:space="preserve"> </w:t>
            </w:r>
          </w:p>
          <w:p w14:paraId="2ADDB086" w14:textId="6B6F9C41" w:rsidR="001030D3" w:rsidRPr="004158A2" w:rsidRDefault="006D4E9B" w:rsidP="006D747D">
            <w:pPr>
              <w:pStyle w:val="ListParagraph"/>
              <w:numPr>
                <w:ilvl w:val="0"/>
                <w:numId w:val="71"/>
              </w:numPr>
              <w:rPr>
                <w:rFonts w:eastAsia="Calibri"/>
              </w:rPr>
            </w:pPr>
            <w:r w:rsidRPr="002815F4">
              <w:t xml:space="preserve">To strengthen implementation, the MSG </w:t>
            </w:r>
            <w:r w:rsidR="00C30EDD" w:rsidRPr="002815F4">
              <w:t>is encouraged to</w:t>
            </w:r>
            <w:r w:rsidRPr="002815F4">
              <w:t xml:space="preserve"> ensure that future EITI Reports provide a level of detail and transparency for any barter agreement commensurate with the disclosure and reconciliation of other payments and revenues streams.</w:t>
            </w:r>
            <w:r w:rsidRPr="002815F4" w:rsidDel="006D4E9B">
              <w:t xml:space="preserve"> </w:t>
            </w:r>
          </w:p>
          <w:p w14:paraId="021C8CCA" w14:textId="33CA482D" w:rsidR="003E58F5" w:rsidRPr="004158A2" w:rsidRDefault="00DC3F6D" w:rsidP="006D747D">
            <w:pPr>
              <w:pStyle w:val="ListParagraph"/>
              <w:numPr>
                <w:ilvl w:val="0"/>
                <w:numId w:val="71"/>
              </w:numPr>
              <w:rPr>
                <w:rFonts w:eastAsia="Calibri"/>
              </w:rPr>
            </w:pPr>
            <w:r w:rsidRPr="002815F4">
              <w:t>To further strengthen implementation, the MSG could ensure that future EITI Reports include explicit figures for the volumes and values of commodities transported under arrangements where the government receives transportation revenues.</w:t>
            </w:r>
            <w:r w:rsidRPr="002815F4" w:rsidDel="00DC3F6D">
              <w:t xml:space="preserve"> </w:t>
            </w:r>
          </w:p>
          <w:p w14:paraId="16851E77" w14:textId="77777777" w:rsidR="00DC3F6D" w:rsidRPr="004158A2" w:rsidRDefault="00DC3F6D" w:rsidP="006D747D">
            <w:pPr>
              <w:pStyle w:val="ListParagraph"/>
              <w:numPr>
                <w:ilvl w:val="0"/>
                <w:numId w:val="71"/>
              </w:numPr>
              <w:rPr>
                <w:rFonts w:eastAsia="Calibri"/>
              </w:rPr>
            </w:pPr>
            <w:r w:rsidRPr="002815F4">
              <w:t xml:space="preserve">To further strengthen implementation, the MSG may wish to make progress in implementing project-level EITI reporting ahead of the deadline for all EITI Reports covering fiscal periods ending on or after 31 December 2018, agreed by the EITI Board at its 36th meeting in Bogotá. </w:t>
            </w:r>
          </w:p>
          <w:p w14:paraId="0ACDA751" w14:textId="0E55F5CF" w:rsidR="00DC3F6D" w:rsidRPr="004158A2" w:rsidRDefault="00DC3F6D" w:rsidP="006D747D">
            <w:pPr>
              <w:pStyle w:val="ListParagraph"/>
              <w:numPr>
                <w:ilvl w:val="0"/>
                <w:numId w:val="71"/>
              </w:numPr>
              <w:rPr>
                <w:rFonts w:eastAsia="Calibri"/>
              </w:rPr>
            </w:pPr>
            <w:r w:rsidRPr="004158A2">
              <w:rPr>
                <w:rFonts w:eastAsia="Calibri"/>
              </w:rPr>
              <w:t>To strengthen implementation, Senegal EITI is encouraged to strengthen its efforts to publish more up-to-date EITI Reports to ensure the data is more relevant and useful to public debate.</w:t>
            </w:r>
          </w:p>
        </w:tc>
      </w:tr>
    </w:tbl>
    <w:p w14:paraId="455FE5A0" w14:textId="77777777" w:rsidR="00574BFC" w:rsidRPr="002815F4" w:rsidRDefault="00574BFC" w:rsidP="00574BFC">
      <w:pPr>
        <w:rPr>
          <w:rFonts w:ascii="Calibri" w:hAnsi="Calibri"/>
        </w:rPr>
      </w:pPr>
    </w:p>
    <w:p w14:paraId="0EF28A6A" w14:textId="77777777" w:rsidR="00396E0A" w:rsidRPr="002815F4" w:rsidRDefault="00396E0A">
      <w:pPr>
        <w:widowControl/>
        <w:suppressAutoHyphens w:val="0"/>
        <w:spacing w:after="0" w:line="240" w:lineRule="auto"/>
        <w:rPr>
          <w:rFonts w:ascii="Calibri" w:hAnsi="Calibri"/>
          <w:b/>
          <w:bCs/>
          <w:color w:val="4F81BD"/>
          <w:sz w:val="28"/>
          <w:szCs w:val="26"/>
        </w:rPr>
      </w:pPr>
      <w:bookmarkStart w:id="328" w:name="_Toc459133171"/>
      <w:bookmarkStart w:id="329" w:name="_Toc461803121"/>
      <w:bookmarkStart w:id="330" w:name="_Toc461787350"/>
      <w:bookmarkStart w:id="331" w:name="_Toc461795862"/>
      <w:bookmarkStart w:id="332" w:name="_Toc462149198"/>
      <w:r w:rsidRPr="002815F4">
        <w:rPr>
          <w:rFonts w:ascii="Calibri" w:hAnsi="Calibri"/>
        </w:rPr>
        <w:br w:type="page"/>
      </w:r>
    </w:p>
    <w:p w14:paraId="5DE9657A" w14:textId="49BAE41E" w:rsidR="000722F1" w:rsidRPr="002815F4" w:rsidRDefault="000C662A" w:rsidP="009B3E66">
      <w:pPr>
        <w:pStyle w:val="Heading2"/>
      </w:pPr>
      <w:r w:rsidRPr="002815F4">
        <w:lastRenderedPageBreak/>
        <w:t xml:space="preserve">5. </w:t>
      </w:r>
      <w:r w:rsidR="000722F1" w:rsidRPr="002815F4">
        <w:t>Revenue management and distribution</w:t>
      </w:r>
      <w:bookmarkEnd w:id="328"/>
      <w:bookmarkEnd w:id="329"/>
      <w:bookmarkEnd w:id="330"/>
      <w:bookmarkEnd w:id="331"/>
      <w:bookmarkEnd w:id="332"/>
      <w:r w:rsidR="000722F1" w:rsidRPr="002815F4">
        <w:t xml:space="preserve"> </w:t>
      </w:r>
    </w:p>
    <w:p w14:paraId="3C443CCF" w14:textId="022FE179" w:rsidR="00372B0D" w:rsidRPr="002815F4" w:rsidRDefault="000C6CDF" w:rsidP="009B3E66">
      <w:pPr>
        <w:pStyle w:val="Heading2notindexed"/>
      </w:pPr>
      <w:bookmarkStart w:id="333" w:name="_Toc459133172"/>
      <w:bookmarkStart w:id="334" w:name="_Toc461803122"/>
      <w:bookmarkStart w:id="335" w:name="_Toc461787351"/>
      <w:bookmarkStart w:id="336" w:name="_Toc461795863"/>
      <w:r w:rsidRPr="002815F4">
        <w:t xml:space="preserve">5.1 </w:t>
      </w:r>
      <w:r w:rsidR="000722F1" w:rsidRPr="002815F4">
        <w:t>Overview</w:t>
      </w:r>
      <w:bookmarkEnd w:id="333"/>
      <w:bookmarkEnd w:id="334"/>
      <w:bookmarkEnd w:id="335"/>
      <w:bookmarkEnd w:id="336"/>
    </w:p>
    <w:p w14:paraId="7EB215DC" w14:textId="2837E45E" w:rsidR="000722F1" w:rsidRPr="002815F4" w:rsidRDefault="00372B0D" w:rsidP="000722F1">
      <w:pPr>
        <w:spacing w:before="120"/>
        <w:rPr>
          <w:rFonts w:ascii="Calibri" w:hAnsi="Calibri"/>
        </w:rPr>
      </w:pPr>
      <w:r w:rsidRPr="002815F4">
        <w:rPr>
          <w:rFonts w:ascii="Calibri" w:hAnsi="Calibri"/>
        </w:rPr>
        <w:t>This section provides details on the implementation of the EITI requirements related to revenue management and distribution.</w:t>
      </w:r>
    </w:p>
    <w:p w14:paraId="10FD9981" w14:textId="35472D67" w:rsidR="000722F1" w:rsidRPr="002815F4" w:rsidRDefault="000C6CDF" w:rsidP="009B3E66">
      <w:pPr>
        <w:pStyle w:val="Heading2notindexed"/>
      </w:pPr>
      <w:bookmarkStart w:id="337" w:name="_Toc459133173"/>
      <w:bookmarkStart w:id="338" w:name="_Toc461803123"/>
      <w:bookmarkStart w:id="339" w:name="_Toc461787352"/>
      <w:bookmarkStart w:id="340" w:name="_Toc461795864"/>
      <w:r w:rsidRPr="002815F4">
        <w:t xml:space="preserve">5.2 </w:t>
      </w:r>
      <w:r w:rsidR="000722F1" w:rsidRPr="002815F4">
        <w:t>Assessment</w:t>
      </w:r>
      <w:bookmarkEnd w:id="337"/>
      <w:bookmarkEnd w:id="338"/>
      <w:bookmarkEnd w:id="339"/>
      <w:bookmarkEnd w:id="340"/>
    </w:p>
    <w:p w14:paraId="5C8F8E03" w14:textId="78F09317" w:rsidR="00436407" w:rsidRPr="002815F4" w:rsidRDefault="00436407" w:rsidP="009B3E66">
      <w:pPr>
        <w:pStyle w:val="Heading2"/>
      </w:pPr>
      <w:bookmarkStart w:id="341" w:name="_Toc459133174"/>
      <w:bookmarkStart w:id="342" w:name="_Toc461803124"/>
      <w:bookmarkStart w:id="343" w:name="_Toc461787353"/>
      <w:bookmarkStart w:id="344" w:name="_Toc461795865"/>
      <w:bookmarkStart w:id="345" w:name="_Toc462149199"/>
      <w:r w:rsidRPr="002815F4">
        <w:t>Distribution of revenues (#5.1)</w:t>
      </w:r>
      <w:bookmarkEnd w:id="341"/>
      <w:bookmarkEnd w:id="342"/>
      <w:bookmarkEnd w:id="343"/>
      <w:bookmarkEnd w:id="344"/>
      <w:bookmarkEnd w:id="345"/>
    </w:p>
    <w:p w14:paraId="11E077A1" w14:textId="58F1FA8D" w:rsidR="00434FDA" w:rsidRPr="002815F4" w:rsidRDefault="00DF51CD" w:rsidP="009B3E66">
      <w:pPr>
        <w:pStyle w:val="Heading3"/>
      </w:pPr>
      <w:r w:rsidRPr="002815F4">
        <w:t xml:space="preserve">Documentation of progress </w:t>
      </w:r>
    </w:p>
    <w:p w14:paraId="48B5C317" w14:textId="5DC9E308" w:rsidR="007D38D2" w:rsidRPr="002815F4" w:rsidRDefault="00AF70A0" w:rsidP="00DF51CD">
      <w:pPr>
        <w:spacing w:before="120"/>
        <w:rPr>
          <w:rFonts w:ascii="Calibri" w:hAnsi="Calibri"/>
          <w:bCs/>
        </w:rPr>
      </w:pPr>
      <w:r w:rsidRPr="002815F4">
        <w:rPr>
          <w:rFonts w:ascii="Calibri" w:hAnsi="Calibri"/>
          <w:bCs/>
        </w:rPr>
        <w:t>The 2014 EITI Report provides a list of extractives revenue flows that are not recorded in the national budget</w:t>
      </w:r>
      <w:r w:rsidRPr="002815F4">
        <w:rPr>
          <w:rStyle w:val="FootnoteReference"/>
          <w:rFonts w:ascii="Calibri" w:hAnsi="Calibri"/>
          <w:bCs/>
        </w:rPr>
        <w:footnoteReference w:id="82"/>
      </w:r>
      <w:r w:rsidRPr="002815F4">
        <w:rPr>
          <w:rFonts w:ascii="Calibri" w:hAnsi="Calibri"/>
          <w:bCs/>
        </w:rPr>
        <w:t xml:space="preserve"> and confirms that all other government extractives revenues are recorded in the national budget (2014 EITI Report, p</w:t>
      </w:r>
      <w:r w:rsidR="002D5A9A" w:rsidRPr="002815F4">
        <w:rPr>
          <w:rFonts w:ascii="Calibri" w:hAnsi="Calibri"/>
          <w:bCs/>
        </w:rPr>
        <w:t>p.56-58</w:t>
      </w:r>
      <w:r w:rsidRPr="002815F4">
        <w:rPr>
          <w:rFonts w:ascii="Calibri" w:hAnsi="Calibri"/>
          <w:bCs/>
        </w:rPr>
        <w:t xml:space="preserve">). </w:t>
      </w:r>
      <w:r w:rsidR="007D38D2" w:rsidRPr="002815F4">
        <w:rPr>
          <w:rFonts w:ascii="Calibri" w:hAnsi="Calibri"/>
          <w:bCs/>
        </w:rPr>
        <w:t>T</w:t>
      </w:r>
      <w:r w:rsidR="002D5A9A" w:rsidRPr="002815F4">
        <w:rPr>
          <w:rFonts w:ascii="Calibri" w:hAnsi="Calibri"/>
          <w:bCs/>
        </w:rPr>
        <w:t>he report provides a detailed break-down of extractives revenues retained by each relevant entity (2014 EITI Report, p.76)</w:t>
      </w:r>
      <w:r w:rsidR="007D38D2" w:rsidRPr="002815F4">
        <w:rPr>
          <w:rFonts w:ascii="Calibri" w:hAnsi="Calibri"/>
          <w:bCs/>
        </w:rPr>
        <w:t>.</w:t>
      </w:r>
      <w:r w:rsidR="002D5A9A" w:rsidRPr="002815F4">
        <w:rPr>
          <w:rFonts w:ascii="Calibri" w:hAnsi="Calibri"/>
          <w:bCs/>
        </w:rPr>
        <w:t xml:space="preserve"> </w:t>
      </w:r>
      <w:r w:rsidR="007D38D2" w:rsidRPr="002815F4">
        <w:rPr>
          <w:rFonts w:ascii="Calibri" w:hAnsi="Calibri"/>
          <w:bCs/>
        </w:rPr>
        <w:t xml:space="preserve">For revenues retained by Petrosen, the report confirms that these are used to finance its </w:t>
      </w:r>
      <w:r w:rsidR="00C46796" w:rsidRPr="002815F4">
        <w:rPr>
          <w:rFonts w:ascii="Calibri" w:hAnsi="Calibri"/>
          <w:bCs/>
        </w:rPr>
        <w:t>operations</w:t>
      </w:r>
      <w:r w:rsidR="007D38D2" w:rsidRPr="002815F4">
        <w:rPr>
          <w:rFonts w:ascii="Calibri" w:hAnsi="Calibri"/>
          <w:bCs/>
        </w:rPr>
        <w:t xml:space="preserve"> </w:t>
      </w:r>
      <w:r w:rsidR="00C46796" w:rsidRPr="002815F4">
        <w:rPr>
          <w:rFonts w:ascii="Calibri" w:hAnsi="Calibri"/>
          <w:bCs/>
        </w:rPr>
        <w:t xml:space="preserve">(2014 EITI Report, p.54) and provides a </w:t>
      </w:r>
      <w:r w:rsidR="00C40F78" w:rsidRPr="002815F4">
        <w:rPr>
          <w:rFonts w:ascii="Calibri" w:hAnsi="Calibri"/>
          <w:bCs/>
        </w:rPr>
        <w:t>breakdown in revenue flows retained by Petrosen (2014 EITI Report, p.114). With regards to the customs levies by UEMOA and ECOWAS, the report does not provide an overview of the allocation of such funds by these supranational bodies although it lists the regional circulars implementing the UEMOA Common External Tariff</w:t>
      </w:r>
      <w:r w:rsidR="00C40F78" w:rsidRPr="002815F4">
        <w:rPr>
          <w:rStyle w:val="FootnoteReference"/>
          <w:rFonts w:ascii="Calibri" w:hAnsi="Calibri"/>
          <w:bCs/>
        </w:rPr>
        <w:footnoteReference w:id="83"/>
      </w:r>
      <w:r w:rsidR="00C40F78" w:rsidRPr="002815F4">
        <w:rPr>
          <w:rFonts w:ascii="Calibri" w:hAnsi="Calibri"/>
          <w:bCs/>
        </w:rPr>
        <w:t xml:space="preserve"> and the ECOWAS treaty</w:t>
      </w:r>
      <w:r w:rsidR="00C40F78" w:rsidRPr="002815F4">
        <w:rPr>
          <w:rStyle w:val="FootnoteReference"/>
          <w:rFonts w:ascii="Calibri" w:hAnsi="Calibri"/>
          <w:bCs/>
        </w:rPr>
        <w:footnoteReference w:id="84"/>
      </w:r>
      <w:r w:rsidR="00C40F78" w:rsidRPr="002815F4">
        <w:rPr>
          <w:rFonts w:ascii="Calibri" w:hAnsi="Calibri"/>
          <w:bCs/>
        </w:rPr>
        <w:t xml:space="preserve"> (2014 EITI Report, p.157). With regards to the social contributions to CSS and Ipres, the report clarifies that these represent companies’ contributions to pension and social security funds (2014 EITI Report, p.157). Finally</w:t>
      </w:r>
      <w:r w:rsidR="00995EB5">
        <w:rPr>
          <w:rFonts w:ascii="Calibri" w:hAnsi="Calibri"/>
          <w:bCs/>
        </w:rPr>
        <w:t xml:space="preserve"> </w:t>
      </w:r>
      <w:r w:rsidR="004A2083" w:rsidRPr="002815F4">
        <w:rPr>
          <w:rFonts w:ascii="Calibri" w:hAnsi="Calibri"/>
          <w:bCs/>
        </w:rPr>
        <w:t>the report refers to the agreement establishing the AGC</w:t>
      </w:r>
      <w:r w:rsidR="004A2083" w:rsidRPr="002815F4">
        <w:rPr>
          <w:rStyle w:val="FootnoteReference"/>
          <w:rFonts w:ascii="Calibri" w:hAnsi="Calibri"/>
          <w:bCs/>
        </w:rPr>
        <w:footnoteReference w:id="85"/>
      </w:r>
      <w:r w:rsidR="004A2083" w:rsidRPr="002815F4">
        <w:rPr>
          <w:rFonts w:ascii="Calibri" w:hAnsi="Calibri"/>
          <w:bCs/>
        </w:rPr>
        <w:t xml:space="preserve"> and describes the AGC’s functions, clarifying that the AGC retains these revenues to finance its activities (2014 EITI Report, pp.48-49).</w:t>
      </w:r>
    </w:p>
    <w:p w14:paraId="0E93B149" w14:textId="3C8BE731" w:rsidR="00EA0BDE" w:rsidRPr="002815F4" w:rsidRDefault="00EA0BDE" w:rsidP="00DF51CD">
      <w:pPr>
        <w:spacing w:before="120"/>
        <w:rPr>
          <w:rFonts w:ascii="Calibri" w:hAnsi="Calibri"/>
          <w:bCs/>
        </w:rPr>
      </w:pPr>
      <w:r w:rsidRPr="002815F4">
        <w:rPr>
          <w:rFonts w:ascii="Calibri" w:hAnsi="Calibri"/>
          <w:bCs/>
        </w:rPr>
        <w:t xml:space="preserve">The 2014 EITI Report states that the government’s financial </w:t>
      </w:r>
      <w:r w:rsidR="00034FF0" w:rsidRPr="002815F4">
        <w:rPr>
          <w:rFonts w:ascii="Calibri" w:hAnsi="Calibri"/>
          <w:bCs/>
        </w:rPr>
        <w:t xml:space="preserve">accounts </w:t>
      </w:r>
      <w:r w:rsidRPr="002815F4">
        <w:rPr>
          <w:rFonts w:ascii="Calibri" w:hAnsi="Calibri"/>
          <w:bCs/>
        </w:rPr>
        <w:t xml:space="preserve">(TOFE) and other budget documents do not include a specific nomenclature for </w:t>
      </w:r>
      <w:r w:rsidR="0067233E" w:rsidRPr="002815F4">
        <w:rPr>
          <w:rFonts w:ascii="Calibri" w:hAnsi="Calibri"/>
          <w:bCs/>
        </w:rPr>
        <w:t xml:space="preserve">extractives </w:t>
      </w:r>
      <w:r w:rsidRPr="002815F4">
        <w:rPr>
          <w:rFonts w:ascii="Calibri" w:hAnsi="Calibri"/>
          <w:bCs/>
        </w:rPr>
        <w:t>revenues (2014 EITI Report, p.59) but does not comment more broadly on Senegal’s national revenue classification system</w:t>
      </w:r>
      <w:r w:rsidR="005102E0" w:rsidRPr="002815F4">
        <w:rPr>
          <w:rFonts w:ascii="Calibri" w:hAnsi="Calibri"/>
          <w:bCs/>
        </w:rPr>
        <w:t xml:space="preserve">. </w:t>
      </w:r>
    </w:p>
    <w:p w14:paraId="7E300B70" w14:textId="4725DC06" w:rsidR="00434FDA" w:rsidRPr="002815F4" w:rsidRDefault="00DF51CD" w:rsidP="009B3E66">
      <w:pPr>
        <w:pStyle w:val="Heading3"/>
      </w:pPr>
      <w:r w:rsidRPr="002815F4">
        <w:t xml:space="preserve">Stakeholder views </w:t>
      </w:r>
    </w:p>
    <w:p w14:paraId="0C968EFD" w14:textId="436A1D1E" w:rsidR="007C2DB1" w:rsidRPr="002815F4" w:rsidRDefault="006307FF" w:rsidP="00DF51CD">
      <w:pPr>
        <w:spacing w:before="120"/>
        <w:rPr>
          <w:rFonts w:ascii="Calibri" w:hAnsi="Calibri"/>
          <w:bCs/>
        </w:rPr>
      </w:pPr>
      <w:r w:rsidRPr="002815F4">
        <w:rPr>
          <w:rFonts w:ascii="Calibri" w:hAnsi="Calibri"/>
          <w:bCs/>
        </w:rPr>
        <w:t xml:space="preserve">All stakeholders consulted expressed satisfaction at the 2014 EITI Report’s description of off-budget extractives revenues, although secretariat staff and the IA highlighted the low value of such off-budget revenues. Several industry representatives considered that there were adequate checks on Petrosen’s </w:t>
      </w:r>
      <w:r w:rsidRPr="002815F4">
        <w:rPr>
          <w:rFonts w:ascii="Calibri" w:hAnsi="Calibri"/>
          <w:bCs/>
        </w:rPr>
        <w:lastRenderedPageBreak/>
        <w:t xml:space="preserve">spending through its annual audited financial statements. </w:t>
      </w:r>
      <w:r w:rsidR="007C2DB1" w:rsidRPr="002815F4">
        <w:rPr>
          <w:rFonts w:ascii="Calibri" w:hAnsi="Calibri"/>
          <w:bCs/>
        </w:rPr>
        <w:t>Secretariat staff confirmed that Senegal operated a national revenue classification system based on GFS-2001 classifications. They explained that EITI Senegal had circulated draft ToR to the Treasury to implement an extra</w:t>
      </w:r>
      <w:r w:rsidR="00F54DFE" w:rsidRPr="002815F4">
        <w:rPr>
          <w:rFonts w:ascii="Calibri" w:hAnsi="Calibri"/>
          <w:bCs/>
        </w:rPr>
        <w:t>ct</w:t>
      </w:r>
      <w:r w:rsidR="007C2DB1" w:rsidRPr="002815F4">
        <w:rPr>
          <w:rFonts w:ascii="Calibri" w:hAnsi="Calibri"/>
          <w:bCs/>
        </w:rPr>
        <w:t xml:space="preserve">ives-specific revenue classification system, using the GFSe classifications from the EITI summary data tables and updating Senegal’s national system to the GFS-2014 classification. Secretariat staff highlighted the importance of this work to enable the Treasury to disaggregate an </w:t>
      </w:r>
      <w:r w:rsidR="002815F4" w:rsidRPr="002815F4">
        <w:rPr>
          <w:rFonts w:ascii="Calibri" w:hAnsi="Calibri"/>
          <w:bCs/>
        </w:rPr>
        <w:t>extractives</w:t>
      </w:r>
      <w:r w:rsidR="007C2DB1" w:rsidRPr="002815F4">
        <w:rPr>
          <w:rFonts w:ascii="Calibri" w:hAnsi="Calibri"/>
          <w:bCs/>
        </w:rPr>
        <w:t>-specific line in the government’s accounts (TOFE), which would enable better planning of revenues over the medium-term by isolating volatile extra</w:t>
      </w:r>
      <w:r w:rsidR="00F54DFE" w:rsidRPr="002815F4">
        <w:rPr>
          <w:rFonts w:ascii="Calibri" w:hAnsi="Calibri"/>
          <w:bCs/>
        </w:rPr>
        <w:t>ct</w:t>
      </w:r>
      <w:r w:rsidR="007C2DB1" w:rsidRPr="002815F4">
        <w:rPr>
          <w:rFonts w:ascii="Calibri" w:hAnsi="Calibri"/>
          <w:bCs/>
        </w:rPr>
        <w:t xml:space="preserve">ives revenues. </w:t>
      </w:r>
    </w:p>
    <w:p w14:paraId="501C743D" w14:textId="3929AD14" w:rsidR="00436407" w:rsidRPr="002815F4" w:rsidRDefault="00800EEA" w:rsidP="009B3E66">
      <w:pPr>
        <w:pStyle w:val="Heading3"/>
      </w:pPr>
      <w:bookmarkStart w:id="346" w:name="_Toc459133177"/>
      <w:bookmarkStart w:id="347" w:name="_Toc461803127"/>
      <w:r w:rsidRPr="002815F4">
        <w:t>Initial a</w:t>
      </w:r>
      <w:r w:rsidR="00436407" w:rsidRPr="002815F4">
        <w:t>ssessment</w:t>
      </w:r>
      <w:bookmarkEnd w:id="346"/>
      <w:bookmarkEnd w:id="347"/>
    </w:p>
    <w:p w14:paraId="2D23045C" w14:textId="6B6C3F76" w:rsidR="000722F1" w:rsidRPr="002815F4" w:rsidRDefault="00DF51CD" w:rsidP="0051763B">
      <w:pPr>
        <w:rPr>
          <w:rFonts w:ascii="Calibri" w:hAnsi="Calibri"/>
        </w:rPr>
      </w:pPr>
      <w:r w:rsidRPr="002815F4">
        <w:rPr>
          <w:rFonts w:ascii="Calibri" w:hAnsi="Calibri"/>
        </w:rPr>
        <w:t xml:space="preserve">The International Secretariat’s initial assessment is that </w:t>
      </w:r>
      <w:r w:rsidR="005102E0" w:rsidRPr="002815F4">
        <w:rPr>
          <w:rFonts w:ascii="Calibri" w:hAnsi="Calibri"/>
          <w:bCs/>
        </w:rPr>
        <w:t>Senegal</w:t>
      </w:r>
      <w:r w:rsidR="005102E0" w:rsidRPr="002815F4">
        <w:rPr>
          <w:rFonts w:ascii="Calibri" w:hAnsi="Calibri"/>
        </w:rPr>
        <w:t xml:space="preserve"> </w:t>
      </w:r>
      <w:r w:rsidRPr="002815F4">
        <w:rPr>
          <w:rFonts w:ascii="Calibri" w:hAnsi="Calibri"/>
        </w:rPr>
        <w:t xml:space="preserve">has made </w:t>
      </w:r>
      <w:r w:rsidR="00D8057D" w:rsidRPr="002815F4">
        <w:rPr>
          <w:rFonts w:ascii="Calibri" w:hAnsi="Calibri"/>
          <w:bCs/>
        </w:rPr>
        <w:t>satisfactory</w:t>
      </w:r>
      <w:r w:rsidR="00D8057D" w:rsidRPr="002815F4">
        <w:rPr>
          <w:rFonts w:ascii="Calibri" w:hAnsi="Calibri"/>
          <w:b/>
          <w:bCs/>
        </w:rPr>
        <w:t xml:space="preserve"> </w:t>
      </w:r>
      <w:r w:rsidRPr="002815F4">
        <w:rPr>
          <w:rFonts w:ascii="Calibri" w:hAnsi="Calibri"/>
        </w:rPr>
        <w:t xml:space="preserve">progress in meeting this </w:t>
      </w:r>
      <w:commentRangeStart w:id="348"/>
      <w:r w:rsidRPr="002815F4">
        <w:rPr>
          <w:rFonts w:ascii="Calibri" w:hAnsi="Calibri"/>
        </w:rPr>
        <w:t>requirement</w:t>
      </w:r>
      <w:commentRangeEnd w:id="348"/>
      <w:r w:rsidR="00FE1E4C">
        <w:rPr>
          <w:rStyle w:val="CommentReference"/>
          <w:szCs w:val="20"/>
        </w:rPr>
        <w:commentReference w:id="348"/>
      </w:r>
      <w:r w:rsidRPr="002815F4">
        <w:rPr>
          <w:rFonts w:ascii="Calibri" w:hAnsi="Calibri"/>
        </w:rPr>
        <w:t xml:space="preserve">. </w:t>
      </w:r>
      <w:r w:rsidR="006479FA" w:rsidRPr="002815F4">
        <w:rPr>
          <w:rFonts w:ascii="Calibri" w:hAnsi="Calibri"/>
        </w:rPr>
        <w:t>T</w:t>
      </w:r>
      <w:r w:rsidR="005102E0" w:rsidRPr="002815F4">
        <w:rPr>
          <w:rFonts w:ascii="Calibri" w:hAnsi="Calibri"/>
        </w:rPr>
        <w:t>he 2014 EITI Report clearly highlights the extra</w:t>
      </w:r>
      <w:r w:rsidR="00FF3E32" w:rsidRPr="002815F4">
        <w:rPr>
          <w:rFonts w:ascii="Calibri" w:hAnsi="Calibri"/>
        </w:rPr>
        <w:t>c</w:t>
      </w:r>
      <w:r w:rsidR="005102E0" w:rsidRPr="002815F4">
        <w:rPr>
          <w:rFonts w:ascii="Calibri" w:hAnsi="Calibri"/>
        </w:rPr>
        <w:t>tives revenues that are not recorded in the national budget</w:t>
      </w:r>
      <w:r w:rsidR="006479FA" w:rsidRPr="002815F4">
        <w:rPr>
          <w:rFonts w:ascii="Calibri" w:hAnsi="Calibri"/>
        </w:rPr>
        <w:t xml:space="preserve"> and</w:t>
      </w:r>
      <w:r w:rsidR="005102E0" w:rsidRPr="002815F4">
        <w:rPr>
          <w:rFonts w:ascii="Calibri" w:hAnsi="Calibri"/>
        </w:rPr>
        <w:t xml:space="preserve"> provide</w:t>
      </w:r>
      <w:r w:rsidR="006479FA" w:rsidRPr="002815F4">
        <w:rPr>
          <w:rFonts w:ascii="Calibri" w:hAnsi="Calibri"/>
        </w:rPr>
        <w:t>s</w:t>
      </w:r>
      <w:r w:rsidR="005102E0" w:rsidRPr="002815F4">
        <w:rPr>
          <w:rFonts w:ascii="Calibri" w:hAnsi="Calibri"/>
        </w:rPr>
        <w:t xml:space="preserve"> a</w:t>
      </w:r>
      <w:r w:rsidR="006479FA" w:rsidRPr="002815F4">
        <w:rPr>
          <w:rFonts w:ascii="Calibri" w:hAnsi="Calibri"/>
        </w:rPr>
        <w:t xml:space="preserve"> general</w:t>
      </w:r>
      <w:r w:rsidR="005102E0" w:rsidRPr="002815F4">
        <w:rPr>
          <w:rFonts w:ascii="Calibri" w:hAnsi="Calibri"/>
        </w:rPr>
        <w:t xml:space="preserve"> explanation for the allocation of off-budget extractives revenues, such as those retained by Petrosen. </w:t>
      </w:r>
    </w:p>
    <w:p w14:paraId="19419E24" w14:textId="6EDAC353" w:rsidR="005102E0" w:rsidRPr="002815F4" w:rsidRDefault="005102E0" w:rsidP="0051763B">
      <w:pPr>
        <w:rPr>
          <w:rFonts w:ascii="Calibri" w:hAnsi="Calibri"/>
        </w:rPr>
      </w:pPr>
      <w:r w:rsidRPr="002815F4">
        <w:rPr>
          <w:rFonts w:ascii="Calibri" w:hAnsi="Calibri"/>
        </w:rPr>
        <w:t xml:space="preserve">To strengthen implementation, the MSG </w:t>
      </w:r>
      <w:r w:rsidR="006479FA" w:rsidRPr="002815F4">
        <w:rPr>
          <w:rFonts w:ascii="Calibri" w:hAnsi="Calibri"/>
        </w:rPr>
        <w:t xml:space="preserve">may wish to publish audited financial statements of government entities collecting extractives revenues not recorded in the national budget. </w:t>
      </w:r>
    </w:p>
    <w:p w14:paraId="705EFC80" w14:textId="77777777" w:rsidR="000722F1" w:rsidRPr="002815F4" w:rsidRDefault="000722F1" w:rsidP="009B3E66">
      <w:pPr>
        <w:pStyle w:val="Heading2"/>
      </w:pPr>
      <w:bookmarkStart w:id="349" w:name="_Toc459133178"/>
      <w:bookmarkStart w:id="350" w:name="_Toc461803128"/>
      <w:bookmarkStart w:id="351" w:name="_Toc461787354"/>
      <w:bookmarkStart w:id="352" w:name="_Toc461795866"/>
      <w:bookmarkStart w:id="353" w:name="_Toc462149200"/>
      <w:bookmarkStart w:id="354" w:name="_Toc459133179"/>
      <w:r w:rsidRPr="002815F4">
        <w:t>Sub-national transfers (#</w:t>
      </w:r>
      <w:r w:rsidR="00436407" w:rsidRPr="002815F4">
        <w:t>5.2</w:t>
      </w:r>
      <w:r w:rsidRPr="002815F4">
        <w:t>)</w:t>
      </w:r>
      <w:bookmarkEnd w:id="349"/>
      <w:bookmarkEnd w:id="350"/>
      <w:bookmarkEnd w:id="351"/>
      <w:bookmarkEnd w:id="352"/>
      <w:bookmarkEnd w:id="353"/>
    </w:p>
    <w:bookmarkEnd w:id="354"/>
    <w:p w14:paraId="46924DE5" w14:textId="6C76A0FC" w:rsidR="00434FDA" w:rsidRPr="002815F4" w:rsidRDefault="00DF51CD" w:rsidP="009B3E66">
      <w:pPr>
        <w:pStyle w:val="Heading3"/>
      </w:pPr>
      <w:r w:rsidRPr="002815F4">
        <w:t xml:space="preserve">Documentation of progress </w:t>
      </w:r>
    </w:p>
    <w:p w14:paraId="32248492" w14:textId="70A0B279" w:rsidR="00AD3DA5" w:rsidRPr="002815F4" w:rsidRDefault="001978D0" w:rsidP="00DF51CD">
      <w:pPr>
        <w:spacing w:before="120"/>
        <w:rPr>
          <w:rFonts w:ascii="Calibri" w:hAnsi="Calibri"/>
          <w:bCs/>
        </w:rPr>
      </w:pPr>
      <w:r w:rsidRPr="002815F4">
        <w:rPr>
          <w:rFonts w:ascii="Calibri" w:hAnsi="Calibri"/>
          <w:bCs/>
        </w:rPr>
        <w:t xml:space="preserve">The 2014 EITI Report states that there are no statutory subnational transfers of oil and gas revenues (2014 EITI Report, p.55) but describes statutory subnational transfers in the mining sector (2014 EITI Report, pp.36-37). </w:t>
      </w:r>
      <w:r w:rsidR="001F7B13" w:rsidRPr="002815F4">
        <w:rPr>
          <w:rFonts w:ascii="Calibri" w:hAnsi="Calibri"/>
          <w:bCs/>
        </w:rPr>
        <w:t xml:space="preserve">The report describes provisions </w:t>
      </w:r>
      <w:r w:rsidRPr="002815F4">
        <w:rPr>
          <w:rFonts w:ascii="Calibri" w:hAnsi="Calibri"/>
          <w:bCs/>
        </w:rPr>
        <w:t xml:space="preserve">of the Mining Code </w:t>
      </w:r>
      <w:r w:rsidR="001F7B13" w:rsidRPr="002815F4">
        <w:rPr>
          <w:rFonts w:ascii="Calibri" w:hAnsi="Calibri"/>
          <w:bCs/>
        </w:rPr>
        <w:t xml:space="preserve">(Article 55) and its implementing Decree 2009-1334 </w:t>
      </w:r>
      <w:r w:rsidRPr="002815F4">
        <w:rPr>
          <w:rFonts w:ascii="Calibri" w:hAnsi="Calibri"/>
          <w:bCs/>
        </w:rPr>
        <w:t xml:space="preserve">requiring </w:t>
      </w:r>
      <w:r w:rsidR="001F7B13" w:rsidRPr="002815F4">
        <w:rPr>
          <w:rFonts w:ascii="Calibri" w:hAnsi="Calibri"/>
          <w:bCs/>
        </w:rPr>
        <w:t>that 20% of mining fixed duties and royalties be transferred to a redistribution fund (“</w:t>
      </w:r>
      <w:r w:rsidR="001F7B13" w:rsidRPr="002815F4">
        <w:rPr>
          <w:rFonts w:ascii="Calibri" w:hAnsi="Calibri"/>
          <w:bCs/>
          <w:i/>
        </w:rPr>
        <w:t>Fonds de Perequation</w:t>
      </w:r>
      <w:r w:rsidR="001F7B13" w:rsidRPr="002815F4">
        <w:rPr>
          <w:rFonts w:ascii="Calibri" w:hAnsi="Calibri"/>
          <w:bCs/>
        </w:rPr>
        <w:t>”</w:t>
      </w:r>
      <w:r w:rsidR="00AD3DA5" w:rsidRPr="002815F4">
        <w:rPr>
          <w:rFonts w:ascii="Calibri" w:hAnsi="Calibri"/>
          <w:bCs/>
        </w:rPr>
        <w:t>)</w:t>
      </w:r>
      <w:r w:rsidR="001F7B13" w:rsidRPr="002815F4">
        <w:rPr>
          <w:rFonts w:ascii="Calibri" w:hAnsi="Calibri"/>
          <w:bCs/>
        </w:rPr>
        <w:t xml:space="preserve"> for local communities (2014 EITI Report, pp.36-37). The report clarifies that transfers from the redistribution fund (“</w:t>
      </w:r>
      <w:r w:rsidR="001F7B13" w:rsidRPr="002815F4">
        <w:rPr>
          <w:rFonts w:ascii="Calibri" w:hAnsi="Calibri"/>
          <w:bCs/>
          <w:i/>
        </w:rPr>
        <w:t>Fonds de Perequation</w:t>
      </w:r>
      <w:r w:rsidR="001F7B13" w:rsidRPr="002815F4">
        <w:rPr>
          <w:rFonts w:ascii="Calibri" w:hAnsi="Calibri"/>
          <w:bCs/>
        </w:rPr>
        <w:t>”) are supposed to be agreed by joint statement of the Ministries of Finance, Mines and Public Collectivities, but that only one such decree was ever issued (in 2011, covering subnational transfers related to 2009 revenues) and that subnational transfers were never actually executed (2014 EITI Report, pp.36-37). The report thus concludes that subnational transfers were not operational in 2014 (2014 EITI Report, pp.36-37). The report provides t</w:t>
      </w:r>
      <w:r w:rsidRPr="002815F4">
        <w:rPr>
          <w:rFonts w:ascii="Calibri" w:hAnsi="Calibri"/>
          <w:bCs/>
        </w:rPr>
        <w:t>he formulas for calculating transfers to different co</w:t>
      </w:r>
      <w:r w:rsidR="001F7B13" w:rsidRPr="002815F4">
        <w:rPr>
          <w:rFonts w:ascii="Calibri" w:hAnsi="Calibri"/>
          <w:bCs/>
        </w:rPr>
        <w:t>mmunes, departments and regions (2014 EITI Report, pp.36-37), but does not describe the amounts each subnational government should have received in subnational transfers in 2014, according to calculations based on the formulas provided. Likewise, the balance in the redistribution fund (“</w:t>
      </w:r>
      <w:r w:rsidR="001F7B13" w:rsidRPr="002815F4">
        <w:rPr>
          <w:rFonts w:ascii="Calibri" w:hAnsi="Calibri"/>
          <w:bCs/>
          <w:i/>
        </w:rPr>
        <w:t>Fonds de Perequation</w:t>
      </w:r>
      <w:r w:rsidR="001F7B13" w:rsidRPr="002815F4">
        <w:rPr>
          <w:rFonts w:ascii="Calibri" w:hAnsi="Calibri"/>
          <w:bCs/>
        </w:rPr>
        <w:t xml:space="preserve">”) in 2014 is not provided in the 2014 EITI Report. </w:t>
      </w:r>
      <w:r w:rsidR="00AD3DA5" w:rsidRPr="002815F4">
        <w:rPr>
          <w:rFonts w:ascii="Calibri" w:hAnsi="Calibri"/>
          <w:bCs/>
        </w:rPr>
        <w:t xml:space="preserve">The report does not refer to any other ad hoc subnational transfers in 2014. </w:t>
      </w:r>
      <w:r w:rsidR="00F85A92" w:rsidRPr="002815F4">
        <w:rPr>
          <w:rFonts w:ascii="Calibri" w:hAnsi="Calibri"/>
          <w:bCs/>
        </w:rPr>
        <w:t xml:space="preserve">The 2013 EITI Report states that there are no subnational transfers in the mining, oil and gas sectors (2013 EITI Report, pp.35,47). </w:t>
      </w:r>
    </w:p>
    <w:p w14:paraId="476CE174" w14:textId="5D2A4C95" w:rsidR="00434FDA" w:rsidRPr="002815F4" w:rsidRDefault="00DF51CD" w:rsidP="009B3E66">
      <w:pPr>
        <w:pStyle w:val="Heading3"/>
      </w:pPr>
      <w:r w:rsidRPr="002815F4">
        <w:t xml:space="preserve">Stakeholder views </w:t>
      </w:r>
    </w:p>
    <w:p w14:paraId="6F877037" w14:textId="77C01FBD" w:rsidR="001172CD" w:rsidRPr="002815F4" w:rsidRDefault="000231BC" w:rsidP="007474FE">
      <w:pPr>
        <w:rPr>
          <w:rFonts w:ascii="Calibri" w:hAnsi="Calibri"/>
          <w:bCs/>
        </w:rPr>
      </w:pPr>
      <w:r w:rsidRPr="002815F4">
        <w:rPr>
          <w:rFonts w:ascii="Calibri" w:hAnsi="Calibri"/>
          <w:bCs/>
        </w:rPr>
        <w:t xml:space="preserve">All stakeholders consulted, including from local and national government, companies, civil society, confirmed that no subnational transfers were executed in 2014 given the lack of implementing regulations expected through an Inter-Ministerial Decree. This decree was expected soon and would cover subnational transfers that should have been executed for the period 2010-2016. </w:t>
      </w:r>
      <w:r w:rsidR="008C2E18" w:rsidRPr="002815F4">
        <w:t xml:space="preserve">Government </w:t>
      </w:r>
      <w:r w:rsidR="008C2E18" w:rsidRPr="002815F4">
        <w:lastRenderedPageBreak/>
        <w:t xml:space="preserve">representatives confirmed that the Treasury was in charge of executing subnational transfers, once the decree was issued. </w:t>
      </w:r>
      <w:r w:rsidRPr="002815F4">
        <w:rPr>
          <w:rFonts w:ascii="Calibri" w:hAnsi="Calibri"/>
          <w:bCs/>
        </w:rPr>
        <w:t xml:space="preserve">Several government officials explained that while the DMG had prepared calculations of how much each subnational government should have received, it was not possible for the DMG to unilaterally publish these calculations before the Inter-Ministerial Decree was issued. </w:t>
      </w:r>
      <w:r w:rsidR="001172CD" w:rsidRPr="002815F4">
        <w:rPr>
          <w:rFonts w:ascii="Calibri" w:hAnsi="Calibri"/>
          <w:bCs/>
        </w:rPr>
        <w:t xml:space="preserve">The IA confirmed that while it was possible to make theoretical calculations of how much each local government should have received according to the formula, the criteria on which the calculations were based could potentially change with the Inter-Ministerial Decree given the need to calculate pro-rata transfers based on population estimates. </w:t>
      </w:r>
      <w:r w:rsidR="00AA5F8C" w:rsidRPr="002815F4">
        <w:rPr>
          <w:rFonts w:ascii="Calibri" w:hAnsi="Calibri"/>
          <w:bCs/>
        </w:rPr>
        <w:t xml:space="preserve">The IA considered that the 2014 EITI Report was in line with Requirement 5.2, given that it provided the formula for calculating subnational transfers and clearly highlighted discrepancies between what should have been transferred and the value of executed transfers in 2014. </w:t>
      </w:r>
    </w:p>
    <w:p w14:paraId="7B13BD06" w14:textId="4B828D1C" w:rsidR="00555D18" w:rsidRPr="002815F4" w:rsidRDefault="000231BC" w:rsidP="007474FE">
      <w:r w:rsidRPr="002815F4">
        <w:rPr>
          <w:rFonts w:ascii="Calibri" w:hAnsi="Calibri"/>
          <w:bCs/>
        </w:rPr>
        <w:t xml:space="preserve">Some government representatives raised general questions about the actual balance in the redistribution fund (Fonds de Perequation). </w:t>
      </w:r>
      <w:r w:rsidR="007F083B" w:rsidRPr="002815F4">
        <w:rPr>
          <w:rFonts w:ascii="Calibri" w:hAnsi="Calibri"/>
          <w:bCs/>
        </w:rPr>
        <w:t xml:space="preserve">Several government officials explained that the value of statutory annual subnational transfers was quite small. </w:t>
      </w:r>
      <w:r w:rsidR="008C2E18" w:rsidRPr="002815F4">
        <w:rPr>
          <w:rFonts w:ascii="Calibri" w:hAnsi="Calibri"/>
          <w:bCs/>
        </w:rPr>
        <w:t xml:space="preserve">Secretariat staff explained that there was considerable confusion amongst the general public over how to calculate the value of subnational transfers and that this had prompted EITI Senegal to develop infographics of the process, which were included in the summary 2014 EITI Report (“Comprendre pour agir”). </w:t>
      </w:r>
      <w:r w:rsidR="006E1486" w:rsidRPr="002815F4">
        <w:rPr>
          <w:rFonts w:ascii="Calibri" w:hAnsi="Calibri"/>
          <w:bCs/>
        </w:rPr>
        <w:t>Several CSOs and journalists highlighted the importance of subnational transfers for local communities and the general public, irrespective of their actual value</w:t>
      </w:r>
      <w:r w:rsidR="004E0BF7" w:rsidRPr="002815F4">
        <w:rPr>
          <w:rFonts w:ascii="Calibri" w:hAnsi="Calibri"/>
          <w:bCs/>
        </w:rPr>
        <w:t>, noting that there had been protests in areas such as Kedougou over this issue</w:t>
      </w:r>
      <w:r w:rsidR="006E1486" w:rsidRPr="002815F4">
        <w:rPr>
          <w:rFonts w:ascii="Calibri" w:hAnsi="Calibri"/>
          <w:bCs/>
        </w:rPr>
        <w:t>. Several journalists expressed concern over possible delays</w:t>
      </w:r>
      <w:r w:rsidR="004E0BF7" w:rsidRPr="002815F4">
        <w:rPr>
          <w:rFonts w:ascii="Calibri" w:hAnsi="Calibri"/>
          <w:bCs/>
        </w:rPr>
        <w:t xml:space="preserve"> from the expected October 2017 target</w:t>
      </w:r>
      <w:r w:rsidR="006E1486" w:rsidRPr="002815F4">
        <w:rPr>
          <w:rFonts w:ascii="Calibri" w:hAnsi="Calibri"/>
          <w:bCs/>
        </w:rPr>
        <w:t xml:space="preserve"> in issuing the Inter-Ministerial Decree due to the recent government restructuring and called for unequivocal clarity over whether the 2010-2016 subnational transfers would be executed retroactively. </w:t>
      </w:r>
      <w:r w:rsidR="004E0BF7" w:rsidRPr="002815F4">
        <w:rPr>
          <w:rFonts w:ascii="Calibri" w:hAnsi="Calibri"/>
          <w:bCs/>
        </w:rPr>
        <w:t xml:space="preserve">Several </w:t>
      </w:r>
      <w:r w:rsidR="004E0BF7" w:rsidRPr="002815F4">
        <w:t xml:space="preserve">CSOs </w:t>
      </w:r>
      <w:r w:rsidR="00555D18" w:rsidRPr="002815F4">
        <w:t xml:space="preserve">commended the use of EITI in </w:t>
      </w:r>
      <w:r w:rsidR="004E0BF7" w:rsidRPr="002815F4">
        <w:t>providing</w:t>
      </w:r>
      <w:r w:rsidR="00555D18" w:rsidRPr="002815F4">
        <w:t xml:space="preserve"> access to information </w:t>
      </w:r>
      <w:r w:rsidR="004E0BF7" w:rsidRPr="002815F4">
        <w:t xml:space="preserve">on subnational transfers </w:t>
      </w:r>
      <w:r w:rsidR="00555D18" w:rsidRPr="002815F4">
        <w:t xml:space="preserve">and </w:t>
      </w:r>
      <w:r w:rsidR="004E0BF7" w:rsidRPr="002815F4">
        <w:t xml:space="preserve">in </w:t>
      </w:r>
      <w:r w:rsidR="00555D18" w:rsidRPr="002815F4">
        <w:t xml:space="preserve">the follow-up of recommendations. </w:t>
      </w:r>
    </w:p>
    <w:p w14:paraId="37DB82F0" w14:textId="46203B0F" w:rsidR="00DF51CD" w:rsidRPr="002815F4" w:rsidRDefault="00DF51CD" w:rsidP="009B3E66">
      <w:pPr>
        <w:pStyle w:val="Heading3"/>
      </w:pPr>
      <w:bookmarkStart w:id="355" w:name="_Toc459133181"/>
      <w:bookmarkStart w:id="356" w:name="_Toc461803131"/>
      <w:r w:rsidRPr="002815F4">
        <w:t>Initial assessment</w:t>
      </w:r>
      <w:bookmarkEnd w:id="355"/>
      <w:bookmarkEnd w:id="356"/>
    </w:p>
    <w:p w14:paraId="230EBE1F" w14:textId="3A997F5B" w:rsidR="000722F1" w:rsidRPr="002815F4" w:rsidRDefault="00DF51CD" w:rsidP="00F17D2C">
      <w:pPr>
        <w:spacing w:before="120"/>
        <w:rPr>
          <w:rFonts w:ascii="Calibri" w:hAnsi="Calibri"/>
          <w:color w:val="000000" w:themeColor="text1"/>
          <w:lang w:eastAsia="x-none"/>
        </w:rPr>
      </w:pPr>
      <w:r w:rsidRPr="002815F4">
        <w:rPr>
          <w:rFonts w:ascii="Calibri" w:hAnsi="Calibri"/>
          <w:color w:val="000000" w:themeColor="text1"/>
          <w:lang w:eastAsia="x-none"/>
        </w:rPr>
        <w:t xml:space="preserve">The International Secretariat’s initial assessment is that </w:t>
      </w:r>
      <w:r w:rsidR="0069786F" w:rsidRPr="002815F4">
        <w:rPr>
          <w:rFonts w:ascii="Calibri" w:hAnsi="Calibri"/>
          <w:bCs/>
        </w:rPr>
        <w:t>this requirement</w:t>
      </w:r>
      <w:r w:rsidR="0069786F" w:rsidRPr="002815F4">
        <w:rPr>
          <w:rFonts w:ascii="Calibri" w:hAnsi="Calibri"/>
          <w:color w:val="000000" w:themeColor="text1"/>
          <w:lang w:eastAsia="x-none"/>
        </w:rPr>
        <w:t xml:space="preserve"> was not applicable to Senegal in the year under </w:t>
      </w:r>
      <w:commentRangeStart w:id="357"/>
      <w:r w:rsidR="0069786F" w:rsidRPr="002815F4">
        <w:rPr>
          <w:rFonts w:ascii="Calibri" w:hAnsi="Calibri"/>
          <w:color w:val="000000" w:themeColor="text1"/>
          <w:lang w:eastAsia="x-none"/>
        </w:rPr>
        <w:t>review</w:t>
      </w:r>
      <w:commentRangeEnd w:id="357"/>
      <w:r w:rsidR="00622B3E">
        <w:rPr>
          <w:rStyle w:val="CommentReference"/>
          <w:szCs w:val="20"/>
        </w:rPr>
        <w:commentReference w:id="357"/>
      </w:r>
      <w:r w:rsidRPr="002815F4">
        <w:rPr>
          <w:rFonts w:ascii="Calibri" w:hAnsi="Calibri"/>
          <w:color w:val="000000" w:themeColor="text1"/>
          <w:lang w:eastAsia="x-none"/>
        </w:rPr>
        <w:t>.</w:t>
      </w:r>
      <w:r w:rsidR="006B3178" w:rsidRPr="002815F4">
        <w:rPr>
          <w:rFonts w:ascii="Calibri" w:hAnsi="Calibri"/>
          <w:color w:val="000000" w:themeColor="text1"/>
          <w:lang w:eastAsia="x-none"/>
        </w:rPr>
        <w:t xml:space="preserve"> </w:t>
      </w:r>
      <w:r w:rsidR="00B4724C" w:rsidRPr="002815F4">
        <w:rPr>
          <w:rFonts w:ascii="Calibri" w:hAnsi="Calibri"/>
          <w:color w:val="000000" w:themeColor="text1"/>
          <w:lang w:eastAsia="x-none"/>
        </w:rPr>
        <w:t xml:space="preserve">Similar to the situation in the Republic of Congo, there is a legal framework for subnational transfers of extractives revenues in Senegal but it was not operational in 2014 given the lack of implementing regulations. </w:t>
      </w:r>
      <w:r w:rsidR="006B3178" w:rsidRPr="002815F4">
        <w:rPr>
          <w:rFonts w:ascii="Calibri" w:hAnsi="Calibri"/>
          <w:color w:val="000000" w:themeColor="text1"/>
          <w:lang w:eastAsia="x-none"/>
        </w:rPr>
        <w:t>The 2014 EITI Report clearly demonstrates that statutory subnational transfers</w:t>
      </w:r>
      <w:r w:rsidRPr="002815F4">
        <w:rPr>
          <w:rFonts w:ascii="Calibri" w:hAnsi="Calibri"/>
          <w:color w:val="000000" w:themeColor="text1"/>
          <w:lang w:eastAsia="x-none"/>
        </w:rPr>
        <w:t xml:space="preserve"> </w:t>
      </w:r>
      <w:r w:rsidR="006B3178" w:rsidRPr="002815F4">
        <w:rPr>
          <w:rFonts w:ascii="Calibri" w:hAnsi="Calibri"/>
          <w:color w:val="000000" w:themeColor="text1"/>
          <w:lang w:eastAsia="x-none"/>
        </w:rPr>
        <w:t xml:space="preserve">in the mining sector were not operational in 2014. </w:t>
      </w:r>
    </w:p>
    <w:p w14:paraId="0248F022" w14:textId="49C298D8" w:rsidR="00B4724C" w:rsidRPr="002815F4" w:rsidRDefault="00B4724C" w:rsidP="00F17D2C">
      <w:pPr>
        <w:spacing w:before="120"/>
        <w:rPr>
          <w:rFonts w:ascii="Calibri" w:hAnsi="Calibri"/>
          <w:color w:val="000000" w:themeColor="text1"/>
          <w:lang w:eastAsia="x-none"/>
        </w:rPr>
      </w:pPr>
      <w:r w:rsidRPr="002815F4">
        <w:rPr>
          <w:rFonts w:ascii="Calibri" w:hAnsi="Calibri"/>
          <w:color w:val="000000" w:themeColor="text1"/>
          <w:lang w:eastAsia="x-none"/>
        </w:rPr>
        <w:t xml:space="preserve">Given the planned implementation of subnational transfers from 2017, the MSG is encouraged to ensure that future EITI Reports provide the formula for calculating transfers to individual subnational government, the value of transfers according to the formula and any discrepancies between budgeted and executed transfers in the year(s) under review. </w:t>
      </w:r>
    </w:p>
    <w:p w14:paraId="39EC7FBC" w14:textId="77777777" w:rsidR="000722F1" w:rsidRPr="002815F4" w:rsidRDefault="00436407" w:rsidP="009B3E66">
      <w:pPr>
        <w:pStyle w:val="Heading2"/>
      </w:pPr>
      <w:bookmarkStart w:id="358" w:name="_Toc459133182"/>
      <w:bookmarkStart w:id="359" w:name="_Toc461803132"/>
      <w:bookmarkStart w:id="360" w:name="_Toc461787355"/>
      <w:bookmarkStart w:id="361" w:name="_Toc461795867"/>
      <w:bookmarkStart w:id="362" w:name="_Toc462149201"/>
      <w:bookmarkStart w:id="363" w:name="_Toc459133183"/>
      <w:r w:rsidRPr="002815F4">
        <w:t>Additional i</w:t>
      </w:r>
      <w:r w:rsidR="000722F1" w:rsidRPr="002815F4">
        <w:t>nformation on revenue management and expenditures (#</w:t>
      </w:r>
      <w:r w:rsidRPr="002815F4">
        <w:t>5.3</w:t>
      </w:r>
      <w:r w:rsidR="000722F1" w:rsidRPr="002815F4">
        <w:t>)</w:t>
      </w:r>
      <w:bookmarkEnd w:id="358"/>
      <w:bookmarkEnd w:id="359"/>
      <w:bookmarkEnd w:id="360"/>
      <w:bookmarkEnd w:id="361"/>
      <w:bookmarkEnd w:id="362"/>
    </w:p>
    <w:bookmarkEnd w:id="363"/>
    <w:p w14:paraId="3BA3807A" w14:textId="1F8CBF10" w:rsidR="00434FDA" w:rsidRPr="002815F4" w:rsidRDefault="00DF51CD" w:rsidP="009B3E66">
      <w:pPr>
        <w:pStyle w:val="Heading3"/>
      </w:pPr>
      <w:r w:rsidRPr="002815F4">
        <w:t xml:space="preserve">Documentation of progress </w:t>
      </w:r>
    </w:p>
    <w:p w14:paraId="32AE53FB" w14:textId="3ACAE45B" w:rsidR="002B7D0D" w:rsidRPr="002815F4" w:rsidRDefault="003318E5" w:rsidP="00DF51CD">
      <w:pPr>
        <w:spacing w:before="120"/>
        <w:rPr>
          <w:rFonts w:ascii="Calibri" w:hAnsi="Calibri"/>
          <w:bCs/>
        </w:rPr>
      </w:pPr>
      <w:r w:rsidRPr="002815F4">
        <w:rPr>
          <w:rFonts w:ascii="Calibri" w:hAnsi="Calibri"/>
          <w:bCs/>
        </w:rPr>
        <w:t xml:space="preserve">The 2014 EITI report notes that there are no earmarked extractives revenues given the principle of the </w:t>
      </w:r>
      <w:r w:rsidR="00BC5F6F">
        <w:rPr>
          <w:rFonts w:ascii="Calibri" w:hAnsi="Calibri"/>
          <w:bCs/>
        </w:rPr>
        <w:t>centralised</w:t>
      </w:r>
      <w:r w:rsidRPr="002815F4">
        <w:rPr>
          <w:rFonts w:ascii="Calibri" w:hAnsi="Calibri"/>
          <w:bCs/>
        </w:rPr>
        <w:t xml:space="preserve"> public accounts, where all revenues flow to the single Treasury account (2014 EITI Report, p.59). While the report describes the sovereign wealth fund, the Sovereign Strategic Investment Fund (FONSIS) established in 2012</w:t>
      </w:r>
      <w:r w:rsidR="00A36F8B" w:rsidRPr="002815F4">
        <w:rPr>
          <w:rFonts w:ascii="Calibri" w:hAnsi="Calibri"/>
          <w:bCs/>
        </w:rPr>
        <w:t xml:space="preserve"> to receive a share of mining, oil and gas revenues, but notes that the </w:t>
      </w:r>
      <w:r w:rsidR="002815F4" w:rsidRPr="002815F4">
        <w:rPr>
          <w:rFonts w:ascii="Calibri" w:hAnsi="Calibri"/>
          <w:bCs/>
        </w:rPr>
        <w:lastRenderedPageBreak/>
        <w:t>Minister</w:t>
      </w:r>
      <w:r w:rsidR="00A36F8B" w:rsidRPr="002815F4">
        <w:rPr>
          <w:rFonts w:ascii="Calibri" w:hAnsi="Calibri"/>
          <w:bCs/>
        </w:rPr>
        <w:t xml:space="preserve"> of Finance has never allocated revenues from the fund in annual appropriations to date</w:t>
      </w:r>
      <w:r w:rsidR="00B53E4C" w:rsidRPr="002815F4">
        <w:rPr>
          <w:rFonts w:ascii="Calibri" w:hAnsi="Calibri"/>
          <w:bCs/>
        </w:rPr>
        <w:t xml:space="preserve"> (2014 EITI Report, p.60)</w:t>
      </w:r>
      <w:r w:rsidR="00A36F8B" w:rsidRPr="002815F4">
        <w:rPr>
          <w:rFonts w:ascii="Calibri" w:hAnsi="Calibri"/>
          <w:bCs/>
        </w:rPr>
        <w:t xml:space="preserve">. The report also highlights the XOF 49bn exceptional payment from Mittal Steel Holding AG to the state in 2014 following cancellation of the Falémé iron ore project </w:t>
      </w:r>
      <w:r w:rsidR="003E118C" w:rsidRPr="002815F4">
        <w:rPr>
          <w:rFonts w:ascii="Calibri" w:hAnsi="Calibri"/>
          <w:bCs/>
        </w:rPr>
        <w:t xml:space="preserve">and </w:t>
      </w:r>
      <w:r w:rsidR="00A36F8B" w:rsidRPr="002815F4">
        <w:rPr>
          <w:rFonts w:ascii="Calibri" w:hAnsi="Calibri"/>
          <w:bCs/>
        </w:rPr>
        <w:t>describe</w:t>
      </w:r>
      <w:r w:rsidR="003E118C" w:rsidRPr="002815F4">
        <w:rPr>
          <w:rFonts w:ascii="Calibri" w:hAnsi="Calibri"/>
          <w:bCs/>
        </w:rPr>
        <w:t>s</w:t>
      </w:r>
      <w:r w:rsidR="00A36F8B" w:rsidRPr="002815F4">
        <w:rPr>
          <w:rFonts w:ascii="Calibri" w:hAnsi="Calibri"/>
          <w:bCs/>
        </w:rPr>
        <w:t xml:space="preserve"> the allocation of these funds (2014 EITI Report, p</w:t>
      </w:r>
      <w:r w:rsidR="0059315D" w:rsidRPr="002815F4">
        <w:rPr>
          <w:rFonts w:ascii="Calibri" w:hAnsi="Calibri"/>
          <w:bCs/>
        </w:rPr>
        <w:t>p</w:t>
      </w:r>
      <w:r w:rsidR="00A36F8B" w:rsidRPr="002815F4">
        <w:rPr>
          <w:rFonts w:ascii="Calibri" w:hAnsi="Calibri"/>
          <w:bCs/>
        </w:rPr>
        <w:t>.59</w:t>
      </w:r>
      <w:r w:rsidR="0059315D" w:rsidRPr="002815F4">
        <w:rPr>
          <w:rFonts w:ascii="Calibri" w:hAnsi="Calibri"/>
          <w:bCs/>
        </w:rPr>
        <w:t>-60</w:t>
      </w:r>
      <w:r w:rsidR="00A36F8B" w:rsidRPr="002815F4">
        <w:rPr>
          <w:rFonts w:ascii="Calibri" w:hAnsi="Calibri"/>
          <w:bCs/>
        </w:rPr>
        <w:t>).</w:t>
      </w:r>
      <w:r w:rsidR="00995EB5">
        <w:rPr>
          <w:rFonts w:ascii="Calibri" w:hAnsi="Calibri"/>
          <w:bCs/>
        </w:rPr>
        <w:t xml:space="preserve"> </w:t>
      </w:r>
      <w:r w:rsidR="00EF3FF4" w:rsidRPr="002815F4">
        <w:rPr>
          <w:rFonts w:ascii="Calibri" w:hAnsi="Calibri"/>
          <w:bCs/>
        </w:rPr>
        <w:t xml:space="preserve">The 2014 EITI Report also provides cursory descriptions of the government’s budget-making and auditing processes (2014 EITI Report, pp.59-60,62-63), although it does not provide any additional information on revenue and production projections or commodity prices. </w:t>
      </w:r>
    </w:p>
    <w:p w14:paraId="4684271A" w14:textId="0A90873D" w:rsidR="00434FDA" w:rsidRPr="002815F4" w:rsidRDefault="00DF51CD" w:rsidP="009B3E66">
      <w:pPr>
        <w:pStyle w:val="Heading3"/>
      </w:pPr>
      <w:r w:rsidRPr="002815F4">
        <w:t xml:space="preserve">Stakeholder views </w:t>
      </w:r>
    </w:p>
    <w:p w14:paraId="45E349B4" w14:textId="631476B7" w:rsidR="00CF74B7" w:rsidRPr="002815F4" w:rsidRDefault="00CF74B7" w:rsidP="007474FE">
      <w:r w:rsidRPr="002815F4">
        <w:t xml:space="preserve">Stakeholders consulted did not express any particular views on the 2014 EITI Report’s coverage of the budget-making process or government audit procedures. However, several representatives from government, industry, civil society and parliament called for more information on the level of tax exemptions provided to mining companies. While </w:t>
      </w:r>
      <w:r w:rsidR="002815F4" w:rsidRPr="002815F4">
        <w:t>stakeholders</w:t>
      </w:r>
      <w:r w:rsidRPr="002815F4">
        <w:t xml:space="preserve"> recognised that such government payments to companies were not strictly covered by the EITI Standard, they considered that public debate over this issue had not been grounded in hard evidence and considered that such information would be helpful in clarifying the level of government incentives for mining companies. Several civil society and industry representatives also called for more information on government expenditures of extractives revenues in future EITI Reports, considering that such information on budget execution was in high demand by the general public. Secretariat staff highlighted the work of certain NGOs like 3D in monitoring budget execution and noted EITI Senegal’s intention to collaborate with these NGOs and promoting their use of EITI data. </w:t>
      </w:r>
    </w:p>
    <w:p w14:paraId="3E741366" w14:textId="4DA371CB" w:rsidR="00B66679" w:rsidRPr="002815F4" w:rsidRDefault="00BA52AA" w:rsidP="009B3E66">
      <w:pPr>
        <w:pStyle w:val="Heading3"/>
      </w:pPr>
      <w:bookmarkStart w:id="364" w:name="_Toc459133185"/>
      <w:bookmarkStart w:id="365" w:name="_Toc461803135"/>
      <w:r w:rsidRPr="002815F4">
        <w:t>Initial a</w:t>
      </w:r>
      <w:r w:rsidR="00B66679" w:rsidRPr="002815F4">
        <w:t>ssessment</w:t>
      </w:r>
      <w:bookmarkEnd w:id="364"/>
      <w:bookmarkEnd w:id="365"/>
    </w:p>
    <w:p w14:paraId="388D90BC" w14:textId="6E85BE34" w:rsidR="00DD77E7" w:rsidRPr="002815F4" w:rsidRDefault="00DF51CD" w:rsidP="00DF51CD">
      <w:pPr>
        <w:rPr>
          <w:rFonts w:ascii="Calibri" w:hAnsi="Calibri"/>
        </w:rPr>
      </w:pPr>
      <w:r w:rsidRPr="002815F4">
        <w:rPr>
          <w:rFonts w:ascii="Calibri" w:hAnsi="Calibri"/>
        </w:rPr>
        <w:t xml:space="preserve">It is </w:t>
      </w:r>
      <w:commentRangeStart w:id="366"/>
      <w:r w:rsidRPr="002815F4">
        <w:rPr>
          <w:rFonts w:ascii="Calibri" w:hAnsi="Calibri"/>
        </w:rPr>
        <w:t>e</w:t>
      </w:r>
      <w:r w:rsidR="00922ED3" w:rsidRPr="002815F4">
        <w:rPr>
          <w:rFonts w:ascii="Calibri" w:hAnsi="Calibri"/>
        </w:rPr>
        <w:t>ncouraging</w:t>
      </w:r>
      <w:commentRangeEnd w:id="366"/>
      <w:r w:rsidR="00622B3E">
        <w:rPr>
          <w:rStyle w:val="CommentReference"/>
          <w:szCs w:val="20"/>
        </w:rPr>
        <w:commentReference w:id="366"/>
      </w:r>
      <w:r w:rsidR="00922ED3" w:rsidRPr="002815F4">
        <w:rPr>
          <w:rFonts w:ascii="Calibri" w:hAnsi="Calibri"/>
        </w:rPr>
        <w:t xml:space="preserve"> that the MS</w:t>
      </w:r>
      <w:r w:rsidRPr="002815F4">
        <w:rPr>
          <w:rFonts w:ascii="Calibri" w:hAnsi="Calibri"/>
        </w:rPr>
        <w:t xml:space="preserve">G has made some attempt to including information on the budget-making </w:t>
      </w:r>
      <w:r w:rsidR="00DD77E7" w:rsidRPr="002815F4">
        <w:rPr>
          <w:rFonts w:ascii="Calibri" w:hAnsi="Calibri"/>
        </w:rPr>
        <w:t xml:space="preserve">auditing </w:t>
      </w:r>
      <w:r w:rsidRPr="002815F4">
        <w:rPr>
          <w:rFonts w:ascii="Calibri" w:hAnsi="Calibri"/>
        </w:rPr>
        <w:t xml:space="preserve">process in the </w:t>
      </w:r>
      <w:r w:rsidR="00DD77E7" w:rsidRPr="002815F4">
        <w:rPr>
          <w:rFonts w:ascii="Calibri" w:hAnsi="Calibri"/>
        </w:rPr>
        <w:t xml:space="preserve">2014 </w:t>
      </w:r>
      <w:r w:rsidR="00922ED3" w:rsidRPr="002815F4">
        <w:rPr>
          <w:rFonts w:ascii="Calibri" w:hAnsi="Calibri"/>
        </w:rPr>
        <w:t>EITI Report</w:t>
      </w:r>
      <w:r w:rsidRPr="002815F4">
        <w:rPr>
          <w:rFonts w:ascii="Calibri" w:hAnsi="Calibri"/>
        </w:rPr>
        <w:t xml:space="preserve">. </w:t>
      </w:r>
    </w:p>
    <w:p w14:paraId="066FEC77" w14:textId="7F2DAFBA" w:rsidR="00E74B34" w:rsidRPr="002815F4" w:rsidRDefault="00DD77E7" w:rsidP="00DF51CD">
      <w:pPr>
        <w:rPr>
          <w:rFonts w:ascii="Calibri" w:hAnsi="Calibri"/>
        </w:rPr>
      </w:pPr>
      <w:r w:rsidRPr="002815F4">
        <w:rPr>
          <w:rFonts w:ascii="Calibri" w:hAnsi="Calibri"/>
        </w:rPr>
        <w:t>To strengthen implementation, the MSG may wish to includ</w:t>
      </w:r>
      <w:r w:rsidR="00292632">
        <w:rPr>
          <w:rFonts w:ascii="Calibri" w:hAnsi="Calibri"/>
        </w:rPr>
        <w:t>e</w:t>
      </w:r>
      <w:r w:rsidRPr="002815F4">
        <w:rPr>
          <w:rFonts w:ascii="Calibri" w:hAnsi="Calibri"/>
        </w:rPr>
        <w:t xml:space="preserve"> further information on production and revenue projections, commodity prices and budget scenario planning in future EITI Reports or on Senegal’s EITI website. </w:t>
      </w:r>
      <w:r w:rsidR="00CF74B7" w:rsidRPr="002815F4">
        <w:rPr>
          <w:rFonts w:ascii="Calibri" w:hAnsi="Calibri"/>
        </w:rPr>
        <w:t xml:space="preserve">The MSG may also wish to explore the potential of clarifying the level of tax incentives provided to extractives companies in line with stakeholder demands for more information. </w:t>
      </w:r>
    </w:p>
    <w:p w14:paraId="0ECF539F" w14:textId="3EF71FCC" w:rsidR="000722F1" w:rsidRPr="002815F4" w:rsidRDefault="00411AA1" w:rsidP="00F97CA1">
      <w:pPr>
        <w:pStyle w:val="Caption"/>
        <w:rPr>
          <w:color w:val="000000"/>
        </w:rPr>
      </w:pPr>
      <w:r w:rsidRPr="002815F4">
        <w:rPr>
          <w:color w:val="000000"/>
        </w:rPr>
        <w:br w:type="column"/>
      </w:r>
      <w:bookmarkStart w:id="367" w:name="_Toc463537778"/>
      <w:bookmarkStart w:id="368" w:name="_Toc485385506"/>
      <w:r w:rsidRPr="002815F4">
        <w:lastRenderedPageBreak/>
        <w:t xml:space="preserve">Table </w:t>
      </w:r>
      <w:r w:rsidR="0002611B">
        <w:fldChar w:fldCharType="begin"/>
      </w:r>
      <w:r w:rsidR="0002611B">
        <w:instrText xml:space="preserve"> SEQ Table \* ARABIC </w:instrText>
      </w:r>
      <w:r w:rsidR="0002611B">
        <w:fldChar w:fldCharType="separate"/>
      </w:r>
      <w:r w:rsidR="0083320D" w:rsidRPr="002815F4">
        <w:rPr>
          <w:noProof/>
        </w:rPr>
        <w:t>5</w:t>
      </w:r>
      <w:r w:rsidR="0002611B">
        <w:rPr>
          <w:noProof/>
        </w:rPr>
        <w:fldChar w:fldCharType="end"/>
      </w:r>
      <w:r w:rsidRPr="002815F4">
        <w:t xml:space="preserve"> </w:t>
      </w:r>
      <w:r w:rsidR="000722F1" w:rsidRPr="002815F4">
        <w:rPr>
          <w:color w:val="000000"/>
        </w:rPr>
        <w:t xml:space="preserve"> - </w:t>
      </w:r>
      <w:r w:rsidR="000722F1" w:rsidRPr="002815F4">
        <w:rPr>
          <w:rFonts w:eastAsia="Calibri"/>
        </w:rPr>
        <w:t xml:space="preserve">Summary </w:t>
      </w:r>
      <w:r w:rsidR="009C5073" w:rsidRPr="002815F4">
        <w:rPr>
          <w:rFonts w:eastAsia="Calibri"/>
        </w:rPr>
        <w:t xml:space="preserve">initial </w:t>
      </w:r>
      <w:r w:rsidR="000722F1" w:rsidRPr="002815F4">
        <w:rPr>
          <w:rFonts w:eastAsia="Calibri"/>
        </w:rPr>
        <w:t>assessment table: Revenue management and distribution</w:t>
      </w:r>
      <w:bookmarkEnd w:id="367"/>
      <w:bookmarkEnd w:id="368"/>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808080"/>
        </w:tblBorders>
        <w:tblLayout w:type="fixed"/>
        <w:tblLook w:val="04A0" w:firstRow="1" w:lastRow="0" w:firstColumn="1" w:lastColumn="0" w:noHBand="0" w:noVBand="1"/>
      </w:tblPr>
      <w:tblGrid>
        <w:gridCol w:w="2694"/>
        <w:gridCol w:w="4842"/>
        <w:gridCol w:w="2067"/>
      </w:tblGrid>
      <w:tr w:rsidR="00FC3899" w:rsidRPr="002815F4" w14:paraId="22C5F8E0" w14:textId="77777777" w:rsidTr="007474FE">
        <w:trPr>
          <w:trHeight w:val="675"/>
        </w:trPr>
        <w:tc>
          <w:tcPr>
            <w:tcW w:w="2694" w:type="dxa"/>
            <w:shd w:val="clear" w:color="auto" w:fill="D9D9D9"/>
            <w:vAlign w:val="center"/>
          </w:tcPr>
          <w:p w14:paraId="0A83DFF0" w14:textId="77777777" w:rsidR="00FC3899" w:rsidRPr="002815F4" w:rsidRDefault="00FC3899" w:rsidP="00E217A9">
            <w:pPr>
              <w:pStyle w:val="Tabletext"/>
              <w:rPr>
                <w:lang w:val="en-GB"/>
              </w:rPr>
            </w:pPr>
            <w:r w:rsidRPr="002815F4">
              <w:rPr>
                <w:lang w:val="en-GB"/>
              </w:rPr>
              <w:t>EITI provisions</w:t>
            </w:r>
          </w:p>
        </w:tc>
        <w:tc>
          <w:tcPr>
            <w:tcW w:w="4842" w:type="dxa"/>
            <w:shd w:val="clear" w:color="auto" w:fill="D9D9D9"/>
            <w:vAlign w:val="center"/>
          </w:tcPr>
          <w:p w14:paraId="2C57A3E6" w14:textId="77777777" w:rsidR="00FC3899" w:rsidRPr="002815F4" w:rsidRDefault="00FC3899" w:rsidP="00E217A9">
            <w:pPr>
              <w:pStyle w:val="Tabletext"/>
              <w:rPr>
                <w:lang w:val="en-GB"/>
              </w:rPr>
            </w:pPr>
            <w:r w:rsidRPr="002815F4">
              <w:rPr>
                <w:lang w:val="en-GB"/>
              </w:rPr>
              <w:t>Summary of main findings</w:t>
            </w:r>
          </w:p>
        </w:tc>
        <w:tc>
          <w:tcPr>
            <w:tcW w:w="2067" w:type="dxa"/>
            <w:shd w:val="clear" w:color="auto" w:fill="D9D9D9"/>
            <w:vAlign w:val="center"/>
          </w:tcPr>
          <w:p w14:paraId="39378A6B" w14:textId="0A3365E7" w:rsidR="00FC3899" w:rsidRPr="002815F4" w:rsidRDefault="00FC3899" w:rsidP="00E217A9">
            <w:pPr>
              <w:pStyle w:val="Tabletext"/>
              <w:rPr>
                <w:lang w:val="en-GB"/>
              </w:rPr>
            </w:pPr>
            <w:r w:rsidRPr="002815F4">
              <w:rPr>
                <w:lang w:val="en-GB"/>
              </w:rPr>
              <w:t xml:space="preserve">International Secretariat’s initial assessment of progress with the EITI provisions </w:t>
            </w:r>
          </w:p>
        </w:tc>
      </w:tr>
      <w:tr w:rsidR="00DF51CD" w:rsidRPr="002815F4" w14:paraId="1A5E74FC" w14:textId="77777777" w:rsidTr="007474FE">
        <w:tc>
          <w:tcPr>
            <w:tcW w:w="2694" w:type="dxa"/>
            <w:shd w:val="clear" w:color="auto" w:fill="auto"/>
          </w:tcPr>
          <w:p w14:paraId="1FE9603A" w14:textId="77777777" w:rsidR="00DF51CD" w:rsidRPr="002815F4" w:rsidRDefault="00DF51CD" w:rsidP="00E217A9">
            <w:pPr>
              <w:pStyle w:val="Tabletext"/>
              <w:rPr>
                <w:lang w:val="en-GB"/>
              </w:rPr>
            </w:pPr>
            <w:r w:rsidRPr="002815F4">
              <w:rPr>
                <w:lang w:val="en-GB"/>
              </w:rPr>
              <w:t>Distribution of revenues (#5.1)</w:t>
            </w:r>
          </w:p>
        </w:tc>
        <w:tc>
          <w:tcPr>
            <w:tcW w:w="4842" w:type="dxa"/>
            <w:shd w:val="clear" w:color="auto" w:fill="auto"/>
          </w:tcPr>
          <w:p w14:paraId="571D430C" w14:textId="65E13A1E" w:rsidR="00DF51CD" w:rsidRPr="002815F4" w:rsidRDefault="009757FA" w:rsidP="00E217A9">
            <w:pPr>
              <w:pStyle w:val="Tabletext"/>
              <w:rPr>
                <w:lang w:val="en-GB"/>
              </w:rPr>
            </w:pPr>
            <w:r w:rsidRPr="002815F4">
              <w:rPr>
                <w:lang w:val="en-GB"/>
              </w:rPr>
              <w:t>The 2014 EITI Report clearly highlights the extractives revenues that are not recorded in the national budget and provides a general explanation for the allocation of off-budget extractives revenues, such as those retained by Petrosen.</w:t>
            </w:r>
          </w:p>
        </w:tc>
        <w:tc>
          <w:tcPr>
            <w:tcW w:w="2067" w:type="dxa"/>
          </w:tcPr>
          <w:p w14:paraId="18A2031F" w14:textId="70D90CBB" w:rsidR="00DF51CD" w:rsidRPr="002815F4" w:rsidRDefault="009757FA" w:rsidP="00E217A9">
            <w:pPr>
              <w:pStyle w:val="Tabletext"/>
              <w:rPr>
                <w:lang w:val="en-GB"/>
              </w:rPr>
            </w:pPr>
            <w:r w:rsidRPr="002815F4">
              <w:rPr>
                <w:lang w:val="en-GB"/>
              </w:rPr>
              <w:t>Satisfactory</w:t>
            </w:r>
          </w:p>
        </w:tc>
      </w:tr>
      <w:tr w:rsidR="00DF51CD" w:rsidRPr="002815F4" w14:paraId="047D76FB" w14:textId="77777777" w:rsidTr="007474FE">
        <w:tc>
          <w:tcPr>
            <w:tcW w:w="2694" w:type="dxa"/>
            <w:shd w:val="clear" w:color="auto" w:fill="auto"/>
          </w:tcPr>
          <w:p w14:paraId="34BAAE48" w14:textId="77777777" w:rsidR="00DF51CD" w:rsidRPr="002815F4" w:rsidRDefault="00DF51CD" w:rsidP="00E217A9">
            <w:pPr>
              <w:pStyle w:val="Tabletext"/>
              <w:rPr>
                <w:lang w:val="en-GB"/>
              </w:rPr>
            </w:pPr>
            <w:r w:rsidRPr="002815F4">
              <w:rPr>
                <w:lang w:val="en-GB"/>
              </w:rPr>
              <w:t>Sub-national transfers (#5.2)</w:t>
            </w:r>
          </w:p>
        </w:tc>
        <w:tc>
          <w:tcPr>
            <w:tcW w:w="4842" w:type="dxa"/>
            <w:shd w:val="clear" w:color="auto" w:fill="auto"/>
          </w:tcPr>
          <w:p w14:paraId="78BCC59D" w14:textId="349A5A45" w:rsidR="00DF51CD" w:rsidRPr="002815F4" w:rsidRDefault="009757FA" w:rsidP="00E217A9">
            <w:pPr>
              <w:pStyle w:val="Tabletext"/>
              <w:rPr>
                <w:lang w:val="en-GB"/>
              </w:rPr>
            </w:pPr>
            <w:r w:rsidRPr="002815F4">
              <w:rPr>
                <w:lang w:val="en-GB"/>
              </w:rPr>
              <w:t>Similar to the situation in the Republic of Congo, there is a legal framework for subnational transfers of extractives revenues in Senegal but it was not operational in 2014 given the lack of implementing regulations. The 2014 EITI Report clearly demonstrates that statutory subnational transfers in the mining sector were not operational in 2014.</w:t>
            </w:r>
          </w:p>
        </w:tc>
        <w:tc>
          <w:tcPr>
            <w:tcW w:w="2067" w:type="dxa"/>
          </w:tcPr>
          <w:p w14:paraId="7CF6007B" w14:textId="03587B42" w:rsidR="00DF51CD" w:rsidRPr="002815F4" w:rsidRDefault="00E86D1B" w:rsidP="00E217A9">
            <w:pPr>
              <w:pStyle w:val="Tabletext"/>
              <w:rPr>
                <w:lang w:val="en-GB"/>
              </w:rPr>
            </w:pPr>
            <w:r w:rsidRPr="002815F4">
              <w:rPr>
                <w:lang w:val="en-GB"/>
              </w:rPr>
              <w:t>Not applicable</w:t>
            </w:r>
          </w:p>
        </w:tc>
      </w:tr>
      <w:tr w:rsidR="00DF51CD" w:rsidRPr="002815F4" w14:paraId="27605714" w14:textId="77777777" w:rsidTr="007474FE">
        <w:tc>
          <w:tcPr>
            <w:tcW w:w="2694" w:type="dxa"/>
            <w:shd w:val="clear" w:color="auto" w:fill="auto"/>
          </w:tcPr>
          <w:p w14:paraId="5C4A3E3E" w14:textId="77777777" w:rsidR="00DF51CD" w:rsidRPr="002815F4" w:rsidRDefault="00DF51CD" w:rsidP="00E217A9">
            <w:pPr>
              <w:pStyle w:val="Tabletext"/>
              <w:rPr>
                <w:lang w:val="en-GB"/>
              </w:rPr>
            </w:pPr>
            <w:r w:rsidRPr="002815F4">
              <w:rPr>
                <w:lang w:val="en-GB"/>
              </w:rPr>
              <w:t>Information on revenue management and expenditures (#5.3)</w:t>
            </w:r>
          </w:p>
        </w:tc>
        <w:tc>
          <w:tcPr>
            <w:tcW w:w="4842" w:type="dxa"/>
            <w:shd w:val="clear" w:color="auto" w:fill="auto"/>
          </w:tcPr>
          <w:p w14:paraId="2742C02B" w14:textId="7A0B05BE" w:rsidR="00DF51CD" w:rsidRPr="002815F4" w:rsidRDefault="00E86D1B" w:rsidP="00E217A9">
            <w:pPr>
              <w:pStyle w:val="Tabletext"/>
              <w:rPr>
                <w:lang w:val="en-GB"/>
              </w:rPr>
            </w:pPr>
            <w:r w:rsidRPr="002815F4">
              <w:rPr>
                <w:lang w:val="en-GB"/>
              </w:rPr>
              <w:t>It is encouraging that the MSG has made some attempt to including information on the budget-making auditing process in the 2014 EITI Report.</w:t>
            </w:r>
          </w:p>
        </w:tc>
        <w:tc>
          <w:tcPr>
            <w:tcW w:w="2067" w:type="dxa"/>
            <w:shd w:val="clear" w:color="auto" w:fill="D9D9D9"/>
          </w:tcPr>
          <w:p w14:paraId="46D2FDD3" w14:textId="77777777" w:rsidR="00DF51CD" w:rsidRPr="002815F4" w:rsidRDefault="00DF51CD" w:rsidP="00E217A9">
            <w:pPr>
              <w:pStyle w:val="Tabletext"/>
              <w:rPr>
                <w:lang w:val="en-GB"/>
              </w:rPr>
            </w:pPr>
          </w:p>
        </w:tc>
      </w:tr>
      <w:tr w:rsidR="00DF51CD" w:rsidRPr="002815F4" w14:paraId="0DA49816" w14:textId="77777777" w:rsidTr="00E02D8A">
        <w:tc>
          <w:tcPr>
            <w:tcW w:w="9603" w:type="dxa"/>
            <w:gridSpan w:val="3"/>
            <w:shd w:val="clear" w:color="auto" w:fill="FFFFFF"/>
          </w:tcPr>
          <w:p w14:paraId="35F9626C" w14:textId="51CA5C84" w:rsidR="00DF51CD" w:rsidRPr="00E2507C" w:rsidRDefault="009757FA" w:rsidP="00E217A9">
            <w:pPr>
              <w:pStyle w:val="Tabletext"/>
              <w:rPr>
                <w:b/>
                <w:lang w:val="en-GB"/>
              </w:rPr>
            </w:pPr>
            <w:r w:rsidRPr="00E2507C">
              <w:rPr>
                <w:b/>
                <w:lang w:val="en-GB"/>
              </w:rPr>
              <w:t xml:space="preserve">Secretariat’s </w:t>
            </w:r>
            <w:r w:rsidR="00DF51CD" w:rsidRPr="00E2507C">
              <w:rPr>
                <w:b/>
                <w:lang w:val="en-GB"/>
              </w:rPr>
              <w:t>recommendations:</w:t>
            </w:r>
          </w:p>
          <w:p w14:paraId="37783DDA" w14:textId="3156FA6F" w:rsidR="00434FDA" w:rsidRPr="004158A2" w:rsidRDefault="009757FA" w:rsidP="00E2507C">
            <w:pPr>
              <w:pStyle w:val="ListParagraph"/>
              <w:numPr>
                <w:ilvl w:val="0"/>
                <w:numId w:val="72"/>
              </w:numPr>
              <w:rPr>
                <w:rFonts w:eastAsia="Calibri"/>
              </w:rPr>
            </w:pPr>
            <w:r w:rsidRPr="002815F4">
              <w:t>To strengthen implementation, the MSG may wish to publish audited financial statements of government entities collecting extractives revenues not recorded in the national budget.</w:t>
            </w:r>
            <w:r w:rsidRPr="002815F4" w:rsidDel="009757FA">
              <w:t xml:space="preserve"> </w:t>
            </w:r>
          </w:p>
          <w:p w14:paraId="36A382BB" w14:textId="10AB6B8F" w:rsidR="00F17D2C" w:rsidRPr="004158A2" w:rsidRDefault="009757FA" w:rsidP="00E2507C">
            <w:pPr>
              <w:pStyle w:val="ListParagraph"/>
              <w:numPr>
                <w:ilvl w:val="0"/>
                <w:numId w:val="72"/>
              </w:numPr>
              <w:rPr>
                <w:rFonts w:eastAsia="Calibri"/>
              </w:rPr>
            </w:pPr>
            <w:r w:rsidRPr="002815F4">
              <w:t>Given the planned implementation of subnational transfers from 2017, the MSG is encouraged to ensure that future EITI Reports provide the formula for calculating transfers to individual subnational government, the value of transfers according to the formula and any discrepancies between budgeted and executed transfers in the year(s) under review.</w:t>
            </w:r>
            <w:r w:rsidRPr="002815F4" w:rsidDel="009757FA">
              <w:t xml:space="preserve"> </w:t>
            </w:r>
          </w:p>
          <w:p w14:paraId="0B4C6AA9" w14:textId="4AF44222" w:rsidR="00DF51CD" w:rsidRPr="004158A2" w:rsidRDefault="009757FA" w:rsidP="00E2507C">
            <w:pPr>
              <w:pStyle w:val="ListParagraph"/>
              <w:numPr>
                <w:ilvl w:val="0"/>
                <w:numId w:val="72"/>
              </w:numPr>
              <w:rPr>
                <w:rFonts w:eastAsia="Calibri"/>
              </w:rPr>
            </w:pPr>
            <w:r w:rsidRPr="002815F4">
              <w:t>To strengthen implementation, the MSG may wish to includ</w:t>
            </w:r>
            <w:r w:rsidR="00292632">
              <w:t>e</w:t>
            </w:r>
            <w:r w:rsidRPr="002815F4">
              <w:t xml:space="preserve"> further information on production and revenue projections, commodity prices and budget scenario planning in future EITI Reports or on Senegal’s EITI website. The MSG may also wish to explore the potential of clarifying the level of tax incentives provided to extractives companies in line with stakeholder demands for more information.</w:t>
            </w:r>
            <w:r w:rsidRPr="002815F4" w:rsidDel="009757FA">
              <w:t xml:space="preserve"> </w:t>
            </w:r>
          </w:p>
        </w:tc>
      </w:tr>
    </w:tbl>
    <w:p w14:paraId="651B2799" w14:textId="77777777" w:rsidR="001F4E8B" w:rsidRPr="002815F4" w:rsidRDefault="001F4E8B" w:rsidP="00DF51CD">
      <w:pPr>
        <w:rPr>
          <w:rFonts w:ascii="Calibri" w:hAnsi="Calibri"/>
        </w:rPr>
      </w:pPr>
    </w:p>
    <w:p w14:paraId="0C33C0C5" w14:textId="77777777" w:rsidR="00411AA1" w:rsidRPr="002815F4" w:rsidRDefault="00411AA1">
      <w:pPr>
        <w:widowControl/>
        <w:suppressAutoHyphens w:val="0"/>
        <w:spacing w:after="0" w:line="240" w:lineRule="auto"/>
        <w:rPr>
          <w:rFonts w:ascii="Calibri" w:hAnsi="Calibri"/>
          <w:b/>
          <w:bCs/>
          <w:color w:val="4F81BD"/>
          <w:sz w:val="28"/>
          <w:szCs w:val="26"/>
        </w:rPr>
      </w:pPr>
      <w:bookmarkStart w:id="369" w:name="_Toc459133186"/>
      <w:bookmarkStart w:id="370" w:name="_Toc461803136"/>
      <w:bookmarkStart w:id="371" w:name="_Toc461787356"/>
      <w:bookmarkStart w:id="372" w:name="_Toc461795868"/>
      <w:bookmarkStart w:id="373" w:name="_Toc462149202"/>
      <w:r w:rsidRPr="002815F4">
        <w:rPr>
          <w:rFonts w:ascii="Calibri" w:hAnsi="Calibri"/>
        </w:rPr>
        <w:br w:type="page"/>
      </w:r>
    </w:p>
    <w:p w14:paraId="24EAB9F1" w14:textId="72616E55" w:rsidR="000722F1" w:rsidRPr="002815F4" w:rsidRDefault="000C662A" w:rsidP="009B3E66">
      <w:pPr>
        <w:pStyle w:val="Heading2"/>
      </w:pPr>
      <w:r w:rsidRPr="002815F4">
        <w:lastRenderedPageBreak/>
        <w:t xml:space="preserve">6. </w:t>
      </w:r>
      <w:r w:rsidR="000722F1" w:rsidRPr="002815F4">
        <w:t>Social and economic spending</w:t>
      </w:r>
      <w:bookmarkEnd w:id="369"/>
      <w:bookmarkEnd w:id="370"/>
      <w:bookmarkEnd w:id="371"/>
      <w:bookmarkEnd w:id="372"/>
      <w:bookmarkEnd w:id="373"/>
      <w:r w:rsidR="000722F1" w:rsidRPr="002815F4">
        <w:t xml:space="preserve"> </w:t>
      </w:r>
    </w:p>
    <w:p w14:paraId="5BEC1DB4" w14:textId="20920B15" w:rsidR="000722F1" w:rsidRPr="002815F4" w:rsidRDefault="00F17D2C" w:rsidP="009B3E66">
      <w:pPr>
        <w:pStyle w:val="Heading2notindexed"/>
      </w:pPr>
      <w:bookmarkStart w:id="374" w:name="_Toc459133187"/>
      <w:bookmarkStart w:id="375" w:name="_Toc461803137"/>
      <w:bookmarkStart w:id="376" w:name="_Toc461787357"/>
      <w:bookmarkStart w:id="377" w:name="_Toc461795869"/>
      <w:r w:rsidRPr="002815F4">
        <w:t xml:space="preserve">6.1 </w:t>
      </w:r>
      <w:r w:rsidR="000722F1" w:rsidRPr="002815F4">
        <w:t>Overview</w:t>
      </w:r>
      <w:bookmarkEnd w:id="374"/>
      <w:bookmarkEnd w:id="375"/>
      <w:bookmarkEnd w:id="376"/>
      <w:bookmarkEnd w:id="377"/>
    </w:p>
    <w:p w14:paraId="0C3C635A" w14:textId="75953D9A" w:rsidR="000722F1" w:rsidRPr="002815F4" w:rsidRDefault="00601654" w:rsidP="000722F1">
      <w:pPr>
        <w:spacing w:before="120"/>
        <w:rPr>
          <w:rFonts w:ascii="Calibri" w:hAnsi="Calibri"/>
        </w:rPr>
      </w:pPr>
      <w:r w:rsidRPr="002815F4">
        <w:rPr>
          <w:rFonts w:ascii="Calibri" w:hAnsi="Calibri"/>
        </w:rPr>
        <w:t xml:space="preserve">This section provides details on the implementation of the EITI requirements related </w:t>
      </w:r>
      <w:r w:rsidR="00734C25" w:rsidRPr="002815F4">
        <w:rPr>
          <w:rFonts w:ascii="Calibri" w:hAnsi="Calibri"/>
        </w:rPr>
        <w:t xml:space="preserve">to social and economic spending </w:t>
      </w:r>
      <w:r w:rsidR="00627853" w:rsidRPr="002815F4">
        <w:rPr>
          <w:rFonts w:ascii="Calibri" w:hAnsi="Calibri"/>
        </w:rPr>
        <w:t>(SOE quasi-</w:t>
      </w:r>
      <w:r w:rsidR="00734C25" w:rsidRPr="002815F4">
        <w:rPr>
          <w:rFonts w:ascii="Calibri" w:hAnsi="Calibri"/>
        </w:rPr>
        <w:t>fiscal expenditures, social expenditures and contribution of the extractive sector to the economy).</w:t>
      </w:r>
    </w:p>
    <w:p w14:paraId="03BC28D3" w14:textId="016F177E" w:rsidR="000722F1" w:rsidRPr="002815F4" w:rsidRDefault="00F17D2C" w:rsidP="009B3E66">
      <w:pPr>
        <w:pStyle w:val="Heading2notindexed"/>
      </w:pPr>
      <w:bookmarkStart w:id="378" w:name="_Toc459133188"/>
      <w:bookmarkStart w:id="379" w:name="_Toc461803138"/>
      <w:bookmarkStart w:id="380" w:name="_Toc461787358"/>
      <w:bookmarkStart w:id="381" w:name="_Toc461795870"/>
      <w:r w:rsidRPr="002815F4">
        <w:t xml:space="preserve">6.2 </w:t>
      </w:r>
      <w:r w:rsidR="000722F1" w:rsidRPr="002815F4">
        <w:t>Assessment</w:t>
      </w:r>
      <w:bookmarkEnd w:id="378"/>
      <w:bookmarkEnd w:id="379"/>
      <w:bookmarkEnd w:id="380"/>
      <w:bookmarkEnd w:id="381"/>
    </w:p>
    <w:p w14:paraId="3BFEE166" w14:textId="238BD1BC" w:rsidR="00436407" w:rsidRPr="002815F4" w:rsidRDefault="00436407" w:rsidP="009B3E66">
      <w:pPr>
        <w:pStyle w:val="Heading2"/>
      </w:pPr>
      <w:bookmarkStart w:id="382" w:name="_Toc459133189"/>
      <w:bookmarkStart w:id="383" w:name="_Toc461803139"/>
      <w:bookmarkStart w:id="384" w:name="_Toc461787359"/>
      <w:bookmarkStart w:id="385" w:name="_Toc461795871"/>
      <w:bookmarkStart w:id="386" w:name="_Toc462149203"/>
      <w:r w:rsidRPr="002815F4">
        <w:t>Social expenditures (#6.1)</w:t>
      </w:r>
      <w:bookmarkEnd w:id="382"/>
      <w:bookmarkEnd w:id="383"/>
      <w:bookmarkEnd w:id="384"/>
      <w:bookmarkEnd w:id="385"/>
      <w:bookmarkEnd w:id="386"/>
    </w:p>
    <w:p w14:paraId="120787F8" w14:textId="4F8F02DF" w:rsidR="006112C8" w:rsidRPr="002815F4" w:rsidRDefault="002051F4" w:rsidP="009B3E66">
      <w:pPr>
        <w:pStyle w:val="Heading3"/>
      </w:pPr>
      <w:r w:rsidRPr="002815F4">
        <w:t xml:space="preserve">Documentation of progress </w:t>
      </w:r>
    </w:p>
    <w:p w14:paraId="47D4842F" w14:textId="292D07A2" w:rsidR="002051F4" w:rsidRPr="002815F4" w:rsidRDefault="00534245" w:rsidP="002051F4">
      <w:pPr>
        <w:spacing w:before="120"/>
        <w:rPr>
          <w:rFonts w:ascii="Calibri" w:hAnsi="Calibri"/>
          <w:bCs/>
        </w:rPr>
      </w:pPr>
      <w:r w:rsidRPr="002815F4">
        <w:rPr>
          <w:rFonts w:ascii="Calibri" w:hAnsi="Calibri"/>
          <w:bCs/>
        </w:rPr>
        <w:t>The 2014 EITI Report describes mandatory social expenditure requirements in both mining and oil and gas. In mining, operating contracts require companies to conclude separate agreements signed with host communities covering mandatory social expenditures (2014 EITI Report, p.36). In oil and gas, the Petroleum Code (Article 53) requires companies to contribute to professional development and research and development promotion and the model PSC (Article 19)</w:t>
      </w:r>
      <w:r w:rsidR="00B55F03" w:rsidRPr="002815F4">
        <w:rPr>
          <w:rFonts w:ascii="Calibri" w:hAnsi="Calibri"/>
          <w:bCs/>
        </w:rPr>
        <w:t xml:space="preserve"> requires companies to grant non cost-recoverable subsidies for social development, with the specific rates for both types of payments agreed in each oil contract or concession</w:t>
      </w:r>
      <w:r w:rsidRPr="002815F4">
        <w:rPr>
          <w:rFonts w:ascii="Calibri" w:hAnsi="Calibri"/>
          <w:bCs/>
        </w:rPr>
        <w:t xml:space="preserve"> (2014 EITI Report, pp.54-55).</w:t>
      </w:r>
      <w:r w:rsidR="00972A35" w:rsidRPr="002815F4">
        <w:rPr>
          <w:rFonts w:ascii="Calibri" w:hAnsi="Calibri"/>
          <w:bCs/>
        </w:rPr>
        <w:t xml:space="preserve"> The report describes the payment of companies’ contributions to training support, promotion of research and technical support to the DMG and DEFCCS in the mining sector and to Petrosen in the oil and gas sector, not recorded in the national budget (2014 EITI Report, p.60). The report discloses the value of contributions to each of the three entities (DMG, DEFCCS and Petrosen) in 2014 (2014 EITI Report, p.58).</w:t>
      </w:r>
      <w:r w:rsidR="00D7758C" w:rsidRPr="002815F4">
        <w:rPr>
          <w:rFonts w:ascii="Calibri" w:hAnsi="Calibri"/>
          <w:bCs/>
        </w:rPr>
        <w:t xml:space="preserve"> The report also notes planned reforms under the then-draft new Mining Code, which would introduce mandatory social expenditures of a flat 0.5% of companies</w:t>
      </w:r>
      <w:r w:rsidR="0099007D" w:rsidRPr="002815F4">
        <w:rPr>
          <w:rFonts w:ascii="Calibri" w:hAnsi="Calibri"/>
          <w:bCs/>
        </w:rPr>
        <w:t xml:space="preserve">’ gross annual turnover </w:t>
      </w:r>
      <w:r w:rsidR="00D7758C" w:rsidRPr="002815F4">
        <w:rPr>
          <w:rFonts w:ascii="Calibri" w:hAnsi="Calibri"/>
          <w:bCs/>
        </w:rPr>
        <w:t>to community development funds, replacing the current system of bilateral negotiations between state and companies (2014 EITI Report, p.38).</w:t>
      </w:r>
    </w:p>
    <w:p w14:paraId="4DBE3DF8" w14:textId="60390282" w:rsidR="00341A65" w:rsidRPr="002815F4" w:rsidRDefault="00341A65" w:rsidP="002051F4">
      <w:pPr>
        <w:spacing w:before="120"/>
        <w:rPr>
          <w:rFonts w:ascii="Calibri" w:hAnsi="Calibri"/>
          <w:bCs/>
        </w:rPr>
      </w:pPr>
      <w:r w:rsidRPr="002815F4">
        <w:rPr>
          <w:rFonts w:ascii="Calibri" w:hAnsi="Calibri"/>
          <w:bCs/>
        </w:rPr>
        <w:t>The 2014 EITI Report also provides details of three companies’ reporting of their mandatory social expenditures (two in mining and one in oil and gas), including for each, disaggregated by expenditure type, the name and function of the beneficiary, date, relevant contract clause, description of the in-kind expenditure for in-kind provision and value (2014 EITI Report, p.80,116,117-131). The names and functions of beneficiaries of each mandatory social expenditure are clearly indicated in the report (2014 EITI Report, p.110,111-125).</w:t>
      </w:r>
    </w:p>
    <w:p w14:paraId="7138C913" w14:textId="1549A9C2" w:rsidR="00341A65" w:rsidRPr="002815F4" w:rsidRDefault="00341A65">
      <w:pPr>
        <w:spacing w:before="120"/>
        <w:rPr>
          <w:rFonts w:ascii="Calibri" w:hAnsi="Calibri"/>
          <w:bCs/>
        </w:rPr>
      </w:pPr>
      <w:r w:rsidRPr="002815F4">
        <w:rPr>
          <w:rFonts w:ascii="Calibri" w:hAnsi="Calibri"/>
          <w:bCs/>
        </w:rPr>
        <w:t xml:space="preserve">The 2014 EITI Report also describes companies’ voluntary social expenditures, categorised as corporate social </w:t>
      </w:r>
      <w:r w:rsidR="002815F4" w:rsidRPr="002815F4">
        <w:rPr>
          <w:rFonts w:ascii="Calibri" w:hAnsi="Calibri"/>
          <w:bCs/>
        </w:rPr>
        <w:t>responsibility</w:t>
      </w:r>
      <w:r w:rsidRPr="002815F4">
        <w:rPr>
          <w:rFonts w:ascii="Calibri" w:hAnsi="Calibri"/>
          <w:bCs/>
        </w:rPr>
        <w:t>, and provides seven companies’ reporting of their voluntary contributions, disaggregated by cash and in-kind (2014 EITI Report, p.36,54-55,80,117-131).</w:t>
      </w:r>
    </w:p>
    <w:p w14:paraId="69162D37" w14:textId="3696BB12" w:rsidR="006112C8" w:rsidRPr="002815F4" w:rsidRDefault="002051F4" w:rsidP="009B3E66">
      <w:pPr>
        <w:pStyle w:val="Heading3"/>
      </w:pPr>
      <w:r w:rsidRPr="002815F4">
        <w:t xml:space="preserve">Stakeholder views </w:t>
      </w:r>
    </w:p>
    <w:p w14:paraId="196BDC8D" w14:textId="741D822A" w:rsidR="008779CD" w:rsidRPr="002815F4" w:rsidRDefault="008779CD" w:rsidP="008779CD">
      <w:r w:rsidRPr="002815F4">
        <w:t>Civil society representatives outside the capital noted that data on social payments was particularly useful to them in the report</w:t>
      </w:r>
      <w:r w:rsidR="00FE50B6" w:rsidRPr="002815F4">
        <w:t xml:space="preserve"> and requested further tools to </w:t>
      </w:r>
      <w:r w:rsidRPr="002815F4">
        <w:t xml:space="preserve">monitor the social payments of companies. </w:t>
      </w:r>
      <w:r w:rsidR="00FE50B6" w:rsidRPr="002815F4">
        <w:t>Parliamentarians stat</w:t>
      </w:r>
      <w:r w:rsidRPr="002815F4">
        <w:t xml:space="preserve">ed that </w:t>
      </w:r>
      <w:r w:rsidR="00FE50B6" w:rsidRPr="002815F4">
        <w:t xml:space="preserve">there was poor communication with </w:t>
      </w:r>
      <w:r w:rsidRPr="002815F4">
        <w:t xml:space="preserve">local communities </w:t>
      </w:r>
      <w:r w:rsidR="00FE50B6" w:rsidRPr="002815F4">
        <w:t xml:space="preserve">on the </w:t>
      </w:r>
      <w:r w:rsidRPr="002815F4">
        <w:t xml:space="preserve">companies’ responsibilities. </w:t>
      </w:r>
      <w:r w:rsidR="00FE50B6" w:rsidRPr="002815F4">
        <w:t>They noted that 0.5% of company</w:t>
      </w:r>
      <w:r w:rsidRPr="002815F4">
        <w:t xml:space="preserve"> turnover </w:t>
      </w:r>
      <w:r w:rsidR="00FE50B6" w:rsidRPr="002815F4">
        <w:t xml:space="preserve">should go to </w:t>
      </w:r>
      <w:r w:rsidR="00F56595" w:rsidRPr="002815F4">
        <w:t xml:space="preserve">mandatory </w:t>
      </w:r>
      <w:r w:rsidR="00FE50B6" w:rsidRPr="002815F4">
        <w:t xml:space="preserve">social </w:t>
      </w:r>
      <w:r w:rsidR="00F56595" w:rsidRPr="002815F4">
        <w:t xml:space="preserve">expenditures </w:t>
      </w:r>
      <w:r w:rsidR="00F56595" w:rsidRPr="002815F4">
        <w:lastRenderedPageBreak/>
        <w:t xml:space="preserve">under </w:t>
      </w:r>
      <w:r w:rsidR="00FE50B6" w:rsidRPr="002815F4">
        <w:t xml:space="preserve">the </w:t>
      </w:r>
      <w:r w:rsidR="00F56595" w:rsidRPr="002815F4">
        <w:t>new 2016 M</w:t>
      </w:r>
      <w:r w:rsidR="00FE50B6" w:rsidRPr="002815F4">
        <w:t xml:space="preserve">ining </w:t>
      </w:r>
      <w:r w:rsidR="00F56595" w:rsidRPr="002815F4">
        <w:t>C</w:t>
      </w:r>
      <w:r w:rsidR="00FE50B6" w:rsidRPr="002815F4">
        <w:t>ode</w:t>
      </w:r>
      <w:r w:rsidR="00555343" w:rsidRPr="002815F4">
        <w:t>,</w:t>
      </w:r>
      <w:r w:rsidR="00FE50B6" w:rsidRPr="002815F4">
        <w:t xml:space="preserve"> </w:t>
      </w:r>
      <w:r w:rsidR="00555343" w:rsidRPr="002815F4">
        <w:t>although i</w:t>
      </w:r>
      <w:r w:rsidR="00FE50B6" w:rsidRPr="002815F4">
        <w:t>t wa</w:t>
      </w:r>
      <w:r w:rsidRPr="002815F4">
        <w:t>s unclear whethe</w:t>
      </w:r>
      <w:r w:rsidR="00FE50B6" w:rsidRPr="002815F4">
        <w:t xml:space="preserve">r these funds would be paid to the Ministry of Finance or </w:t>
      </w:r>
      <w:r w:rsidRPr="002815F4">
        <w:t xml:space="preserve">directly to the local communities. </w:t>
      </w:r>
      <w:r w:rsidR="00B90ABB" w:rsidRPr="002815F4">
        <w:t>Some company representatives questioned the importance of including voluntary social payments in the EITI Report since it was fastidious work for the companies to trace small</w:t>
      </w:r>
      <w:r w:rsidR="00555343" w:rsidRPr="002815F4">
        <w:t>er</w:t>
      </w:r>
      <w:r w:rsidR="00B90ABB" w:rsidRPr="002815F4">
        <w:t xml:space="preserve"> payments.</w:t>
      </w:r>
    </w:p>
    <w:p w14:paraId="74F7A74C" w14:textId="457D8591" w:rsidR="00ED1C96" w:rsidRPr="002815F4" w:rsidRDefault="00FE50B6" w:rsidP="00B90ABB">
      <w:r w:rsidRPr="002815F4">
        <w:t>Some mining c</w:t>
      </w:r>
      <w:r w:rsidR="008779CD" w:rsidRPr="002815F4">
        <w:t xml:space="preserve">ompanies noted that they did </w:t>
      </w:r>
      <w:r w:rsidR="00B453F3" w:rsidRPr="002815F4">
        <w:t xml:space="preserve">not declare their mandatory social payments in the </w:t>
      </w:r>
      <w:r w:rsidR="008779CD" w:rsidRPr="002815F4">
        <w:t xml:space="preserve">2014 EITI </w:t>
      </w:r>
      <w:r w:rsidR="00555343" w:rsidRPr="002815F4">
        <w:t>R</w:t>
      </w:r>
      <w:r w:rsidR="00B453F3" w:rsidRPr="002815F4">
        <w:t xml:space="preserve">eport </w:t>
      </w:r>
      <w:r w:rsidR="008779CD" w:rsidRPr="002815F4">
        <w:t>due to a misunderstanding of the EITI terminology.</w:t>
      </w:r>
      <w:r w:rsidRPr="002815F4">
        <w:t xml:space="preserve"> The national secretariat indicated however that the guidance to companies was clear on the matter.</w:t>
      </w:r>
      <w:r w:rsidR="008779CD" w:rsidRPr="002815F4">
        <w:t xml:space="preserve"> </w:t>
      </w:r>
      <w:r w:rsidRPr="002815F4">
        <w:t xml:space="preserve">Independent analysts also questioned the comprehensiveness of the report given that more companies should have made mandatory social payments. </w:t>
      </w:r>
      <w:r w:rsidR="00B453F3" w:rsidRPr="002815F4">
        <w:t>However</w:t>
      </w:r>
      <w:r w:rsidR="008779CD" w:rsidRPr="002815F4">
        <w:t>,</w:t>
      </w:r>
      <w:r w:rsidR="00B453F3" w:rsidRPr="002815F4">
        <w:t xml:space="preserve"> company representatives in Thi</w:t>
      </w:r>
      <w:r w:rsidR="00555343" w:rsidRPr="002815F4">
        <w:t>è</w:t>
      </w:r>
      <w:r w:rsidR="00B453F3" w:rsidRPr="002815F4">
        <w:t>s noted that they were under no obligation</w:t>
      </w:r>
      <w:r w:rsidR="008779CD" w:rsidRPr="002815F4">
        <w:t xml:space="preserve"> to make mandatory social payments</w:t>
      </w:r>
      <w:r w:rsidR="00B453F3" w:rsidRPr="002815F4">
        <w:t xml:space="preserve">. </w:t>
      </w:r>
      <w:r w:rsidR="00B90ABB" w:rsidRPr="002815F4">
        <w:t xml:space="preserve">The </w:t>
      </w:r>
      <w:r w:rsidR="00555343" w:rsidRPr="002815F4">
        <w:t>IA</w:t>
      </w:r>
      <w:r w:rsidR="00B90ABB" w:rsidRPr="002815F4">
        <w:t xml:space="preserve"> noted that there may be delays in payments or a lack of monitoring in terms of </w:t>
      </w:r>
      <w:r w:rsidR="00555343" w:rsidRPr="002815F4">
        <w:t xml:space="preserve">contractual </w:t>
      </w:r>
      <w:r w:rsidR="00B90ABB" w:rsidRPr="002815F4">
        <w:t>payment</w:t>
      </w:r>
      <w:r w:rsidR="00555343" w:rsidRPr="002815F4">
        <w:t xml:space="preserve"> obligations</w:t>
      </w:r>
      <w:r w:rsidR="00B90ABB" w:rsidRPr="002815F4">
        <w:t xml:space="preserve"> </w:t>
      </w:r>
      <w:r w:rsidR="00555343" w:rsidRPr="002815F4">
        <w:t xml:space="preserve">that </w:t>
      </w:r>
      <w:r w:rsidR="00B90ABB" w:rsidRPr="002815F4">
        <w:t xml:space="preserve">should have been made in 2014. He </w:t>
      </w:r>
      <w:r w:rsidR="00555343" w:rsidRPr="002815F4">
        <w:t xml:space="preserve">explained </w:t>
      </w:r>
      <w:r w:rsidR="00B90ABB" w:rsidRPr="002815F4">
        <w:t xml:space="preserve">that </w:t>
      </w:r>
      <w:r w:rsidR="00555343" w:rsidRPr="002815F4">
        <w:t>while the number of companies reporting mandatory social expenditures in 2014 may seem low, there were various explanations for this, including significant differences in tracking payments due to rapid foreign exchange rate changes, as happened with the USD/XOF rate in 2014</w:t>
      </w:r>
      <w:r w:rsidR="00B90ABB" w:rsidRPr="002815F4">
        <w:t xml:space="preserve">. </w:t>
      </w:r>
    </w:p>
    <w:p w14:paraId="30F94A2C" w14:textId="34BE7D9F" w:rsidR="005A308C" w:rsidRPr="002815F4" w:rsidRDefault="008779CD" w:rsidP="005A308C">
      <w:r w:rsidRPr="002815F4">
        <w:t>With respect to the oil and gas sector,</w:t>
      </w:r>
      <w:r w:rsidR="00FE50B6" w:rsidRPr="002815F4">
        <w:t xml:space="preserve"> Kosmos noted that there</w:t>
      </w:r>
      <w:r w:rsidR="005A308C" w:rsidRPr="002815F4">
        <w:t xml:space="preserve"> would be mandatory</w:t>
      </w:r>
      <w:r w:rsidR="00FE50B6" w:rsidRPr="002815F4">
        <w:t xml:space="preserve"> social</w:t>
      </w:r>
      <w:r w:rsidR="005A308C" w:rsidRPr="002815F4">
        <w:t xml:space="preserve"> payments </w:t>
      </w:r>
      <w:r w:rsidR="00555343" w:rsidRPr="002815F4">
        <w:t>in</w:t>
      </w:r>
      <w:r w:rsidR="005A308C" w:rsidRPr="002815F4">
        <w:t xml:space="preserve"> </w:t>
      </w:r>
      <w:r w:rsidR="00FE50B6" w:rsidRPr="002815F4">
        <w:t xml:space="preserve">the </w:t>
      </w:r>
      <w:r w:rsidR="005A308C" w:rsidRPr="002815F4">
        <w:t>2015</w:t>
      </w:r>
      <w:r w:rsidR="00FE50B6" w:rsidRPr="002815F4">
        <w:t xml:space="preserve"> </w:t>
      </w:r>
      <w:r w:rsidR="00555343" w:rsidRPr="002815F4">
        <w:t>EITI R</w:t>
      </w:r>
      <w:r w:rsidR="00FE50B6" w:rsidRPr="002815F4">
        <w:t xml:space="preserve">eport, </w:t>
      </w:r>
      <w:r w:rsidR="00555343" w:rsidRPr="002815F4">
        <w:t xml:space="preserve">when they began </w:t>
      </w:r>
      <w:r w:rsidR="00FE50B6" w:rsidRPr="002815F4">
        <w:t xml:space="preserve">their collaboration with </w:t>
      </w:r>
      <w:r w:rsidR="00555343" w:rsidRPr="002815F4">
        <w:t>Petrosen in earnest following significant discoveries</w:t>
      </w:r>
      <w:r w:rsidR="005A308C" w:rsidRPr="002815F4">
        <w:t xml:space="preserve">. </w:t>
      </w:r>
      <w:r w:rsidR="00ED1C96" w:rsidRPr="002815F4">
        <w:t>P</w:t>
      </w:r>
      <w:r w:rsidR="00555343" w:rsidRPr="002815F4">
        <w:t xml:space="preserve">etrosen </w:t>
      </w:r>
      <w:r w:rsidR="00ED1C96" w:rsidRPr="002815F4">
        <w:t xml:space="preserve">confirmed that there were no mandatory </w:t>
      </w:r>
      <w:r w:rsidR="00555343" w:rsidRPr="002815F4">
        <w:t xml:space="preserve">social </w:t>
      </w:r>
      <w:r w:rsidR="00ED1C96" w:rsidRPr="002815F4">
        <w:t>payments f</w:t>
      </w:r>
      <w:r w:rsidR="00555343" w:rsidRPr="002815F4">
        <w:t xml:space="preserve">rom </w:t>
      </w:r>
      <w:r w:rsidR="00ED1C96" w:rsidRPr="002815F4">
        <w:t>oil and gas companies in 2014.</w:t>
      </w:r>
    </w:p>
    <w:p w14:paraId="1E4AB79F" w14:textId="11222BD9" w:rsidR="00436407" w:rsidRPr="002815F4" w:rsidRDefault="00BA52AA" w:rsidP="009B3E66">
      <w:pPr>
        <w:pStyle w:val="Heading3"/>
      </w:pPr>
      <w:bookmarkStart w:id="387" w:name="_Toc459133192"/>
      <w:bookmarkStart w:id="388" w:name="_Toc461803142"/>
      <w:r w:rsidRPr="002815F4">
        <w:t>Initial a</w:t>
      </w:r>
      <w:r w:rsidR="00436407" w:rsidRPr="002815F4">
        <w:t>ssessment</w:t>
      </w:r>
      <w:bookmarkEnd w:id="387"/>
      <w:bookmarkEnd w:id="388"/>
    </w:p>
    <w:p w14:paraId="5D8E8251" w14:textId="62DC2661" w:rsidR="000722F1" w:rsidRPr="002815F4" w:rsidRDefault="002051F4" w:rsidP="00924DF7">
      <w:pPr>
        <w:rPr>
          <w:rFonts w:ascii="Calibri" w:hAnsi="Calibri"/>
        </w:rPr>
      </w:pPr>
      <w:r w:rsidRPr="002815F4">
        <w:rPr>
          <w:rFonts w:ascii="Calibri" w:hAnsi="Calibri"/>
        </w:rPr>
        <w:t xml:space="preserve">The International Secretariat’s initial assessment is that </w:t>
      </w:r>
      <w:r w:rsidR="00695018" w:rsidRPr="002815F4">
        <w:rPr>
          <w:rFonts w:ascii="Calibri" w:hAnsi="Calibri"/>
          <w:bCs/>
        </w:rPr>
        <w:t>Senegal</w:t>
      </w:r>
      <w:r w:rsidR="00695018" w:rsidRPr="002815F4">
        <w:rPr>
          <w:rFonts w:ascii="Calibri" w:hAnsi="Calibri"/>
        </w:rPr>
        <w:t xml:space="preserve"> </w:t>
      </w:r>
      <w:r w:rsidRPr="002815F4">
        <w:rPr>
          <w:rFonts w:ascii="Calibri" w:hAnsi="Calibri"/>
        </w:rPr>
        <w:t xml:space="preserve">has made </w:t>
      </w:r>
      <w:r w:rsidR="00695018" w:rsidRPr="002815F4">
        <w:rPr>
          <w:rFonts w:ascii="Calibri" w:hAnsi="Calibri"/>
          <w:bCs/>
        </w:rPr>
        <w:t>satisfactory</w:t>
      </w:r>
      <w:r w:rsidR="00695018" w:rsidRPr="002815F4">
        <w:rPr>
          <w:rFonts w:ascii="Calibri" w:hAnsi="Calibri"/>
          <w:b/>
          <w:bCs/>
        </w:rPr>
        <w:t xml:space="preserve"> </w:t>
      </w:r>
      <w:r w:rsidRPr="002815F4">
        <w:rPr>
          <w:rFonts w:ascii="Calibri" w:hAnsi="Calibri"/>
        </w:rPr>
        <w:t xml:space="preserve">progress towards meeting this </w:t>
      </w:r>
      <w:commentRangeStart w:id="389"/>
      <w:r w:rsidRPr="002815F4">
        <w:rPr>
          <w:rFonts w:ascii="Calibri" w:hAnsi="Calibri"/>
        </w:rPr>
        <w:t>requirement</w:t>
      </w:r>
      <w:commentRangeEnd w:id="389"/>
      <w:r w:rsidR="008B1C30">
        <w:rPr>
          <w:rStyle w:val="CommentReference"/>
          <w:szCs w:val="20"/>
        </w:rPr>
        <w:commentReference w:id="389"/>
      </w:r>
      <w:r w:rsidRPr="002815F4">
        <w:rPr>
          <w:rFonts w:ascii="Calibri" w:hAnsi="Calibri"/>
        </w:rPr>
        <w:t xml:space="preserve">. </w:t>
      </w:r>
      <w:r w:rsidR="00695018" w:rsidRPr="002815F4">
        <w:rPr>
          <w:rFonts w:ascii="Calibri" w:hAnsi="Calibri"/>
        </w:rPr>
        <w:t xml:space="preserve">The 2014 EITI Report describes mandatory social expenditures in both mining and oil and gas and discloses these comprehensively, clearly identifying non-government beneficiaries where applicable and describing in-kind expenditures and their deemed value. In the Secretariat’s view, Senegal </w:t>
      </w:r>
      <w:r w:rsidR="00924DF7" w:rsidRPr="002815F4">
        <w:rPr>
          <w:rFonts w:ascii="Calibri" w:hAnsi="Calibri"/>
        </w:rPr>
        <w:t>has gone beyond the minimum requirements by providing additional information on discretionary social expenditures as encouraged by the EITI Standard.</w:t>
      </w:r>
    </w:p>
    <w:p w14:paraId="0C5A7983" w14:textId="5120EA6A" w:rsidR="00A90F38" w:rsidRPr="002815F4" w:rsidRDefault="00A90F38" w:rsidP="00924DF7">
      <w:pPr>
        <w:rPr>
          <w:rFonts w:ascii="Calibri" w:hAnsi="Calibri"/>
        </w:rPr>
      </w:pPr>
      <w:r w:rsidRPr="002815F4">
        <w:rPr>
          <w:rFonts w:ascii="Calibri" w:hAnsi="Calibri"/>
        </w:rPr>
        <w:t xml:space="preserve">To further strengthen implementation, the MSG may wish to provide additional analysis of companies’ contractual social expenditure obligations in future EITI Reports, with a view to explaining and contextualising companies’ reporting of their social expenditures in the year(s) under review. </w:t>
      </w:r>
    </w:p>
    <w:p w14:paraId="53B41843" w14:textId="77777777" w:rsidR="000722F1" w:rsidRPr="002815F4" w:rsidRDefault="000722F1" w:rsidP="009B3E66">
      <w:pPr>
        <w:pStyle w:val="Heading2"/>
      </w:pPr>
      <w:bookmarkStart w:id="390" w:name="_Toc459133193"/>
      <w:bookmarkStart w:id="391" w:name="_Toc461803143"/>
      <w:bookmarkStart w:id="392" w:name="_Toc461787360"/>
      <w:bookmarkStart w:id="393" w:name="_Toc461795872"/>
      <w:bookmarkStart w:id="394" w:name="_Toc462149204"/>
      <w:bookmarkStart w:id="395" w:name="_Toc459133194"/>
      <w:r w:rsidRPr="002815F4">
        <w:t>SOE quasi fiscal expenditures (#</w:t>
      </w:r>
      <w:r w:rsidR="00436407" w:rsidRPr="002815F4">
        <w:t>6.2</w:t>
      </w:r>
      <w:r w:rsidRPr="002815F4">
        <w:t>)</w:t>
      </w:r>
      <w:bookmarkEnd w:id="390"/>
      <w:bookmarkEnd w:id="391"/>
      <w:bookmarkEnd w:id="392"/>
      <w:bookmarkEnd w:id="393"/>
      <w:bookmarkEnd w:id="394"/>
    </w:p>
    <w:bookmarkEnd w:id="395"/>
    <w:p w14:paraId="49F3ADA2" w14:textId="230B0A79" w:rsidR="008D3D27" w:rsidRPr="002815F4" w:rsidRDefault="002051F4" w:rsidP="009B3E66">
      <w:pPr>
        <w:pStyle w:val="Heading3"/>
      </w:pPr>
      <w:r w:rsidRPr="002815F4">
        <w:t>Documentation of progress</w:t>
      </w:r>
    </w:p>
    <w:p w14:paraId="3B1A2B31" w14:textId="383F63D9" w:rsidR="00E675F1" w:rsidRPr="002815F4" w:rsidRDefault="0099007D" w:rsidP="002051F4">
      <w:pPr>
        <w:spacing w:before="120"/>
        <w:rPr>
          <w:rFonts w:ascii="Calibri" w:hAnsi="Calibri"/>
          <w:bCs/>
        </w:rPr>
      </w:pPr>
      <w:r w:rsidRPr="002815F4">
        <w:rPr>
          <w:rFonts w:ascii="Calibri" w:hAnsi="Calibri"/>
          <w:bCs/>
        </w:rPr>
        <w:t>The 2014 EITI Report states that all quasi-fiscal expenditures are required to be decided by legislators as part of the budget-making process, implying that there are no quasi-fiscal expendit</w:t>
      </w:r>
      <w:r w:rsidR="00D7072F" w:rsidRPr="002815F4">
        <w:rPr>
          <w:rFonts w:ascii="Calibri" w:hAnsi="Calibri"/>
          <w:bCs/>
        </w:rPr>
        <w:t>ures in Senegal</w:t>
      </w:r>
      <w:r w:rsidRPr="002815F4">
        <w:rPr>
          <w:rFonts w:ascii="Calibri" w:hAnsi="Calibri"/>
          <w:bCs/>
        </w:rPr>
        <w:t xml:space="preserve"> (2014 EITI Report, p.87).</w:t>
      </w:r>
      <w:r w:rsidR="00B6424F" w:rsidRPr="002815F4">
        <w:rPr>
          <w:rFonts w:ascii="Calibri" w:hAnsi="Calibri"/>
          <w:bCs/>
        </w:rPr>
        <w:t xml:space="preserve"> While the IA confirms that it has consulted Petrosen’s audited financial statements in several sections of the </w:t>
      </w:r>
      <w:r w:rsidR="007D0999" w:rsidRPr="002815F4">
        <w:rPr>
          <w:rFonts w:ascii="Calibri" w:hAnsi="Calibri"/>
          <w:bCs/>
        </w:rPr>
        <w:t xml:space="preserve">report </w:t>
      </w:r>
      <w:r w:rsidR="00934E91" w:rsidRPr="002815F4">
        <w:rPr>
          <w:rFonts w:ascii="Calibri" w:hAnsi="Calibri"/>
          <w:bCs/>
        </w:rPr>
        <w:t>(</w:t>
      </w:r>
      <w:r w:rsidR="007D0999" w:rsidRPr="002815F4">
        <w:rPr>
          <w:rFonts w:ascii="Calibri" w:hAnsi="Calibri"/>
          <w:bCs/>
        </w:rPr>
        <w:t xml:space="preserve">2014 EITI Report, </w:t>
      </w:r>
      <w:r w:rsidR="00934E91" w:rsidRPr="002815F4">
        <w:rPr>
          <w:rFonts w:ascii="Calibri" w:hAnsi="Calibri"/>
          <w:bCs/>
        </w:rPr>
        <w:t>pp.12,</w:t>
      </w:r>
      <w:r w:rsidR="00FA71EE" w:rsidRPr="002815F4">
        <w:rPr>
          <w:rFonts w:ascii="Calibri" w:hAnsi="Calibri"/>
          <w:bCs/>
        </w:rPr>
        <w:t>51,54</w:t>
      </w:r>
      <w:r w:rsidR="007D0999" w:rsidRPr="002815F4">
        <w:rPr>
          <w:rFonts w:ascii="Calibri" w:hAnsi="Calibri"/>
          <w:bCs/>
        </w:rPr>
        <w:t xml:space="preserve">), it does not provide guidance on where to access these reports and Petrosen does not appear to have a functional website. The report describes revenues that Petrosen retains, such as land tax </w:t>
      </w:r>
      <w:r w:rsidR="007D0999" w:rsidRPr="002815F4">
        <w:rPr>
          <w:rFonts w:ascii="Calibri" w:hAnsi="Calibri"/>
          <w:bCs/>
          <w:i/>
        </w:rPr>
        <w:t>(taxes superficiaires</w:t>
      </w:r>
      <w:r w:rsidR="007D0999" w:rsidRPr="002815F4">
        <w:rPr>
          <w:rFonts w:ascii="Calibri" w:hAnsi="Calibri"/>
          <w:bCs/>
        </w:rPr>
        <w:t xml:space="preserve">), training and research support as well as the sales proceeds from Petrosen’s own share of Profit/Cost Oil (2014 EITI Report, p.56), but only </w:t>
      </w:r>
      <w:r w:rsidR="007D0999" w:rsidRPr="002815F4">
        <w:rPr>
          <w:rFonts w:ascii="Calibri" w:hAnsi="Calibri"/>
          <w:bCs/>
        </w:rPr>
        <w:lastRenderedPageBreak/>
        <w:t>states generally that these are used to finance its operations (2014 EITI Report, p.54)</w:t>
      </w:r>
    </w:p>
    <w:p w14:paraId="7452B52E" w14:textId="2505FC3C" w:rsidR="00FC3899" w:rsidRPr="002815F4" w:rsidRDefault="002051F4" w:rsidP="009B3E66">
      <w:pPr>
        <w:pStyle w:val="Heading3"/>
      </w:pPr>
      <w:r w:rsidRPr="002815F4">
        <w:t>Stakeholder views</w:t>
      </w:r>
    </w:p>
    <w:p w14:paraId="3717C880" w14:textId="77777777" w:rsidR="00BD63F3" w:rsidRPr="002815F4" w:rsidRDefault="00D111D2" w:rsidP="00BD63F3">
      <w:r w:rsidRPr="002815F4">
        <w:t>R</w:t>
      </w:r>
      <w:r w:rsidR="005A308C" w:rsidRPr="002815F4">
        <w:t>epresentatives</w:t>
      </w:r>
      <w:r w:rsidRPr="002815F4">
        <w:t xml:space="preserve"> of the two state-owned companies, M</w:t>
      </w:r>
      <w:r w:rsidR="007225BF" w:rsidRPr="002815F4">
        <w:t xml:space="preserve">iferso </w:t>
      </w:r>
      <w:r w:rsidRPr="002815F4">
        <w:t>and P</w:t>
      </w:r>
      <w:r w:rsidR="007225BF" w:rsidRPr="002815F4">
        <w:t>etrosen</w:t>
      </w:r>
      <w:r w:rsidRPr="002815F4">
        <w:t xml:space="preserve">, confirmed that there were </w:t>
      </w:r>
      <w:r w:rsidR="005A308C" w:rsidRPr="002815F4">
        <w:t>no quasi-fiscal payments</w:t>
      </w:r>
      <w:r w:rsidRPr="002815F4">
        <w:t xml:space="preserve"> in 2014</w:t>
      </w:r>
      <w:r w:rsidR="005A308C" w:rsidRPr="002815F4">
        <w:t xml:space="preserve">. The </w:t>
      </w:r>
      <w:r w:rsidR="007225BF" w:rsidRPr="002815F4">
        <w:t xml:space="preserve">IA </w:t>
      </w:r>
      <w:r w:rsidRPr="002815F4">
        <w:t>confirmed that based on the firm</w:t>
      </w:r>
      <w:r w:rsidR="005A308C" w:rsidRPr="002815F4">
        <w:t>s</w:t>
      </w:r>
      <w:r w:rsidRPr="002815F4">
        <w:t>’</w:t>
      </w:r>
      <w:r w:rsidR="005A308C" w:rsidRPr="002815F4">
        <w:t xml:space="preserve"> reporting template and</w:t>
      </w:r>
      <w:r w:rsidRPr="002815F4">
        <w:t xml:space="preserve"> </w:t>
      </w:r>
      <w:r w:rsidR="007225BF" w:rsidRPr="002815F4">
        <w:t xml:space="preserve">consultations </w:t>
      </w:r>
      <w:r w:rsidRPr="002815F4">
        <w:t xml:space="preserve">with the </w:t>
      </w:r>
      <w:r w:rsidR="007225BF" w:rsidRPr="002815F4">
        <w:t>SOEs’ management and Ministry of Finance authorities</w:t>
      </w:r>
      <w:r w:rsidRPr="002815F4">
        <w:t>, there w</w:t>
      </w:r>
      <w:r w:rsidR="007225BF" w:rsidRPr="002815F4">
        <w:t>ere</w:t>
      </w:r>
      <w:r w:rsidRPr="002815F4">
        <w:t xml:space="preserve"> no indication</w:t>
      </w:r>
      <w:r w:rsidR="007225BF" w:rsidRPr="002815F4">
        <w:t>s</w:t>
      </w:r>
      <w:r w:rsidRPr="002815F4">
        <w:t xml:space="preserve"> of </w:t>
      </w:r>
      <w:r w:rsidR="007225BF" w:rsidRPr="002815F4">
        <w:t xml:space="preserve">any </w:t>
      </w:r>
      <w:r w:rsidRPr="002815F4">
        <w:t>quasi-fiscal expenditures during 2014</w:t>
      </w:r>
      <w:r w:rsidR="005A308C" w:rsidRPr="002815F4">
        <w:t>.</w:t>
      </w:r>
      <w:r w:rsidRPr="002815F4">
        <w:tab/>
      </w:r>
      <w:bookmarkStart w:id="396" w:name="_Toc459133196"/>
      <w:bookmarkStart w:id="397" w:name="_Toc461803146"/>
    </w:p>
    <w:p w14:paraId="5C34796C" w14:textId="267394C4" w:rsidR="002051F4" w:rsidRPr="002815F4" w:rsidRDefault="002051F4" w:rsidP="009B3E66">
      <w:pPr>
        <w:pStyle w:val="Heading3"/>
      </w:pPr>
      <w:r w:rsidRPr="002815F4">
        <w:t>Initial assessment</w:t>
      </w:r>
      <w:bookmarkEnd w:id="396"/>
      <w:bookmarkEnd w:id="397"/>
    </w:p>
    <w:p w14:paraId="64230BC9" w14:textId="31591237" w:rsidR="005D5BAE" w:rsidRPr="002815F4" w:rsidRDefault="002051F4" w:rsidP="00D24BEC">
      <w:pPr>
        <w:spacing w:before="120"/>
        <w:rPr>
          <w:rFonts w:ascii="Calibri" w:hAnsi="Calibri"/>
          <w:color w:val="000000" w:themeColor="text1"/>
          <w:lang w:eastAsia="x-none"/>
        </w:rPr>
      </w:pPr>
      <w:r w:rsidRPr="002815F4">
        <w:rPr>
          <w:rFonts w:ascii="Calibri" w:hAnsi="Calibri"/>
          <w:color w:val="000000" w:themeColor="text1"/>
          <w:lang w:eastAsia="x-none"/>
        </w:rPr>
        <w:t xml:space="preserve">The International Secretariat’s initial assessment is that </w:t>
      </w:r>
      <w:r w:rsidR="007D0999" w:rsidRPr="002815F4">
        <w:rPr>
          <w:rFonts w:ascii="Calibri" w:hAnsi="Calibri"/>
          <w:bCs/>
        </w:rPr>
        <w:t>this requirement is not applicable to Senegal in the year under review (</w:t>
      </w:r>
      <w:commentRangeStart w:id="398"/>
      <w:r w:rsidR="007D0999" w:rsidRPr="002815F4">
        <w:rPr>
          <w:rFonts w:ascii="Calibri" w:hAnsi="Calibri"/>
          <w:bCs/>
        </w:rPr>
        <w:t>2014</w:t>
      </w:r>
      <w:commentRangeEnd w:id="398"/>
      <w:r w:rsidR="00154B5A">
        <w:rPr>
          <w:rStyle w:val="CommentReference"/>
          <w:szCs w:val="20"/>
        </w:rPr>
        <w:commentReference w:id="398"/>
      </w:r>
      <w:r w:rsidR="007D0999" w:rsidRPr="002815F4">
        <w:rPr>
          <w:rFonts w:ascii="Calibri" w:hAnsi="Calibri"/>
          <w:bCs/>
        </w:rPr>
        <w:t>)</w:t>
      </w:r>
      <w:r w:rsidRPr="002815F4">
        <w:rPr>
          <w:rFonts w:ascii="Calibri" w:hAnsi="Calibri"/>
          <w:color w:val="000000" w:themeColor="text1"/>
          <w:lang w:eastAsia="x-none"/>
        </w:rPr>
        <w:t xml:space="preserve">. </w:t>
      </w:r>
      <w:r w:rsidR="007D0999" w:rsidRPr="002815F4">
        <w:rPr>
          <w:rFonts w:ascii="Calibri" w:hAnsi="Calibri"/>
          <w:color w:val="000000" w:themeColor="text1"/>
          <w:lang w:eastAsia="x-none"/>
        </w:rPr>
        <w:t xml:space="preserve">However, the 2014 EITI Report could have been clearer in describing the MSG’s approach to demonstrating the lack of quasi-fiscal expenditures by either MIferso or Petrosen. </w:t>
      </w:r>
    </w:p>
    <w:p w14:paraId="58A9F621" w14:textId="7A0837F4" w:rsidR="007D0999" w:rsidRPr="002815F4" w:rsidRDefault="007D0999" w:rsidP="00D24BEC">
      <w:pPr>
        <w:spacing w:before="120"/>
        <w:rPr>
          <w:rFonts w:ascii="Calibri" w:hAnsi="Calibri"/>
          <w:color w:val="000000" w:themeColor="text1"/>
          <w:lang w:eastAsia="x-none"/>
        </w:rPr>
      </w:pPr>
      <w:r w:rsidRPr="002815F4">
        <w:rPr>
          <w:rFonts w:ascii="Calibri" w:hAnsi="Calibri"/>
          <w:color w:val="000000" w:themeColor="text1"/>
          <w:lang w:eastAsia="x-none"/>
        </w:rPr>
        <w:t xml:space="preserve">To strengthen implementation, the MSG </w:t>
      </w:r>
      <w:r w:rsidR="00903864" w:rsidRPr="002815F4">
        <w:rPr>
          <w:rFonts w:ascii="Calibri" w:hAnsi="Calibri"/>
          <w:color w:val="000000" w:themeColor="text1"/>
          <w:lang w:eastAsia="x-none"/>
        </w:rPr>
        <w:t xml:space="preserve">may wish to publish the audited financial statements of Miferso and Petrosen, potentially through the EITI Senegal website pending operationalisation of the SOEs’ websites. </w:t>
      </w:r>
    </w:p>
    <w:p w14:paraId="036A8720" w14:textId="77777777" w:rsidR="000722F1" w:rsidRPr="002815F4" w:rsidRDefault="000722F1" w:rsidP="009B3E66">
      <w:pPr>
        <w:pStyle w:val="Heading2"/>
      </w:pPr>
      <w:bookmarkStart w:id="399" w:name="_Toc459133197"/>
      <w:bookmarkStart w:id="400" w:name="_Toc461803147"/>
      <w:bookmarkStart w:id="401" w:name="_Toc461787361"/>
      <w:bookmarkStart w:id="402" w:name="_Toc461795873"/>
      <w:bookmarkStart w:id="403" w:name="_Toc462149205"/>
      <w:bookmarkStart w:id="404" w:name="_Toc459133198"/>
      <w:r w:rsidRPr="002815F4">
        <w:t>Contribution of the extractive sector to the economy (#</w:t>
      </w:r>
      <w:r w:rsidR="00436407" w:rsidRPr="002815F4">
        <w:t>6.3</w:t>
      </w:r>
      <w:r w:rsidRPr="002815F4">
        <w:t>)</w:t>
      </w:r>
      <w:bookmarkEnd w:id="399"/>
      <w:bookmarkEnd w:id="400"/>
      <w:bookmarkEnd w:id="401"/>
      <w:bookmarkEnd w:id="402"/>
      <w:bookmarkEnd w:id="403"/>
    </w:p>
    <w:bookmarkEnd w:id="404"/>
    <w:p w14:paraId="1A2C27DE" w14:textId="77777777" w:rsidR="008D3D27" w:rsidRPr="002815F4" w:rsidRDefault="002051F4" w:rsidP="009B3E66">
      <w:pPr>
        <w:pStyle w:val="Heading3"/>
      </w:pPr>
      <w:r w:rsidRPr="002815F4">
        <w:t>Documentation of progress</w:t>
      </w:r>
    </w:p>
    <w:p w14:paraId="45F955BC" w14:textId="3D436CF2" w:rsidR="002051F4" w:rsidRPr="002815F4" w:rsidRDefault="009862C2" w:rsidP="002051F4">
      <w:pPr>
        <w:spacing w:before="120"/>
        <w:rPr>
          <w:rFonts w:ascii="Calibri" w:hAnsi="Calibri"/>
        </w:rPr>
      </w:pPr>
      <w:r w:rsidRPr="002815F4">
        <w:rPr>
          <w:rFonts w:ascii="Calibri" w:hAnsi="Calibri"/>
          <w:i/>
          <w:u w:val="single"/>
        </w:rPr>
        <w:t>S</w:t>
      </w:r>
      <w:r w:rsidR="002051F4" w:rsidRPr="002815F4">
        <w:rPr>
          <w:rFonts w:ascii="Calibri" w:hAnsi="Calibri"/>
          <w:i/>
          <w:u w:val="single"/>
        </w:rPr>
        <w:t>hare of GDP</w:t>
      </w:r>
      <w:r w:rsidR="001B0470" w:rsidRPr="002815F4">
        <w:rPr>
          <w:rFonts w:ascii="Calibri" w:hAnsi="Calibri"/>
          <w:i/>
          <w:u w:val="single"/>
        </w:rPr>
        <w:t>:</w:t>
      </w:r>
      <w:r w:rsidR="00DE584B" w:rsidRPr="002815F4">
        <w:rPr>
          <w:rFonts w:ascii="Calibri" w:hAnsi="Calibri"/>
        </w:rPr>
        <w:t xml:space="preserve"> The 2014 EITI Report </w:t>
      </w:r>
      <w:r w:rsidR="009A1F89" w:rsidRPr="002815F4">
        <w:rPr>
          <w:rFonts w:ascii="Calibri" w:hAnsi="Calibri"/>
        </w:rPr>
        <w:t xml:space="preserve">provides the relative contribution of the extractive industries to GDP from official sources, the DPEE (2014 EITI Report, p.9), it only provides its own calculations of the extractives contribution to GDP in absolute terms (2014 EITI Report, pp.65-66). </w:t>
      </w:r>
      <w:r w:rsidR="009A1F89" w:rsidRPr="002815F4">
        <w:rPr>
          <w:rFonts w:ascii="Calibri" w:hAnsi="Calibri"/>
          <w:bCs/>
        </w:rPr>
        <w:t>Noting constraints on available breakdowns of GDP figures, the report provides its calculations of reconciled EITI revenues to GDP, sourced from the government’s 2014 financial statements (TOFE)</w:t>
      </w:r>
      <w:r w:rsidR="009A1F89" w:rsidRPr="002815F4">
        <w:rPr>
          <w:rFonts w:ascii="Calibri" w:hAnsi="Calibri"/>
        </w:rPr>
        <w:t xml:space="preserve"> (2014 EITI Report, pp.65-66). </w:t>
      </w:r>
      <w:r w:rsidRPr="002815F4">
        <w:rPr>
          <w:rFonts w:ascii="Calibri" w:hAnsi="Calibri"/>
          <w:i/>
          <w:u w:val="single"/>
        </w:rPr>
        <w:t>G</w:t>
      </w:r>
      <w:r w:rsidR="002051F4" w:rsidRPr="002815F4">
        <w:rPr>
          <w:rFonts w:ascii="Calibri" w:hAnsi="Calibri"/>
          <w:i/>
          <w:u w:val="single"/>
        </w:rPr>
        <w:t>overnment revenues</w:t>
      </w:r>
      <w:r w:rsidR="001B0470" w:rsidRPr="002815F4">
        <w:rPr>
          <w:rFonts w:ascii="Calibri" w:hAnsi="Calibri"/>
          <w:i/>
          <w:u w:val="single"/>
        </w:rPr>
        <w:t>:</w:t>
      </w:r>
      <w:r w:rsidR="002051F4" w:rsidRPr="002815F4">
        <w:rPr>
          <w:rFonts w:ascii="Calibri" w:hAnsi="Calibri"/>
        </w:rPr>
        <w:t xml:space="preserve"> </w:t>
      </w:r>
      <w:r w:rsidR="000E258D" w:rsidRPr="002815F4">
        <w:rPr>
          <w:rFonts w:ascii="Calibri" w:hAnsi="Calibri"/>
        </w:rPr>
        <w:t>The 2014 EITI Report</w:t>
      </w:r>
      <w:r w:rsidR="003D1E69" w:rsidRPr="002815F4">
        <w:rPr>
          <w:rFonts w:ascii="Calibri" w:hAnsi="Calibri"/>
        </w:rPr>
        <w:t xml:space="preserve"> provides the value of government extractives revenues in absolute terms and relative to total government revenues (2014 EITI Report, pp.8-9,62,65,78-79).</w:t>
      </w:r>
    </w:p>
    <w:p w14:paraId="095AF47A" w14:textId="2C5C43AA" w:rsidR="002051F4" w:rsidRPr="002815F4" w:rsidRDefault="009862C2" w:rsidP="002051F4">
      <w:pPr>
        <w:spacing w:before="120"/>
        <w:rPr>
          <w:rFonts w:ascii="Calibri" w:hAnsi="Calibri"/>
        </w:rPr>
      </w:pPr>
      <w:r w:rsidRPr="002815F4">
        <w:rPr>
          <w:rFonts w:ascii="Calibri" w:hAnsi="Calibri"/>
          <w:i/>
          <w:u w:val="single"/>
        </w:rPr>
        <w:t>Exports</w:t>
      </w:r>
      <w:r w:rsidR="001B0470" w:rsidRPr="002815F4">
        <w:rPr>
          <w:rFonts w:ascii="Calibri" w:hAnsi="Calibri"/>
        </w:rPr>
        <w:t>:</w:t>
      </w:r>
      <w:r w:rsidR="000E258D" w:rsidRPr="002815F4">
        <w:rPr>
          <w:rFonts w:ascii="Calibri" w:hAnsi="Calibri"/>
        </w:rPr>
        <w:t xml:space="preserve"> The 2014 EITI Report</w:t>
      </w:r>
      <w:r w:rsidR="000E0462" w:rsidRPr="002815F4">
        <w:rPr>
          <w:rFonts w:ascii="Calibri" w:hAnsi="Calibri"/>
        </w:rPr>
        <w:t xml:space="preserve"> includes the values of extractives exports in absolute terms and relative to total exports (2014 EITI Report, pp.9-10,66).</w:t>
      </w:r>
    </w:p>
    <w:p w14:paraId="25243D32" w14:textId="56F7F17A" w:rsidR="0009262C" w:rsidRPr="002815F4" w:rsidRDefault="009862C2" w:rsidP="00922ED3">
      <w:pPr>
        <w:spacing w:before="120"/>
        <w:rPr>
          <w:rFonts w:ascii="Calibri" w:hAnsi="Calibri"/>
        </w:rPr>
      </w:pPr>
      <w:r w:rsidRPr="002815F4">
        <w:rPr>
          <w:rFonts w:ascii="Calibri" w:hAnsi="Calibri"/>
          <w:i/>
          <w:u w:val="single"/>
        </w:rPr>
        <w:t>Employment</w:t>
      </w:r>
      <w:r w:rsidR="001B0470" w:rsidRPr="002815F4">
        <w:rPr>
          <w:rFonts w:ascii="Calibri" w:hAnsi="Calibri"/>
          <w:i/>
          <w:u w:val="single"/>
        </w:rPr>
        <w:t>:</w:t>
      </w:r>
      <w:r w:rsidRPr="002815F4">
        <w:rPr>
          <w:rFonts w:ascii="Calibri" w:hAnsi="Calibri"/>
        </w:rPr>
        <w:t xml:space="preserve"> </w:t>
      </w:r>
      <w:r w:rsidR="00813902" w:rsidRPr="002815F4">
        <w:rPr>
          <w:rFonts w:ascii="Calibri" w:hAnsi="Calibri"/>
        </w:rPr>
        <w:t>Noting limitations in the granularity of official labour data, t</w:t>
      </w:r>
      <w:r w:rsidR="000E258D" w:rsidRPr="002815F4">
        <w:rPr>
          <w:rFonts w:ascii="Calibri" w:hAnsi="Calibri"/>
        </w:rPr>
        <w:t>he 2014 EITI Report</w:t>
      </w:r>
      <w:r w:rsidR="007E4F86" w:rsidRPr="002815F4">
        <w:rPr>
          <w:rFonts w:ascii="Calibri" w:hAnsi="Calibri"/>
        </w:rPr>
        <w:t xml:space="preserve"> provides </w:t>
      </w:r>
      <w:r w:rsidR="00813902" w:rsidRPr="002815F4">
        <w:rPr>
          <w:rFonts w:ascii="Calibri" w:hAnsi="Calibri"/>
        </w:rPr>
        <w:t>a link to official data (not disaggregated for extractive industries) (2014 EITI Report, p.66) and includes the 24 reporting companies’ unilateral disclosures of their employment levels in absolute terms and relative to total employment, disaggregated by company and by foreign/national (2014 EITI Report, pp.9,66,104,105).</w:t>
      </w:r>
      <w:r w:rsidR="00B96C6A" w:rsidRPr="002815F4">
        <w:rPr>
          <w:rFonts w:ascii="Calibri" w:hAnsi="Calibri"/>
        </w:rPr>
        <w:t xml:space="preserve"> The report also provides estimates of employment in the artisanal mining sector (2014 EITI Report, p.23).</w:t>
      </w:r>
      <w:r w:rsidR="00152CE4">
        <w:rPr>
          <w:rFonts w:ascii="Calibri" w:hAnsi="Calibri"/>
        </w:rPr>
        <w:t xml:space="preserve"> </w:t>
      </w:r>
      <w:r w:rsidRPr="002815F4">
        <w:rPr>
          <w:rFonts w:ascii="Calibri" w:hAnsi="Calibri"/>
          <w:i/>
          <w:u w:val="single"/>
        </w:rPr>
        <w:t>Location</w:t>
      </w:r>
      <w:r w:rsidR="001B0470" w:rsidRPr="002815F4">
        <w:rPr>
          <w:rFonts w:ascii="Calibri" w:hAnsi="Calibri"/>
          <w:i/>
          <w:u w:val="single"/>
        </w:rPr>
        <w:t>:</w:t>
      </w:r>
      <w:r w:rsidRPr="002815F4">
        <w:rPr>
          <w:rFonts w:ascii="Calibri" w:hAnsi="Calibri"/>
        </w:rPr>
        <w:t xml:space="preserve"> </w:t>
      </w:r>
      <w:r w:rsidR="000E258D" w:rsidRPr="002815F4">
        <w:rPr>
          <w:rFonts w:ascii="Calibri" w:hAnsi="Calibri"/>
        </w:rPr>
        <w:t>The 2014 EITI Report</w:t>
      </w:r>
      <w:r w:rsidR="00B96C6A" w:rsidRPr="002815F4">
        <w:rPr>
          <w:rFonts w:ascii="Calibri" w:hAnsi="Calibri"/>
        </w:rPr>
        <w:t xml:space="preserve"> </w:t>
      </w:r>
      <w:r w:rsidR="007A2D22" w:rsidRPr="002815F4">
        <w:rPr>
          <w:rFonts w:ascii="Calibri" w:hAnsi="Calibri"/>
        </w:rPr>
        <w:t>includes low-definition maps of deposits (2014 EITI Report, pp.22-23) and an overview of major production sites in mining and oil and gas (2014 EITI Report, pp.22-23,39-40).</w:t>
      </w:r>
    </w:p>
    <w:p w14:paraId="1DA968AE" w14:textId="6FEE0FFB" w:rsidR="006112C8" w:rsidRPr="002815F4" w:rsidRDefault="008D3D27" w:rsidP="009B3E66">
      <w:pPr>
        <w:pStyle w:val="Heading3"/>
      </w:pPr>
      <w:r w:rsidRPr="002815F4">
        <w:t>Stakeholder views</w:t>
      </w:r>
    </w:p>
    <w:p w14:paraId="33DD3E45" w14:textId="0F05700F" w:rsidR="00D3163C" w:rsidRPr="002815F4" w:rsidRDefault="00FB7A76" w:rsidP="00E2507C">
      <w:pPr>
        <w:spacing w:before="120"/>
      </w:pPr>
      <w:r w:rsidRPr="002815F4">
        <w:rPr>
          <w:rFonts w:ascii="Calibri" w:hAnsi="Calibri"/>
        </w:rPr>
        <w:t xml:space="preserve">Civil society noted that information on the contribution of the sector to the economy was key to their understanding of the sector. With respect to GDP, government representatives explained that national </w:t>
      </w:r>
      <w:r w:rsidRPr="002815F4">
        <w:rPr>
          <w:rFonts w:ascii="Calibri" w:hAnsi="Calibri"/>
        </w:rPr>
        <w:lastRenderedPageBreak/>
        <w:t>statistics would only be provided on a provisional basis until certified by the CdC the following year.</w:t>
      </w:r>
      <w:r w:rsidR="00995EB5">
        <w:rPr>
          <w:rFonts w:ascii="Calibri" w:hAnsi="Calibri"/>
        </w:rPr>
        <w:t xml:space="preserve"> </w:t>
      </w:r>
      <w:r w:rsidRPr="002815F4">
        <w:rPr>
          <w:rFonts w:ascii="Calibri" w:hAnsi="Calibri"/>
        </w:rPr>
        <w:t xml:space="preserve">Government representatives suggested that the employment directorate might have further information on employment in the sector. The IA noted that they had approached the national statistics agency for data on employment, but this was not a priority for the organization given the sector’s small economic size to date. The national secretariat noted that national statistics included non-mining activities such as salt in official mining statistics, which the MSG had considered could be misleading if </w:t>
      </w:r>
      <w:r w:rsidR="002815F4" w:rsidRPr="002815F4">
        <w:rPr>
          <w:rFonts w:ascii="Calibri" w:hAnsi="Calibri"/>
        </w:rPr>
        <w:t>included</w:t>
      </w:r>
      <w:r w:rsidRPr="002815F4">
        <w:rPr>
          <w:rFonts w:ascii="Calibri" w:hAnsi="Calibri"/>
        </w:rPr>
        <w:t xml:space="preserve"> in the EITI Report. Companies noted that they had no objections to providing employment data and the larger mining companies confirmed that they provide that information to the DGM monthly, as well as to the EITI. With respect to the oil and gas sector, Fortesa was the only producing company and provided quarterly reports to the line ministry, although this information was not published. </w:t>
      </w:r>
    </w:p>
    <w:p w14:paraId="4EF6B804" w14:textId="47DAD7DB" w:rsidR="00416ABB" w:rsidRPr="002815F4" w:rsidRDefault="00F75BAA" w:rsidP="009B3E66">
      <w:pPr>
        <w:pStyle w:val="Heading3"/>
      </w:pPr>
      <w:bookmarkStart w:id="405" w:name="_Toc459133200"/>
      <w:bookmarkStart w:id="406" w:name="_Toc461803150"/>
      <w:r w:rsidRPr="002815F4">
        <w:t>Initial a</w:t>
      </w:r>
      <w:r w:rsidR="00416ABB" w:rsidRPr="002815F4">
        <w:t>ssessment</w:t>
      </w:r>
      <w:bookmarkEnd w:id="405"/>
      <w:bookmarkEnd w:id="406"/>
    </w:p>
    <w:p w14:paraId="470D0E05" w14:textId="7B40D60F" w:rsidR="00922ED3" w:rsidRPr="002815F4" w:rsidRDefault="002051F4" w:rsidP="00AE6A07">
      <w:pPr>
        <w:spacing w:before="120"/>
        <w:rPr>
          <w:rFonts w:ascii="Calibri" w:hAnsi="Calibri"/>
          <w:color w:val="000000" w:themeColor="text1"/>
          <w:lang w:eastAsia="x-none"/>
        </w:rPr>
      </w:pPr>
      <w:r w:rsidRPr="002815F4">
        <w:rPr>
          <w:rFonts w:ascii="Calibri" w:hAnsi="Calibri"/>
          <w:color w:val="000000" w:themeColor="text1"/>
          <w:lang w:eastAsia="x-none"/>
        </w:rPr>
        <w:t xml:space="preserve">The International Secretariat’s initial assessment is that </w:t>
      </w:r>
      <w:r w:rsidR="000F32C6" w:rsidRPr="002815F4">
        <w:rPr>
          <w:rFonts w:ascii="Calibri" w:hAnsi="Calibri"/>
          <w:bCs/>
        </w:rPr>
        <w:t>Senegal</w:t>
      </w:r>
      <w:r w:rsidR="000F32C6" w:rsidRPr="002815F4">
        <w:rPr>
          <w:rFonts w:ascii="Calibri" w:hAnsi="Calibri"/>
          <w:color w:val="000000" w:themeColor="text1"/>
          <w:lang w:eastAsia="x-none"/>
        </w:rPr>
        <w:t xml:space="preserve"> </w:t>
      </w:r>
      <w:r w:rsidRPr="002815F4">
        <w:rPr>
          <w:rFonts w:ascii="Calibri" w:hAnsi="Calibri"/>
          <w:color w:val="000000" w:themeColor="text1"/>
          <w:lang w:eastAsia="x-none"/>
        </w:rPr>
        <w:t xml:space="preserve">has made </w:t>
      </w:r>
      <w:r w:rsidR="00285C4C" w:rsidRPr="002815F4">
        <w:rPr>
          <w:rFonts w:ascii="Calibri" w:hAnsi="Calibri"/>
          <w:color w:val="000000" w:themeColor="text1"/>
          <w:lang w:eastAsia="x-none"/>
        </w:rPr>
        <w:t>satisfactory</w:t>
      </w:r>
      <w:r w:rsidR="000F32C6" w:rsidRPr="002815F4">
        <w:rPr>
          <w:rFonts w:ascii="Calibri" w:hAnsi="Calibri"/>
          <w:b/>
          <w:bCs/>
        </w:rPr>
        <w:t xml:space="preserve"> </w:t>
      </w:r>
      <w:r w:rsidRPr="002815F4">
        <w:rPr>
          <w:rFonts w:ascii="Calibri" w:hAnsi="Calibri"/>
          <w:color w:val="000000" w:themeColor="text1"/>
          <w:lang w:eastAsia="x-none"/>
        </w:rPr>
        <w:t xml:space="preserve">progress towards meeting this requirement. </w:t>
      </w:r>
      <w:commentRangeStart w:id="407"/>
      <w:r w:rsidR="00C8167F" w:rsidRPr="002815F4">
        <w:rPr>
          <w:rFonts w:ascii="Calibri" w:hAnsi="Calibri"/>
          <w:color w:val="000000" w:themeColor="text1"/>
          <w:lang w:eastAsia="x-none"/>
        </w:rPr>
        <w:t>Despite</w:t>
      </w:r>
      <w:commentRangeEnd w:id="407"/>
      <w:r w:rsidR="00EF1184">
        <w:rPr>
          <w:rStyle w:val="CommentReference"/>
          <w:szCs w:val="20"/>
        </w:rPr>
        <w:commentReference w:id="407"/>
      </w:r>
      <w:r w:rsidR="00C8167F" w:rsidRPr="002815F4">
        <w:rPr>
          <w:rFonts w:ascii="Calibri" w:hAnsi="Calibri"/>
          <w:color w:val="000000" w:themeColor="text1"/>
          <w:lang w:eastAsia="x-none"/>
        </w:rPr>
        <w:t xml:space="preserve"> constraints in </w:t>
      </w:r>
      <w:r w:rsidR="00A359E8" w:rsidRPr="002815F4">
        <w:rPr>
          <w:rFonts w:ascii="Calibri" w:hAnsi="Calibri"/>
          <w:color w:val="000000" w:themeColor="text1"/>
          <w:lang w:eastAsia="x-none"/>
        </w:rPr>
        <w:t xml:space="preserve">the granularity of </w:t>
      </w:r>
      <w:r w:rsidR="00C8167F" w:rsidRPr="002815F4">
        <w:rPr>
          <w:rFonts w:ascii="Calibri" w:hAnsi="Calibri"/>
          <w:color w:val="000000" w:themeColor="text1"/>
          <w:lang w:eastAsia="x-none"/>
        </w:rPr>
        <w:t xml:space="preserve">official </w:t>
      </w:r>
      <w:r w:rsidR="00A359E8" w:rsidRPr="002815F4">
        <w:rPr>
          <w:rFonts w:ascii="Calibri" w:hAnsi="Calibri"/>
          <w:color w:val="000000" w:themeColor="text1"/>
          <w:lang w:eastAsia="x-none"/>
        </w:rPr>
        <w:t xml:space="preserve">macro-economic and employment </w:t>
      </w:r>
      <w:r w:rsidR="00C8167F" w:rsidRPr="002815F4">
        <w:rPr>
          <w:rFonts w:ascii="Calibri" w:hAnsi="Calibri"/>
          <w:color w:val="000000" w:themeColor="text1"/>
          <w:lang w:eastAsia="x-none"/>
        </w:rPr>
        <w:t>statistics</w:t>
      </w:r>
      <w:r w:rsidR="00A359E8" w:rsidRPr="002815F4">
        <w:rPr>
          <w:rFonts w:ascii="Calibri" w:hAnsi="Calibri"/>
          <w:color w:val="000000" w:themeColor="text1"/>
          <w:lang w:eastAsia="x-none"/>
        </w:rPr>
        <w:t xml:space="preserve">, the 2014 EITI Report provides estimates of the extractive industries’ contribution, in absolute and relative terms, to GDP, government revenues, exports and employment, identifying the location of production. </w:t>
      </w:r>
      <w:r w:rsidR="00F469F2" w:rsidRPr="002815F4">
        <w:rPr>
          <w:rFonts w:ascii="Calibri" w:hAnsi="Calibri"/>
          <w:color w:val="000000" w:themeColor="text1"/>
          <w:lang w:eastAsia="x-none"/>
        </w:rPr>
        <w:t xml:space="preserve">While there are concerns over the comprehensiveness of extractives employment data, the 2014 EITI Report is transparent about limitations and provides material companies’ reporting of their staffing levels. </w:t>
      </w:r>
    </w:p>
    <w:p w14:paraId="3327F797" w14:textId="6D29A72A" w:rsidR="009862C2" w:rsidRPr="002815F4" w:rsidRDefault="00A359E8" w:rsidP="007474FE">
      <w:pPr>
        <w:spacing w:before="120"/>
        <w:rPr>
          <w:rFonts w:ascii="Calibri" w:hAnsi="Calibri"/>
          <w:i/>
          <w:color w:val="000000"/>
        </w:rPr>
      </w:pPr>
      <w:r w:rsidRPr="002815F4">
        <w:rPr>
          <w:rFonts w:ascii="Calibri" w:hAnsi="Calibri"/>
          <w:color w:val="000000" w:themeColor="text1"/>
          <w:lang w:eastAsia="x-none"/>
        </w:rPr>
        <w:t xml:space="preserve">To strengthen implementation, the MSG </w:t>
      </w:r>
      <w:r w:rsidR="00F469F2" w:rsidRPr="002815F4">
        <w:rPr>
          <w:rFonts w:ascii="Calibri" w:hAnsi="Calibri"/>
          <w:color w:val="000000" w:themeColor="text1"/>
          <w:lang w:eastAsia="x-none"/>
        </w:rPr>
        <w:t xml:space="preserve">is encouraged to </w:t>
      </w:r>
      <w:r w:rsidR="00B453F3" w:rsidRPr="002815F4">
        <w:rPr>
          <w:rFonts w:ascii="Calibri" w:hAnsi="Calibri"/>
          <w:color w:val="000000" w:themeColor="text1"/>
          <w:lang w:eastAsia="x-none"/>
        </w:rPr>
        <w:t xml:space="preserve">provide </w:t>
      </w:r>
      <w:r w:rsidR="00F469F2" w:rsidRPr="002815F4">
        <w:rPr>
          <w:rFonts w:ascii="Calibri" w:hAnsi="Calibri"/>
          <w:color w:val="000000" w:themeColor="text1"/>
          <w:lang w:eastAsia="x-none"/>
        </w:rPr>
        <w:t xml:space="preserve">additional analysis on official extractives </w:t>
      </w:r>
      <w:r w:rsidR="00B453F3" w:rsidRPr="002815F4">
        <w:rPr>
          <w:rFonts w:ascii="Calibri" w:hAnsi="Calibri"/>
          <w:color w:val="000000" w:themeColor="text1"/>
          <w:lang w:eastAsia="x-none"/>
        </w:rPr>
        <w:t xml:space="preserve">employment </w:t>
      </w:r>
      <w:r w:rsidR="00F469F2" w:rsidRPr="002815F4">
        <w:rPr>
          <w:rFonts w:ascii="Calibri" w:hAnsi="Calibri"/>
          <w:color w:val="000000" w:themeColor="text1"/>
          <w:lang w:eastAsia="x-none"/>
        </w:rPr>
        <w:t>data</w:t>
      </w:r>
      <w:r w:rsidR="00B453F3" w:rsidRPr="002815F4">
        <w:rPr>
          <w:rFonts w:ascii="Calibri" w:hAnsi="Calibri"/>
          <w:color w:val="000000" w:themeColor="text1"/>
          <w:lang w:eastAsia="x-none"/>
        </w:rPr>
        <w:t xml:space="preserve">, </w:t>
      </w:r>
      <w:r w:rsidR="00F469F2" w:rsidRPr="002815F4">
        <w:rPr>
          <w:rFonts w:ascii="Calibri" w:hAnsi="Calibri"/>
          <w:color w:val="000000" w:themeColor="text1"/>
          <w:lang w:eastAsia="x-none"/>
        </w:rPr>
        <w:t>using EITI reporting to refine official statistics</w:t>
      </w:r>
      <w:r w:rsidR="00B453F3" w:rsidRPr="002815F4">
        <w:rPr>
          <w:rFonts w:ascii="Calibri" w:hAnsi="Calibri"/>
          <w:color w:val="000000" w:themeColor="text1"/>
          <w:lang w:eastAsia="x-none"/>
        </w:rPr>
        <w:t>.</w:t>
      </w:r>
    </w:p>
    <w:p w14:paraId="69B73CC7" w14:textId="55EEADBE" w:rsidR="000722F1" w:rsidRPr="002815F4" w:rsidRDefault="009862C2" w:rsidP="00F97CA1">
      <w:pPr>
        <w:pStyle w:val="Caption"/>
        <w:rPr>
          <w:color w:val="000000"/>
        </w:rPr>
      </w:pPr>
      <w:bookmarkStart w:id="408" w:name="_Toc463537779"/>
      <w:bookmarkStart w:id="409" w:name="_Toc485385507"/>
      <w:r w:rsidRPr="002815F4">
        <w:t xml:space="preserve">Table </w:t>
      </w:r>
      <w:r w:rsidR="0002611B">
        <w:fldChar w:fldCharType="begin"/>
      </w:r>
      <w:r w:rsidR="0002611B">
        <w:instrText xml:space="preserve"> SEQ Table \* ARABIC </w:instrText>
      </w:r>
      <w:r w:rsidR="0002611B">
        <w:fldChar w:fldCharType="separate"/>
      </w:r>
      <w:r w:rsidR="0083320D" w:rsidRPr="002815F4">
        <w:rPr>
          <w:noProof/>
        </w:rPr>
        <w:t>6</w:t>
      </w:r>
      <w:r w:rsidR="0002611B">
        <w:rPr>
          <w:noProof/>
        </w:rPr>
        <w:fldChar w:fldCharType="end"/>
      </w:r>
      <w:r w:rsidR="000722F1" w:rsidRPr="002815F4">
        <w:rPr>
          <w:color w:val="000000"/>
        </w:rPr>
        <w:t xml:space="preserve">- </w:t>
      </w:r>
      <w:r w:rsidR="000722F1" w:rsidRPr="002815F4">
        <w:rPr>
          <w:rFonts w:eastAsia="Calibri"/>
        </w:rPr>
        <w:t xml:space="preserve">Summary </w:t>
      </w:r>
      <w:r w:rsidR="00D45A31" w:rsidRPr="002815F4">
        <w:rPr>
          <w:rFonts w:eastAsia="Calibri"/>
        </w:rPr>
        <w:t xml:space="preserve">initial </w:t>
      </w:r>
      <w:r w:rsidR="000722F1" w:rsidRPr="002815F4">
        <w:rPr>
          <w:rFonts w:eastAsia="Calibri"/>
        </w:rPr>
        <w:t xml:space="preserve">assessment table: </w:t>
      </w:r>
      <w:r w:rsidR="00AE51FA" w:rsidRPr="002815F4">
        <w:rPr>
          <w:rFonts w:eastAsia="Calibri"/>
        </w:rPr>
        <w:t>Social and economic spending</w:t>
      </w:r>
      <w:bookmarkEnd w:id="408"/>
      <w:bookmarkEnd w:id="4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4254"/>
        <w:gridCol w:w="2513"/>
      </w:tblGrid>
      <w:tr w:rsidR="00C30EDD" w:rsidRPr="002815F4" w14:paraId="60B02F14" w14:textId="77777777" w:rsidTr="00C30EDD">
        <w:trPr>
          <w:trHeight w:val="675"/>
        </w:trPr>
        <w:tc>
          <w:tcPr>
            <w:tcW w:w="2788" w:type="dxa"/>
            <w:shd w:val="clear" w:color="auto" w:fill="D9D9D9"/>
            <w:vAlign w:val="center"/>
          </w:tcPr>
          <w:p w14:paraId="5A81AB86" w14:textId="77777777" w:rsidR="00FC3899" w:rsidRPr="002815F4" w:rsidRDefault="00FC3899" w:rsidP="00E217A9">
            <w:pPr>
              <w:pStyle w:val="Tabletext"/>
              <w:rPr>
                <w:lang w:val="en-GB"/>
              </w:rPr>
            </w:pPr>
            <w:r w:rsidRPr="002815F4">
              <w:rPr>
                <w:lang w:val="en-GB"/>
              </w:rPr>
              <w:t>EITI provisions</w:t>
            </w:r>
          </w:p>
        </w:tc>
        <w:tc>
          <w:tcPr>
            <w:tcW w:w="4303" w:type="dxa"/>
            <w:shd w:val="clear" w:color="auto" w:fill="D9D9D9"/>
            <w:vAlign w:val="center"/>
          </w:tcPr>
          <w:p w14:paraId="3B9E0DAB" w14:textId="77777777" w:rsidR="00FC3899" w:rsidRPr="002815F4" w:rsidRDefault="00FC3899" w:rsidP="00E217A9">
            <w:pPr>
              <w:pStyle w:val="Tabletext"/>
              <w:rPr>
                <w:lang w:val="en-GB"/>
              </w:rPr>
            </w:pPr>
            <w:r w:rsidRPr="002815F4">
              <w:rPr>
                <w:lang w:val="en-GB"/>
              </w:rPr>
              <w:t>Summary of main findings</w:t>
            </w:r>
          </w:p>
        </w:tc>
        <w:tc>
          <w:tcPr>
            <w:tcW w:w="2286" w:type="dxa"/>
            <w:shd w:val="clear" w:color="auto" w:fill="D9D9D9"/>
            <w:vAlign w:val="center"/>
          </w:tcPr>
          <w:p w14:paraId="397F38BB" w14:textId="0FBCAABE" w:rsidR="00FC3899" w:rsidRPr="002815F4" w:rsidRDefault="00FC3899" w:rsidP="00E217A9">
            <w:pPr>
              <w:pStyle w:val="Tabletext"/>
              <w:rPr>
                <w:lang w:val="en-GB"/>
              </w:rPr>
            </w:pPr>
            <w:r w:rsidRPr="002815F4">
              <w:rPr>
                <w:lang w:val="en-GB"/>
              </w:rPr>
              <w:t xml:space="preserve">International Secretariat’s initial assessment of progress with the EITI provisions </w:t>
            </w:r>
          </w:p>
        </w:tc>
      </w:tr>
      <w:tr w:rsidR="00C30EDD" w:rsidRPr="002815F4" w14:paraId="6180EA8B" w14:textId="77777777" w:rsidTr="00C30EDD">
        <w:tc>
          <w:tcPr>
            <w:tcW w:w="2788" w:type="dxa"/>
            <w:shd w:val="clear" w:color="auto" w:fill="auto"/>
          </w:tcPr>
          <w:p w14:paraId="620B079A" w14:textId="77777777" w:rsidR="002051F4" w:rsidRPr="002815F4" w:rsidRDefault="002051F4" w:rsidP="00E217A9">
            <w:pPr>
              <w:pStyle w:val="Tabletext"/>
              <w:rPr>
                <w:lang w:val="en-GB"/>
              </w:rPr>
            </w:pPr>
            <w:r w:rsidRPr="002815F4">
              <w:rPr>
                <w:lang w:val="en-GB"/>
              </w:rPr>
              <w:t>Social expenditures (#6.1)</w:t>
            </w:r>
          </w:p>
        </w:tc>
        <w:tc>
          <w:tcPr>
            <w:tcW w:w="4303" w:type="dxa"/>
            <w:shd w:val="clear" w:color="auto" w:fill="auto"/>
          </w:tcPr>
          <w:p w14:paraId="5C2F8A04" w14:textId="52FA5119" w:rsidR="002051F4" w:rsidRPr="002815F4" w:rsidRDefault="00C30EDD" w:rsidP="00E217A9">
            <w:pPr>
              <w:pStyle w:val="Tabletext"/>
              <w:rPr>
                <w:lang w:val="en-GB"/>
              </w:rPr>
            </w:pPr>
            <w:r w:rsidRPr="002815F4">
              <w:rPr>
                <w:lang w:val="en-GB"/>
              </w:rPr>
              <w:t>The 2014 EITI Report describes mandatory social expenditures in both mining and oil and gas and discloses these comprehensively, clearly identifying non-government beneficiaries where applicable and describing in-kind expenditures and their deemed value. In the Secretariat’s view, Senegal has gone beyond the minimum requirements by providing additional information on discretionary social expenditures as encouraged by the EITI Standard.</w:t>
            </w:r>
          </w:p>
        </w:tc>
        <w:tc>
          <w:tcPr>
            <w:tcW w:w="2286" w:type="dxa"/>
          </w:tcPr>
          <w:p w14:paraId="26CEAAF3" w14:textId="3CD02487" w:rsidR="002051F4" w:rsidRPr="002815F4" w:rsidRDefault="00624846" w:rsidP="00E217A9">
            <w:pPr>
              <w:pStyle w:val="Tabletext"/>
              <w:rPr>
                <w:lang w:val="en-GB"/>
              </w:rPr>
            </w:pPr>
            <w:r>
              <w:rPr>
                <w:lang w:val="en-GB"/>
              </w:rPr>
              <w:t>Satisfactory progress (</w:t>
            </w:r>
            <w:r w:rsidR="00862CE9" w:rsidRPr="002815F4">
              <w:rPr>
                <w:lang w:val="en-GB"/>
              </w:rPr>
              <w:t>Beyond</w:t>
            </w:r>
            <w:r>
              <w:rPr>
                <w:lang w:val="en-GB"/>
              </w:rPr>
              <w:t>)</w:t>
            </w:r>
          </w:p>
        </w:tc>
      </w:tr>
      <w:tr w:rsidR="00C30EDD" w:rsidRPr="002815F4" w14:paraId="3FAAC766" w14:textId="77777777" w:rsidTr="00C30EDD">
        <w:tc>
          <w:tcPr>
            <w:tcW w:w="2788" w:type="dxa"/>
            <w:shd w:val="clear" w:color="auto" w:fill="auto"/>
          </w:tcPr>
          <w:p w14:paraId="29B2AE2A" w14:textId="77777777" w:rsidR="002051F4" w:rsidRPr="002815F4" w:rsidRDefault="002051F4" w:rsidP="00E217A9">
            <w:pPr>
              <w:pStyle w:val="Tabletext"/>
              <w:rPr>
                <w:lang w:val="en-GB"/>
              </w:rPr>
            </w:pPr>
            <w:r w:rsidRPr="002815F4">
              <w:rPr>
                <w:lang w:val="en-GB"/>
              </w:rPr>
              <w:lastRenderedPageBreak/>
              <w:t>SOE quasi fiscal expenditures (#6.2)</w:t>
            </w:r>
          </w:p>
        </w:tc>
        <w:tc>
          <w:tcPr>
            <w:tcW w:w="4303" w:type="dxa"/>
            <w:shd w:val="clear" w:color="auto" w:fill="auto"/>
          </w:tcPr>
          <w:p w14:paraId="46D048AA" w14:textId="53EF01D4" w:rsidR="002051F4" w:rsidRPr="002815F4" w:rsidRDefault="00C30EDD" w:rsidP="00E217A9">
            <w:pPr>
              <w:pStyle w:val="Tabletext"/>
              <w:rPr>
                <w:lang w:val="en-GB"/>
              </w:rPr>
            </w:pPr>
            <w:r w:rsidRPr="002815F4">
              <w:rPr>
                <w:lang w:val="en-GB"/>
              </w:rPr>
              <w:t>The 2014 EITI Report could have been clearer in describing the MSG’s approach to demonstrating the lack of quasi-fiscal expenditures by either M</w:t>
            </w:r>
            <w:r w:rsidR="004670FF" w:rsidRPr="002815F4">
              <w:rPr>
                <w:lang w:val="en-GB"/>
              </w:rPr>
              <w:t>i</w:t>
            </w:r>
            <w:r w:rsidRPr="002815F4">
              <w:rPr>
                <w:lang w:val="en-GB"/>
              </w:rPr>
              <w:t>ferso or Petrosen.</w:t>
            </w:r>
          </w:p>
        </w:tc>
        <w:tc>
          <w:tcPr>
            <w:tcW w:w="2286" w:type="dxa"/>
          </w:tcPr>
          <w:p w14:paraId="3F807F92" w14:textId="34A02827" w:rsidR="002051F4" w:rsidRPr="002815F4" w:rsidRDefault="000F5E51" w:rsidP="00E217A9">
            <w:pPr>
              <w:pStyle w:val="Tabletext"/>
              <w:rPr>
                <w:lang w:val="en-GB"/>
              </w:rPr>
            </w:pPr>
            <w:r w:rsidRPr="002815F4">
              <w:rPr>
                <w:lang w:val="en-GB"/>
              </w:rPr>
              <w:t>Not applicable</w:t>
            </w:r>
          </w:p>
        </w:tc>
      </w:tr>
      <w:tr w:rsidR="00C30EDD" w:rsidRPr="002815F4" w14:paraId="6194325F" w14:textId="77777777" w:rsidTr="00C30EDD">
        <w:tc>
          <w:tcPr>
            <w:tcW w:w="2788" w:type="dxa"/>
            <w:shd w:val="clear" w:color="auto" w:fill="auto"/>
          </w:tcPr>
          <w:p w14:paraId="15B07936" w14:textId="77777777" w:rsidR="002051F4" w:rsidRPr="002815F4" w:rsidRDefault="002051F4" w:rsidP="00E217A9">
            <w:pPr>
              <w:pStyle w:val="Tabletext"/>
              <w:rPr>
                <w:lang w:val="en-GB"/>
              </w:rPr>
            </w:pPr>
            <w:r w:rsidRPr="002815F4">
              <w:rPr>
                <w:lang w:val="en-GB"/>
              </w:rPr>
              <w:t>Contribution of the extractive sector to the economy (#6.3)</w:t>
            </w:r>
          </w:p>
        </w:tc>
        <w:tc>
          <w:tcPr>
            <w:tcW w:w="4303" w:type="dxa"/>
            <w:shd w:val="clear" w:color="auto" w:fill="auto"/>
          </w:tcPr>
          <w:p w14:paraId="20E05C2B" w14:textId="71E8142A" w:rsidR="002051F4" w:rsidRPr="002815F4" w:rsidRDefault="00C30EDD" w:rsidP="00E217A9">
            <w:pPr>
              <w:pStyle w:val="Tabletext"/>
              <w:rPr>
                <w:lang w:val="en-GB"/>
              </w:rPr>
            </w:pPr>
            <w:r w:rsidRPr="002815F4">
              <w:rPr>
                <w:lang w:val="en-GB"/>
              </w:rPr>
              <w:t>Despite constraints in the granularity of official macro-economic and employment statistics, the 2014 EITI Report provides estimates of the extractive industries’ contribution, in absolute and relative terms, to GDP, government revenues, exports and employment, identifying the location of production. While there are concerns over the comprehensiveness of extractives employment data, the 2014 EITI Report is transparent about limitations and provides material companies’ reporting of their staffing levels.</w:t>
            </w:r>
          </w:p>
        </w:tc>
        <w:tc>
          <w:tcPr>
            <w:tcW w:w="2286" w:type="dxa"/>
            <w:shd w:val="clear" w:color="auto" w:fill="FFFFFF"/>
          </w:tcPr>
          <w:p w14:paraId="5A3C97B0" w14:textId="31B5EDE7" w:rsidR="002051F4" w:rsidRPr="002815F4" w:rsidRDefault="00F469F2" w:rsidP="00E217A9">
            <w:pPr>
              <w:pStyle w:val="Tabletext"/>
              <w:rPr>
                <w:lang w:val="en-GB"/>
              </w:rPr>
            </w:pPr>
            <w:r w:rsidRPr="002815F4">
              <w:rPr>
                <w:lang w:val="en-GB"/>
              </w:rPr>
              <w:t>Satisfactory</w:t>
            </w:r>
            <w:r w:rsidR="00152CE4">
              <w:rPr>
                <w:lang w:val="en-GB"/>
              </w:rPr>
              <w:t xml:space="preserve"> progress</w:t>
            </w:r>
          </w:p>
        </w:tc>
      </w:tr>
      <w:tr w:rsidR="002051F4" w:rsidRPr="002815F4" w14:paraId="4EC0916E" w14:textId="77777777" w:rsidTr="00874197">
        <w:tc>
          <w:tcPr>
            <w:tcW w:w="0" w:type="auto"/>
            <w:gridSpan w:val="3"/>
            <w:shd w:val="clear" w:color="auto" w:fill="FFFFFF"/>
          </w:tcPr>
          <w:p w14:paraId="0D5D54E2" w14:textId="70925A0E" w:rsidR="002051F4" w:rsidRPr="00E2507C" w:rsidRDefault="004158A2" w:rsidP="00E217A9">
            <w:pPr>
              <w:pStyle w:val="Tabletext"/>
              <w:rPr>
                <w:b/>
                <w:lang w:val="en-GB"/>
              </w:rPr>
            </w:pPr>
            <w:r w:rsidRPr="00E2507C">
              <w:rPr>
                <w:b/>
                <w:lang w:val="en-GB"/>
              </w:rPr>
              <w:t>Secretariat’s</w:t>
            </w:r>
            <w:r w:rsidR="002051F4" w:rsidRPr="00E2507C">
              <w:rPr>
                <w:b/>
                <w:lang w:val="en-GB"/>
              </w:rPr>
              <w:t xml:space="preserve"> recommendations:</w:t>
            </w:r>
          </w:p>
          <w:p w14:paraId="508E2AEE" w14:textId="0A94B86B" w:rsidR="002051F4" w:rsidRPr="002815F4" w:rsidRDefault="00C30EDD" w:rsidP="00FF1374">
            <w:pPr>
              <w:pStyle w:val="ListParagraph"/>
              <w:numPr>
                <w:ilvl w:val="0"/>
                <w:numId w:val="56"/>
              </w:numPr>
              <w:rPr>
                <w:rFonts w:eastAsia="Calibri"/>
              </w:rPr>
            </w:pPr>
            <w:r w:rsidRPr="002815F4">
              <w:t xml:space="preserve">To further strengthen implementation, the MSG may wish to provide additional analysis of companies’ contractual social expenditure obligations in future EITI Reports, with a view to explaining and contextualising companies’ reporting of their social expenditures in the year(s) under review. </w:t>
            </w:r>
          </w:p>
          <w:p w14:paraId="7911DB94" w14:textId="42BE8664" w:rsidR="002051F4" w:rsidRPr="002815F4" w:rsidRDefault="00C30EDD">
            <w:pPr>
              <w:pStyle w:val="ListParagraph"/>
              <w:numPr>
                <w:ilvl w:val="0"/>
                <w:numId w:val="56"/>
              </w:numPr>
              <w:rPr>
                <w:rFonts w:eastAsia="Calibri"/>
              </w:rPr>
            </w:pPr>
            <w:r w:rsidRPr="002815F4">
              <w:t>To strengthen implementation, the MSG may wish to publish the audited financial statements of Miferso and Petrosen, potentially through the EITI Senegal website pending operationalisation of the SOEs’ websites.</w:t>
            </w:r>
            <w:r w:rsidRPr="002815F4" w:rsidDel="00C30EDD">
              <w:t xml:space="preserve"> </w:t>
            </w:r>
          </w:p>
          <w:p w14:paraId="3D21A4EB" w14:textId="1AC42F5E" w:rsidR="002051F4" w:rsidRPr="002815F4" w:rsidRDefault="00C30EDD">
            <w:pPr>
              <w:pStyle w:val="ListParagraph"/>
              <w:numPr>
                <w:ilvl w:val="0"/>
                <w:numId w:val="56"/>
              </w:numPr>
              <w:rPr>
                <w:rFonts w:eastAsia="Calibri"/>
              </w:rPr>
            </w:pPr>
            <w:r w:rsidRPr="002815F4">
              <w:t>To strengthen implementation, the MSG is encouraged to provide additional analysis on official extractives employment data, using EITI reporting to refine official statistics.</w:t>
            </w:r>
            <w:r w:rsidRPr="002815F4" w:rsidDel="00C30EDD">
              <w:t xml:space="preserve"> </w:t>
            </w:r>
          </w:p>
        </w:tc>
      </w:tr>
    </w:tbl>
    <w:p w14:paraId="0E43E7ED" w14:textId="7FA4A532" w:rsidR="00D44C4F" w:rsidRPr="002815F4" w:rsidRDefault="00D44C4F">
      <w:pPr>
        <w:widowControl/>
        <w:suppressAutoHyphens w:val="0"/>
        <w:spacing w:after="0" w:line="240" w:lineRule="auto"/>
        <w:rPr>
          <w:rFonts w:ascii="Calibri" w:hAnsi="Calibri"/>
          <w:b/>
          <w:bCs/>
          <w:color w:val="365F91"/>
        </w:rPr>
      </w:pPr>
    </w:p>
    <w:p w14:paraId="58DCD579" w14:textId="777C548F" w:rsidR="00601017" w:rsidRPr="002815F4" w:rsidRDefault="009862C2" w:rsidP="00764C60">
      <w:pPr>
        <w:pStyle w:val="Heading1"/>
      </w:pPr>
      <w:bookmarkStart w:id="410" w:name="_Toc461803151"/>
      <w:bookmarkStart w:id="411" w:name="_Toc461787362"/>
      <w:bookmarkStart w:id="412" w:name="_Toc461795874"/>
      <w:bookmarkStart w:id="413" w:name="_Toc462149206"/>
      <w:bookmarkStart w:id="414" w:name="_Toc458773260"/>
      <w:bookmarkStart w:id="415" w:name="_Toc458780357"/>
      <w:bookmarkStart w:id="416" w:name="_Toc458972777"/>
      <w:bookmarkStart w:id="417" w:name="_Toc452707650"/>
      <w:bookmarkStart w:id="418" w:name="_Toc459133201"/>
      <w:r w:rsidRPr="002815F4">
        <w:br w:type="column"/>
      </w:r>
      <w:r w:rsidR="00601017" w:rsidRPr="002815F4">
        <w:lastRenderedPageBreak/>
        <w:t>Part III – Outcomes and Impact</w:t>
      </w:r>
      <w:bookmarkEnd w:id="410"/>
      <w:bookmarkEnd w:id="411"/>
      <w:bookmarkEnd w:id="412"/>
      <w:bookmarkEnd w:id="413"/>
    </w:p>
    <w:p w14:paraId="2AF67021" w14:textId="24C21181" w:rsidR="00601017" w:rsidRPr="002815F4" w:rsidRDefault="000C662A" w:rsidP="009B3E66">
      <w:pPr>
        <w:pStyle w:val="Heading2"/>
      </w:pPr>
      <w:bookmarkStart w:id="419" w:name="_Toc461803152"/>
      <w:bookmarkStart w:id="420" w:name="_Toc461787363"/>
      <w:bookmarkStart w:id="421" w:name="_Toc461795875"/>
      <w:bookmarkStart w:id="422" w:name="_Toc462149207"/>
      <w:r w:rsidRPr="002815F4">
        <w:t xml:space="preserve">7. </w:t>
      </w:r>
      <w:r w:rsidR="00601017" w:rsidRPr="002815F4">
        <w:t>Outcomes and Impact</w:t>
      </w:r>
      <w:bookmarkEnd w:id="419"/>
      <w:bookmarkEnd w:id="420"/>
      <w:bookmarkEnd w:id="421"/>
      <w:bookmarkEnd w:id="422"/>
    </w:p>
    <w:p w14:paraId="1DB197D4" w14:textId="45C74C11" w:rsidR="00D65D74" w:rsidRPr="002815F4" w:rsidRDefault="00D65D74" w:rsidP="009B3E66">
      <w:pPr>
        <w:pStyle w:val="Heading2notindexed"/>
      </w:pPr>
      <w:r w:rsidRPr="002815F4">
        <w:t>7.1 Overview</w:t>
      </w:r>
    </w:p>
    <w:bookmarkEnd w:id="414"/>
    <w:bookmarkEnd w:id="415"/>
    <w:bookmarkEnd w:id="416"/>
    <w:p w14:paraId="4B386E6A" w14:textId="740AF0B4" w:rsidR="00601017" w:rsidRPr="002815F4" w:rsidRDefault="00601017" w:rsidP="00601017">
      <w:pPr>
        <w:spacing w:before="120"/>
        <w:rPr>
          <w:rFonts w:ascii="Calibri" w:hAnsi="Calibri"/>
        </w:rPr>
      </w:pPr>
      <w:r w:rsidRPr="002815F4">
        <w:rPr>
          <w:rFonts w:ascii="Calibri" w:hAnsi="Calibri"/>
        </w:rPr>
        <w:t>This section assesses implementation of the EITI Requirements related to the outcomes and impact of the EITI process.</w:t>
      </w:r>
    </w:p>
    <w:p w14:paraId="167760FA" w14:textId="7229A1BF" w:rsidR="008D3D27" w:rsidRPr="002815F4" w:rsidRDefault="00D65D74" w:rsidP="009B3E66">
      <w:pPr>
        <w:pStyle w:val="Heading2notindexed"/>
      </w:pPr>
      <w:r w:rsidRPr="002815F4">
        <w:t>7.2</w:t>
      </w:r>
      <w:r w:rsidR="008D3D27" w:rsidRPr="002815F4">
        <w:t xml:space="preserve"> </w:t>
      </w:r>
      <w:r w:rsidRPr="002815F4">
        <w:t>Assessment</w:t>
      </w:r>
    </w:p>
    <w:p w14:paraId="4EF0BCD6" w14:textId="428EBA40" w:rsidR="00601017" w:rsidRPr="002815F4" w:rsidRDefault="00601017" w:rsidP="009B3E66">
      <w:pPr>
        <w:pStyle w:val="Heading2"/>
      </w:pPr>
      <w:bookmarkStart w:id="423" w:name="_Toc458773262"/>
      <w:bookmarkStart w:id="424" w:name="_Toc458780359"/>
      <w:bookmarkStart w:id="425" w:name="_Toc461803153"/>
      <w:bookmarkStart w:id="426" w:name="_Toc461787364"/>
      <w:bookmarkStart w:id="427" w:name="_Toc461795876"/>
      <w:bookmarkStart w:id="428" w:name="_Toc462149208"/>
      <w:r w:rsidRPr="002815F4">
        <w:t>Public debate (#7.1)</w:t>
      </w:r>
      <w:bookmarkEnd w:id="423"/>
      <w:bookmarkEnd w:id="424"/>
      <w:bookmarkEnd w:id="425"/>
      <w:bookmarkEnd w:id="426"/>
      <w:bookmarkEnd w:id="427"/>
      <w:bookmarkEnd w:id="428"/>
    </w:p>
    <w:bookmarkEnd w:id="417"/>
    <w:bookmarkEnd w:id="418"/>
    <w:p w14:paraId="3440518D" w14:textId="045790EE" w:rsidR="00C06C51" w:rsidRPr="002815F4" w:rsidRDefault="00D41A8E" w:rsidP="009B3E66">
      <w:pPr>
        <w:pStyle w:val="Heading3"/>
      </w:pPr>
      <w:r w:rsidRPr="002815F4">
        <w:t>Documentation of progress</w:t>
      </w:r>
    </w:p>
    <w:p w14:paraId="1CEBA258" w14:textId="1E734FA1" w:rsidR="00DF708D" w:rsidRPr="002815F4" w:rsidRDefault="00DF708D" w:rsidP="00DF708D">
      <w:pPr>
        <w:spacing w:before="120"/>
        <w:rPr>
          <w:rFonts w:ascii="Calibri" w:hAnsi="Calibri"/>
        </w:rPr>
      </w:pPr>
      <w:r w:rsidRPr="002815F4">
        <w:rPr>
          <w:rFonts w:ascii="Calibri" w:hAnsi="Calibri"/>
          <w:i/>
          <w:u w:val="single"/>
        </w:rPr>
        <w:t>Comprehensibility:</w:t>
      </w:r>
      <w:r w:rsidRPr="002815F4">
        <w:rPr>
          <w:rFonts w:ascii="Calibri" w:hAnsi="Calibri"/>
        </w:rPr>
        <w:t xml:space="preserve"> </w:t>
      </w:r>
      <w:r w:rsidR="00941FF7" w:rsidRPr="002815F4">
        <w:rPr>
          <w:rFonts w:ascii="Calibri" w:hAnsi="Calibri"/>
        </w:rPr>
        <w:t xml:space="preserve">The National Secretariat has led EITI Senegal’s efforts to communicate and promote EITI information, although it has strongly implicated all </w:t>
      </w:r>
      <w:r w:rsidR="004B6A2B" w:rsidRPr="002815F4">
        <w:rPr>
          <w:rFonts w:ascii="Calibri" w:hAnsi="Calibri"/>
        </w:rPr>
        <w:t xml:space="preserve">constituencies on </w:t>
      </w:r>
      <w:r w:rsidR="00941FF7" w:rsidRPr="002815F4">
        <w:rPr>
          <w:rFonts w:ascii="Calibri" w:hAnsi="Calibri"/>
        </w:rPr>
        <w:t xml:space="preserve">the MSG. </w:t>
      </w:r>
      <w:r w:rsidR="000C54BB" w:rsidRPr="002815F4">
        <w:rPr>
          <w:rFonts w:ascii="Calibri" w:hAnsi="Calibri"/>
        </w:rPr>
        <w:t xml:space="preserve">EITI Senegal has </w:t>
      </w:r>
      <w:r w:rsidR="00494189" w:rsidRPr="002815F4">
        <w:rPr>
          <w:rFonts w:ascii="Calibri" w:hAnsi="Calibri"/>
        </w:rPr>
        <w:t xml:space="preserve">published the 2013 and 2014 EITI Reports, summary data tables and simplified versions </w:t>
      </w:r>
      <w:r w:rsidR="000C54BB" w:rsidRPr="002815F4">
        <w:rPr>
          <w:rFonts w:ascii="Calibri" w:hAnsi="Calibri"/>
        </w:rPr>
        <w:t xml:space="preserve">of the reports </w:t>
      </w:r>
      <w:r w:rsidR="00494189" w:rsidRPr="002815F4">
        <w:rPr>
          <w:rFonts w:ascii="Calibri" w:hAnsi="Calibri"/>
        </w:rPr>
        <w:t>on its website</w:t>
      </w:r>
      <w:r w:rsidR="000C54BB" w:rsidRPr="002815F4">
        <w:rPr>
          <w:rFonts w:ascii="Calibri" w:hAnsi="Calibri"/>
        </w:rPr>
        <w:t>, alongside extensive data visualisations</w:t>
      </w:r>
      <w:r w:rsidR="00494189" w:rsidRPr="002815F4">
        <w:rPr>
          <w:rFonts w:ascii="Calibri" w:hAnsi="Calibri"/>
        </w:rPr>
        <w:t xml:space="preserve">. </w:t>
      </w:r>
      <w:r w:rsidR="00DA225B" w:rsidRPr="002815F4">
        <w:rPr>
          <w:rFonts w:ascii="Calibri" w:hAnsi="Calibri"/>
        </w:rPr>
        <w:t>The MSG first agreed a communications plan for EITI Senegal covering 2015-18</w:t>
      </w:r>
      <w:r w:rsidR="00DA225B" w:rsidRPr="002815F4">
        <w:rPr>
          <w:rStyle w:val="FootnoteReference"/>
          <w:rFonts w:ascii="Calibri" w:hAnsi="Calibri"/>
        </w:rPr>
        <w:footnoteReference w:id="86"/>
      </w:r>
      <w:r w:rsidR="00DA225B" w:rsidRPr="002815F4">
        <w:rPr>
          <w:rFonts w:ascii="Calibri" w:hAnsi="Calibri"/>
        </w:rPr>
        <w:t xml:space="preserve"> in January 2015, supported by a 55-page report mapping out stakeholders, analysing the current communications structure and outlining an operational plan of action </w:t>
      </w:r>
      <w:sdt>
        <w:sdtPr>
          <w:rPr>
            <w:rFonts w:ascii="Calibri" w:hAnsi="Calibri"/>
          </w:rPr>
          <w:id w:val="636922279"/>
          <w:citation/>
        </w:sdtPr>
        <w:sdtEndPr/>
        <w:sdtContent>
          <w:r w:rsidR="00DA225B" w:rsidRPr="002815F4">
            <w:rPr>
              <w:rFonts w:ascii="Calibri" w:hAnsi="Calibri"/>
            </w:rPr>
            <w:fldChar w:fldCharType="begin"/>
          </w:r>
          <w:r w:rsidR="00DA225B" w:rsidRPr="002815F4">
            <w:rPr>
              <w:rFonts w:ascii="Calibri" w:hAnsi="Calibri"/>
            </w:rPr>
            <w:instrText xml:space="preserve"> CITATION ITI1538 \l 1033 </w:instrText>
          </w:r>
          <w:r w:rsidR="00DA225B" w:rsidRPr="002815F4">
            <w:rPr>
              <w:rFonts w:ascii="Calibri" w:hAnsi="Calibri"/>
            </w:rPr>
            <w:fldChar w:fldCharType="separate"/>
          </w:r>
          <w:r w:rsidR="003E626E" w:rsidRPr="002815F4">
            <w:rPr>
              <w:rFonts w:ascii="Calibri" w:hAnsi="Calibri"/>
              <w:noProof/>
            </w:rPr>
            <w:t>(ITIE Senegal, 2015)</w:t>
          </w:r>
          <w:r w:rsidR="00DA225B" w:rsidRPr="002815F4">
            <w:rPr>
              <w:rFonts w:ascii="Calibri" w:hAnsi="Calibri"/>
            </w:rPr>
            <w:fldChar w:fldCharType="end"/>
          </w:r>
        </w:sdtContent>
      </w:sdt>
      <w:r w:rsidR="00DA225B" w:rsidRPr="002815F4">
        <w:rPr>
          <w:rFonts w:ascii="Calibri" w:hAnsi="Calibri"/>
        </w:rPr>
        <w:t xml:space="preserve"> </w:t>
      </w:r>
      <w:sdt>
        <w:sdtPr>
          <w:rPr>
            <w:rFonts w:ascii="Calibri" w:hAnsi="Calibri"/>
          </w:rPr>
          <w:id w:val="-1112581462"/>
          <w:citation/>
        </w:sdtPr>
        <w:sdtEndPr/>
        <w:sdtContent>
          <w:r w:rsidR="00DA225B" w:rsidRPr="002815F4">
            <w:rPr>
              <w:rFonts w:ascii="Calibri" w:hAnsi="Calibri"/>
            </w:rPr>
            <w:fldChar w:fldCharType="begin"/>
          </w:r>
          <w:r w:rsidR="00DA225B" w:rsidRPr="002815F4">
            <w:rPr>
              <w:rFonts w:ascii="Calibri" w:hAnsi="Calibri"/>
            </w:rPr>
            <w:instrText xml:space="preserve"> CITATION LeS15 \l 1033 </w:instrText>
          </w:r>
          <w:r w:rsidR="00DA225B" w:rsidRPr="002815F4">
            <w:rPr>
              <w:rFonts w:ascii="Calibri" w:hAnsi="Calibri"/>
            </w:rPr>
            <w:fldChar w:fldCharType="separate"/>
          </w:r>
          <w:r w:rsidR="003E626E" w:rsidRPr="002815F4">
            <w:rPr>
              <w:rFonts w:ascii="Calibri" w:hAnsi="Calibri"/>
              <w:noProof/>
            </w:rPr>
            <w:t>(Le Soleil, 2015)</w:t>
          </w:r>
          <w:r w:rsidR="00DA225B" w:rsidRPr="002815F4">
            <w:rPr>
              <w:rFonts w:ascii="Calibri" w:hAnsi="Calibri"/>
            </w:rPr>
            <w:fldChar w:fldCharType="end"/>
          </w:r>
        </w:sdtContent>
      </w:sdt>
      <w:sdt>
        <w:sdtPr>
          <w:rPr>
            <w:rFonts w:ascii="Calibri" w:hAnsi="Calibri"/>
          </w:rPr>
          <w:id w:val="-1981138547"/>
          <w:citation/>
        </w:sdtPr>
        <w:sdtEndPr/>
        <w:sdtContent>
          <w:r w:rsidR="00DA225B" w:rsidRPr="002815F4">
            <w:rPr>
              <w:rFonts w:ascii="Calibri" w:hAnsi="Calibri"/>
            </w:rPr>
            <w:fldChar w:fldCharType="begin"/>
          </w:r>
          <w:r w:rsidR="00DA225B" w:rsidRPr="002815F4">
            <w:rPr>
              <w:rFonts w:ascii="Calibri" w:hAnsi="Calibri"/>
            </w:rPr>
            <w:instrText xml:space="preserve"> CITATION Sud15 \l 1033 </w:instrText>
          </w:r>
          <w:r w:rsidR="00DA225B" w:rsidRPr="002815F4">
            <w:rPr>
              <w:rFonts w:ascii="Calibri" w:hAnsi="Calibri"/>
            </w:rPr>
            <w:fldChar w:fldCharType="separate"/>
          </w:r>
          <w:r w:rsidR="003E626E" w:rsidRPr="002815F4">
            <w:rPr>
              <w:rFonts w:ascii="Calibri" w:hAnsi="Calibri"/>
              <w:noProof/>
            </w:rPr>
            <w:t xml:space="preserve"> (Sud Quotidien, 2015)</w:t>
          </w:r>
          <w:r w:rsidR="00DA225B" w:rsidRPr="002815F4">
            <w:rPr>
              <w:rFonts w:ascii="Calibri" w:hAnsi="Calibri"/>
            </w:rPr>
            <w:fldChar w:fldCharType="end"/>
          </w:r>
        </w:sdtContent>
      </w:sdt>
      <w:r w:rsidR="00DA225B" w:rsidRPr="002815F4">
        <w:rPr>
          <w:rFonts w:ascii="Calibri" w:hAnsi="Calibri"/>
        </w:rPr>
        <w:t>.</w:t>
      </w:r>
      <w:r w:rsidR="00995EB5">
        <w:rPr>
          <w:rFonts w:ascii="Calibri" w:hAnsi="Calibri"/>
        </w:rPr>
        <w:t xml:space="preserve"> </w:t>
      </w:r>
      <w:r w:rsidR="00264690" w:rsidRPr="002815F4">
        <w:rPr>
          <w:rFonts w:ascii="Calibri" w:hAnsi="Calibri"/>
        </w:rPr>
        <w:t xml:space="preserve">The MSG has consistently prepared simplified summaries of its two EITI Reports, initially with a two-month lag for the 2013 EITI Report </w:t>
      </w:r>
      <w:sdt>
        <w:sdtPr>
          <w:rPr>
            <w:rFonts w:ascii="Calibri" w:hAnsi="Calibri"/>
          </w:rPr>
          <w:id w:val="-1206412024"/>
          <w:citation/>
        </w:sdtPr>
        <w:sdtEndPr/>
        <w:sdtContent>
          <w:r w:rsidR="00264690" w:rsidRPr="002815F4">
            <w:rPr>
              <w:rFonts w:ascii="Calibri" w:hAnsi="Calibri"/>
            </w:rPr>
            <w:fldChar w:fldCharType="begin"/>
          </w:r>
          <w:r w:rsidR="00264690" w:rsidRPr="002815F4">
            <w:rPr>
              <w:rFonts w:ascii="Calibri" w:hAnsi="Calibri"/>
            </w:rPr>
            <w:instrText xml:space="preserve"> CITATION ITI1511 \l 1033 </w:instrText>
          </w:r>
          <w:r w:rsidR="00264690" w:rsidRPr="002815F4">
            <w:rPr>
              <w:rFonts w:ascii="Calibri" w:hAnsi="Calibri"/>
            </w:rPr>
            <w:fldChar w:fldCharType="separate"/>
          </w:r>
          <w:r w:rsidR="003E626E" w:rsidRPr="002815F4">
            <w:rPr>
              <w:rFonts w:ascii="Calibri" w:hAnsi="Calibri"/>
              <w:noProof/>
            </w:rPr>
            <w:t>(ITIE Senegal, 2015)</w:t>
          </w:r>
          <w:r w:rsidR="00264690" w:rsidRPr="002815F4">
            <w:rPr>
              <w:rFonts w:ascii="Calibri" w:hAnsi="Calibri"/>
            </w:rPr>
            <w:fldChar w:fldCharType="end"/>
          </w:r>
        </w:sdtContent>
      </w:sdt>
      <w:r w:rsidR="00264690" w:rsidRPr="002815F4">
        <w:rPr>
          <w:rFonts w:ascii="Calibri" w:hAnsi="Calibri"/>
        </w:rPr>
        <w:t xml:space="preserve"> and subsequently at the same time </w:t>
      </w:r>
      <w:sdt>
        <w:sdtPr>
          <w:rPr>
            <w:rFonts w:ascii="Calibri" w:hAnsi="Calibri"/>
          </w:rPr>
          <w:id w:val="2051030800"/>
          <w:citation/>
        </w:sdtPr>
        <w:sdtEndPr/>
        <w:sdtContent>
          <w:r w:rsidR="00264690" w:rsidRPr="002815F4">
            <w:rPr>
              <w:rFonts w:ascii="Calibri" w:hAnsi="Calibri"/>
            </w:rPr>
            <w:fldChar w:fldCharType="begin"/>
          </w:r>
          <w:r w:rsidR="00264690" w:rsidRPr="002815F4">
            <w:rPr>
              <w:rFonts w:ascii="Calibri" w:hAnsi="Calibri"/>
            </w:rPr>
            <w:instrText xml:space="preserve"> CITATION ITI1611 \l 1033 </w:instrText>
          </w:r>
          <w:r w:rsidR="00264690" w:rsidRPr="002815F4">
            <w:rPr>
              <w:rFonts w:ascii="Calibri" w:hAnsi="Calibri"/>
            </w:rPr>
            <w:fldChar w:fldCharType="separate"/>
          </w:r>
          <w:r w:rsidR="003E626E" w:rsidRPr="002815F4">
            <w:rPr>
              <w:rFonts w:ascii="Calibri" w:hAnsi="Calibri"/>
              <w:noProof/>
            </w:rPr>
            <w:t>(ITIE Senegal, 2016)</w:t>
          </w:r>
          <w:r w:rsidR="00264690" w:rsidRPr="002815F4">
            <w:rPr>
              <w:rFonts w:ascii="Calibri" w:hAnsi="Calibri"/>
            </w:rPr>
            <w:fldChar w:fldCharType="end"/>
          </w:r>
        </w:sdtContent>
      </w:sdt>
      <w:r w:rsidR="00264690" w:rsidRPr="002815F4">
        <w:rPr>
          <w:rFonts w:ascii="Calibri" w:hAnsi="Calibri"/>
        </w:rPr>
        <w:t xml:space="preserve">. </w:t>
      </w:r>
      <w:r w:rsidR="00FB7B34" w:rsidRPr="002815F4">
        <w:rPr>
          <w:rFonts w:ascii="Calibri" w:hAnsi="Calibri"/>
        </w:rPr>
        <w:t>The PWYP Senegal coalition translated the summary 2014 EITI Report into three</w:t>
      </w:r>
      <w:r w:rsidR="0043050F" w:rsidRPr="002815F4">
        <w:rPr>
          <w:rFonts w:ascii="Calibri" w:hAnsi="Calibri"/>
        </w:rPr>
        <w:t xml:space="preserve"> local languages (Wolof, Mande</w:t>
      </w:r>
      <w:r w:rsidR="00FB7B34" w:rsidRPr="002815F4">
        <w:rPr>
          <w:rFonts w:ascii="Calibri" w:hAnsi="Calibri"/>
        </w:rPr>
        <w:t xml:space="preserve"> and Pula</w:t>
      </w:r>
      <w:r w:rsidR="0043050F" w:rsidRPr="002815F4">
        <w:rPr>
          <w:rFonts w:ascii="Calibri" w:hAnsi="Calibri"/>
        </w:rPr>
        <w:t>a</w:t>
      </w:r>
      <w:r w:rsidR="00FB7B34" w:rsidRPr="002815F4">
        <w:rPr>
          <w:rFonts w:ascii="Calibri" w:hAnsi="Calibri"/>
        </w:rPr>
        <w:t xml:space="preserve">r). </w:t>
      </w:r>
      <w:r w:rsidR="00E07336" w:rsidRPr="002815F4">
        <w:rPr>
          <w:rFonts w:ascii="Calibri" w:hAnsi="Calibri"/>
        </w:rPr>
        <w:t xml:space="preserve">The EITI Senegal Secretariat has published frequent articles </w:t>
      </w:r>
      <w:r w:rsidR="00264690" w:rsidRPr="002815F4">
        <w:rPr>
          <w:rFonts w:ascii="Calibri" w:hAnsi="Calibri"/>
        </w:rPr>
        <w:t xml:space="preserve">extracting </w:t>
      </w:r>
      <w:r w:rsidR="00E07336" w:rsidRPr="002815F4">
        <w:rPr>
          <w:rFonts w:ascii="Calibri" w:hAnsi="Calibri"/>
        </w:rPr>
        <w:t>specific information from EITI Reports</w:t>
      </w:r>
      <w:r w:rsidR="002D606B" w:rsidRPr="002815F4">
        <w:rPr>
          <w:rFonts w:ascii="Calibri" w:hAnsi="Calibri"/>
        </w:rPr>
        <w:t xml:space="preserve"> </w:t>
      </w:r>
      <w:sdt>
        <w:sdtPr>
          <w:rPr>
            <w:rFonts w:ascii="Calibri" w:hAnsi="Calibri"/>
          </w:rPr>
          <w:id w:val="2093971502"/>
          <w:citation/>
        </w:sdtPr>
        <w:sdtEndPr/>
        <w:sdtContent>
          <w:r w:rsidR="002D606B" w:rsidRPr="002815F4">
            <w:rPr>
              <w:rFonts w:ascii="Calibri" w:hAnsi="Calibri"/>
            </w:rPr>
            <w:fldChar w:fldCharType="begin"/>
          </w:r>
          <w:r w:rsidR="002D606B" w:rsidRPr="002815F4">
            <w:rPr>
              <w:rFonts w:ascii="Calibri" w:hAnsi="Calibri"/>
            </w:rPr>
            <w:instrText xml:space="preserve"> CITATION ITI1526 \l 1033 </w:instrText>
          </w:r>
          <w:r w:rsidR="002D606B" w:rsidRPr="002815F4">
            <w:rPr>
              <w:rFonts w:ascii="Calibri" w:hAnsi="Calibri"/>
            </w:rPr>
            <w:fldChar w:fldCharType="separate"/>
          </w:r>
          <w:r w:rsidR="003E626E" w:rsidRPr="002815F4">
            <w:rPr>
              <w:rFonts w:ascii="Calibri" w:hAnsi="Calibri"/>
              <w:noProof/>
            </w:rPr>
            <w:t>(ITIE Senegal, 2015)</w:t>
          </w:r>
          <w:r w:rsidR="002D606B" w:rsidRPr="002815F4">
            <w:rPr>
              <w:rFonts w:ascii="Calibri" w:hAnsi="Calibri"/>
            </w:rPr>
            <w:fldChar w:fldCharType="end"/>
          </w:r>
        </w:sdtContent>
      </w:sdt>
      <w:sdt>
        <w:sdtPr>
          <w:rPr>
            <w:rFonts w:ascii="Calibri" w:hAnsi="Calibri"/>
          </w:rPr>
          <w:id w:val="-1794742917"/>
          <w:citation/>
        </w:sdtPr>
        <w:sdtEndPr/>
        <w:sdtContent>
          <w:r w:rsidR="002D606B" w:rsidRPr="002815F4">
            <w:rPr>
              <w:rFonts w:ascii="Calibri" w:hAnsi="Calibri"/>
            </w:rPr>
            <w:fldChar w:fldCharType="begin"/>
          </w:r>
          <w:r w:rsidR="002D606B" w:rsidRPr="002815F4">
            <w:rPr>
              <w:rFonts w:ascii="Calibri" w:hAnsi="Calibri"/>
            </w:rPr>
            <w:instrText xml:space="preserve"> CITATION ITI1527 \l 1033 </w:instrText>
          </w:r>
          <w:r w:rsidR="002D606B" w:rsidRPr="002815F4">
            <w:rPr>
              <w:rFonts w:ascii="Calibri" w:hAnsi="Calibri"/>
            </w:rPr>
            <w:fldChar w:fldCharType="separate"/>
          </w:r>
          <w:r w:rsidR="003E626E" w:rsidRPr="002815F4">
            <w:rPr>
              <w:rFonts w:ascii="Calibri" w:hAnsi="Calibri"/>
              <w:noProof/>
            </w:rPr>
            <w:t xml:space="preserve"> (ITIE Senegal, 2015)</w:t>
          </w:r>
          <w:r w:rsidR="002D606B" w:rsidRPr="002815F4">
            <w:rPr>
              <w:rFonts w:ascii="Calibri" w:hAnsi="Calibri"/>
            </w:rPr>
            <w:fldChar w:fldCharType="end"/>
          </w:r>
        </w:sdtContent>
      </w:sdt>
      <w:sdt>
        <w:sdtPr>
          <w:rPr>
            <w:rFonts w:ascii="Calibri" w:hAnsi="Calibri"/>
          </w:rPr>
          <w:id w:val="713855576"/>
          <w:citation/>
        </w:sdtPr>
        <w:sdtEndPr/>
        <w:sdtContent>
          <w:r w:rsidR="002B5318" w:rsidRPr="002815F4">
            <w:rPr>
              <w:rFonts w:ascii="Calibri" w:hAnsi="Calibri"/>
            </w:rPr>
            <w:fldChar w:fldCharType="begin"/>
          </w:r>
          <w:r w:rsidR="002B5318" w:rsidRPr="002815F4">
            <w:rPr>
              <w:rFonts w:ascii="Calibri" w:hAnsi="Calibri"/>
            </w:rPr>
            <w:instrText xml:space="preserve"> CITATION ITI1533 \l 1033 </w:instrText>
          </w:r>
          <w:r w:rsidR="002B5318" w:rsidRPr="002815F4">
            <w:rPr>
              <w:rFonts w:ascii="Calibri" w:hAnsi="Calibri"/>
            </w:rPr>
            <w:fldChar w:fldCharType="separate"/>
          </w:r>
          <w:r w:rsidR="003E626E" w:rsidRPr="002815F4">
            <w:rPr>
              <w:rFonts w:ascii="Calibri" w:hAnsi="Calibri"/>
              <w:noProof/>
            </w:rPr>
            <w:t xml:space="preserve"> (ITIE Senegal, 2015)</w:t>
          </w:r>
          <w:r w:rsidR="002B5318" w:rsidRPr="002815F4">
            <w:rPr>
              <w:rFonts w:ascii="Calibri" w:hAnsi="Calibri"/>
            </w:rPr>
            <w:fldChar w:fldCharType="end"/>
          </w:r>
        </w:sdtContent>
      </w:sdt>
      <w:r w:rsidR="00264690" w:rsidRPr="002815F4">
        <w:rPr>
          <w:rFonts w:ascii="Calibri" w:hAnsi="Calibri"/>
        </w:rPr>
        <w:t xml:space="preserve"> </w:t>
      </w:r>
      <w:sdt>
        <w:sdtPr>
          <w:rPr>
            <w:rFonts w:ascii="Calibri" w:hAnsi="Calibri"/>
          </w:rPr>
          <w:id w:val="1148626247"/>
          <w:citation/>
        </w:sdtPr>
        <w:sdtEndPr/>
        <w:sdtContent>
          <w:r w:rsidR="00264690" w:rsidRPr="002815F4">
            <w:rPr>
              <w:rFonts w:ascii="Calibri" w:hAnsi="Calibri"/>
            </w:rPr>
            <w:fldChar w:fldCharType="begin"/>
          </w:r>
          <w:r w:rsidR="00264690" w:rsidRPr="002815F4">
            <w:rPr>
              <w:rFonts w:ascii="Calibri" w:hAnsi="Calibri"/>
            </w:rPr>
            <w:instrText xml:space="preserve"> CITATION ITI1634 \l 1033 </w:instrText>
          </w:r>
          <w:r w:rsidR="00264690" w:rsidRPr="002815F4">
            <w:rPr>
              <w:rFonts w:ascii="Calibri" w:hAnsi="Calibri"/>
            </w:rPr>
            <w:fldChar w:fldCharType="separate"/>
          </w:r>
          <w:r w:rsidR="003E626E" w:rsidRPr="002815F4">
            <w:rPr>
              <w:rFonts w:ascii="Calibri" w:hAnsi="Calibri"/>
              <w:noProof/>
            </w:rPr>
            <w:t>(ITIE Senegal, 2016)</w:t>
          </w:r>
          <w:r w:rsidR="00264690" w:rsidRPr="002815F4">
            <w:rPr>
              <w:rFonts w:ascii="Calibri" w:hAnsi="Calibri"/>
            </w:rPr>
            <w:fldChar w:fldCharType="end"/>
          </w:r>
        </w:sdtContent>
      </w:sdt>
      <w:r w:rsidR="00264690" w:rsidRPr="002815F4">
        <w:rPr>
          <w:rFonts w:ascii="Calibri" w:hAnsi="Calibri"/>
        </w:rPr>
        <w:t xml:space="preserve"> </w:t>
      </w:r>
      <w:sdt>
        <w:sdtPr>
          <w:rPr>
            <w:rFonts w:ascii="Calibri" w:hAnsi="Calibri"/>
          </w:rPr>
          <w:id w:val="-241024768"/>
          <w:citation/>
        </w:sdtPr>
        <w:sdtEndPr/>
        <w:sdtContent>
          <w:r w:rsidR="00264690" w:rsidRPr="002815F4">
            <w:rPr>
              <w:rFonts w:ascii="Calibri" w:hAnsi="Calibri"/>
            </w:rPr>
            <w:fldChar w:fldCharType="begin"/>
          </w:r>
          <w:r w:rsidR="00264690" w:rsidRPr="002815F4">
            <w:rPr>
              <w:rFonts w:ascii="Calibri" w:hAnsi="Calibri"/>
            </w:rPr>
            <w:instrText xml:space="preserve"> CITATION ITI1635 \l 1033 </w:instrText>
          </w:r>
          <w:r w:rsidR="00264690" w:rsidRPr="002815F4">
            <w:rPr>
              <w:rFonts w:ascii="Calibri" w:hAnsi="Calibri"/>
            </w:rPr>
            <w:fldChar w:fldCharType="separate"/>
          </w:r>
          <w:r w:rsidR="003E626E" w:rsidRPr="002815F4">
            <w:rPr>
              <w:rFonts w:ascii="Calibri" w:hAnsi="Calibri"/>
              <w:noProof/>
            </w:rPr>
            <w:t>(ITIE Senegal, 2016)</w:t>
          </w:r>
          <w:r w:rsidR="00264690" w:rsidRPr="002815F4">
            <w:rPr>
              <w:rFonts w:ascii="Calibri" w:hAnsi="Calibri"/>
            </w:rPr>
            <w:fldChar w:fldCharType="end"/>
          </w:r>
        </w:sdtContent>
      </w:sdt>
      <w:r w:rsidR="00264690" w:rsidRPr="002815F4">
        <w:rPr>
          <w:rFonts w:ascii="Calibri" w:hAnsi="Calibri"/>
        </w:rPr>
        <w:t>. It also mapped out the geographic spread of mining revenues on an accessible user interface.</w:t>
      </w:r>
      <w:r w:rsidR="00264690" w:rsidRPr="002815F4">
        <w:rPr>
          <w:rStyle w:val="FootnoteReference"/>
          <w:rFonts w:ascii="Calibri" w:hAnsi="Calibri"/>
        </w:rPr>
        <w:footnoteReference w:id="87"/>
      </w:r>
    </w:p>
    <w:p w14:paraId="18F25E0E" w14:textId="1A4652BB" w:rsidR="00694B0E" w:rsidRPr="002815F4" w:rsidRDefault="00DF708D" w:rsidP="00DF708D">
      <w:pPr>
        <w:spacing w:before="120"/>
        <w:rPr>
          <w:rFonts w:ascii="Calibri" w:hAnsi="Calibri"/>
        </w:rPr>
      </w:pPr>
      <w:r w:rsidRPr="002815F4">
        <w:rPr>
          <w:rFonts w:ascii="Calibri" w:hAnsi="Calibri"/>
          <w:i/>
          <w:u w:val="single"/>
        </w:rPr>
        <w:t>Promotion:</w:t>
      </w:r>
      <w:r w:rsidRPr="002815F4">
        <w:rPr>
          <w:rFonts w:ascii="Calibri" w:hAnsi="Calibri"/>
        </w:rPr>
        <w:t xml:space="preserve"> </w:t>
      </w:r>
      <w:r w:rsidR="00985A19" w:rsidRPr="002815F4">
        <w:rPr>
          <w:rFonts w:ascii="Calibri" w:hAnsi="Calibri"/>
        </w:rPr>
        <w:t>The Senegal EITI Secretariat and MSG have actively promoted EITI information through press briefings, dissemination and outreach events, focus group discussions, social media and capacity building workshops.</w:t>
      </w:r>
      <w:r w:rsidR="00DA225B" w:rsidRPr="002815F4">
        <w:rPr>
          <w:rFonts w:ascii="Calibri" w:hAnsi="Calibri"/>
        </w:rPr>
        <w:t xml:space="preserve"> Reports are typically soft-launched on 17 October each year, followed by a </w:t>
      </w:r>
      <w:r w:rsidR="00995EB5">
        <w:rPr>
          <w:rFonts w:ascii="Calibri" w:hAnsi="Calibri"/>
        </w:rPr>
        <w:t xml:space="preserve">November </w:t>
      </w:r>
      <w:r w:rsidR="00DA225B" w:rsidRPr="002815F4">
        <w:rPr>
          <w:rFonts w:ascii="Calibri" w:hAnsi="Calibri"/>
        </w:rPr>
        <w:t xml:space="preserve">national conference and regional roadshows to </w:t>
      </w:r>
      <w:r w:rsidR="00995EB5">
        <w:rPr>
          <w:rFonts w:ascii="Calibri" w:hAnsi="Calibri"/>
        </w:rPr>
        <w:t xml:space="preserve">extractives </w:t>
      </w:r>
      <w:r w:rsidR="00DA225B" w:rsidRPr="002815F4">
        <w:rPr>
          <w:rFonts w:ascii="Calibri" w:hAnsi="Calibri"/>
        </w:rPr>
        <w:t xml:space="preserve">areas in November-December. Thus the 2014 EITI Report was presented at a press conference in Dakar on 17 October 2016 </w:t>
      </w:r>
      <w:sdt>
        <w:sdtPr>
          <w:rPr>
            <w:rFonts w:ascii="Calibri" w:hAnsi="Calibri"/>
          </w:rPr>
          <w:id w:val="-693763475"/>
          <w:citation/>
        </w:sdtPr>
        <w:sdtEndPr/>
        <w:sdtContent>
          <w:r w:rsidR="00DA225B" w:rsidRPr="002815F4">
            <w:rPr>
              <w:rFonts w:ascii="Calibri" w:hAnsi="Calibri"/>
            </w:rPr>
            <w:fldChar w:fldCharType="begin"/>
          </w:r>
          <w:r w:rsidR="00DA225B" w:rsidRPr="002815F4">
            <w:rPr>
              <w:rFonts w:ascii="Calibri" w:hAnsi="Calibri"/>
            </w:rPr>
            <w:instrText xml:space="preserve"> CITATION ITI1636 \l 1033 </w:instrText>
          </w:r>
          <w:r w:rsidR="00DA225B" w:rsidRPr="002815F4">
            <w:rPr>
              <w:rFonts w:ascii="Calibri" w:hAnsi="Calibri"/>
            </w:rPr>
            <w:fldChar w:fldCharType="separate"/>
          </w:r>
          <w:r w:rsidR="003E626E" w:rsidRPr="002815F4">
            <w:rPr>
              <w:rFonts w:ascii="Calibri" w:hAnsi="Calibri"/>
              <w:noProof/>
            </w:rPr>
            <w:t>(ITIE Senegal, 2016)</w:t>
          </w:r>
          <w:r w:rsidR="00DA225B" w:rsidRPr="002815F4">
            <w:rPr>
              <w:rFonts w:ascii="Calibri" w:hAnsi="Calibri"/>
            </w:rPr>
            <w:fldChar w:fldCharType="end"/>
          </w:r>
        </w:sdtContent>
      </w:sdt>
      <w:r w:rsidR="00DA225B" w:rsidRPr="002815F4">
        <w:rPr>
          <w:rFonts w:ascii="Calibri" w:hAnsi="Calibri"/>
        </w:rPr>
        <w:t>, before being formally launched at a larger national conference on 3 November 2017. The secretariat publishes regular press releases on its website.</w:t>
      </w:r>
      <w:r w:rsidR="00DA225B" w:rsidRPr="002815F4">
        <w:rPr>
          <w:rStyle w:val="FootnoteReference"/>
          <w:rFonts w:ascii="Calibri" w:hAnsi="Calibri"/>
        </w:rPr>
        <w:footnoteReference w:id="88"/>
      </w:r>
      <w:r w:rsidR="003D6881" w:rsidRPr="002815F4">
        <w:rPr>
          <w:rFonts w:ascii="Calibri" w:hAnsi="Calibri"/>
        </w:rPr>
        <w:t xml:space="preserve"> </w:t>
      </w:r>
      <w:r w:rsidR="000C54BB" w:rsidRPr="002815F4">
        <w:rPr>
          <w:rFonts w:ascii="Calibri" w:hAnsi="Calibri"/>
        </w:rPr>
        <w:t xml:space="preserve">The National Secretariat has </w:t>
      </w:r>
      <w:r w:rsidR="00DA225B" w:rsidRPr="002815F4">
        <w:rPr>
          <w:rFonts w:ascii="Calibri" w:hAnsi="Calibri"/>
        </w:rPr>
        <w:t>coordinated the MSG’s promotion of</w:t>
      </w:r>
      <w:r w:rsidR="000C54BB" w:rsidRPr="002815F4">
        <w:rPr>
          <w:rFonts w:ascii="Calibri" w:hAnsi="Calibri"/>
        </w:rPr>
        <w:t xml:space="preserve"> EITI information in the three main mining regions </w:t>
      </w:r>
      <w:r w:rsidR="00DA225B" w:rsidRPr="002815F4">
        <w:rPr>
          <w:rFonts w:ascii="Calibri" w:hAnsi="Calibri"/>
        </w:rPr>
        <w:t>(Kédougou, Thiès and Matam)</w:t>
      </w:r>
      <w:r w:rsidR="000C54BB" w:rsidRPr="002815F4">
        <w:rPr>
          <w:rFonts w:ascii="Calibri" w:hAnsi="Calibri"/>
        </w:rPr>
        <w:t xml:space="preserve">, producing sketches and </w:t>
      </w:r>
      <w:r w:rsidR="00FB7B34" w:rsidRPr="002815F4">
        <w:rPr>
          <w:rFonts w:ascii="Calibri" w:hAnsi="Calibri"/>
        </w:rPr>
        <w:lastRenderedPageBreak/>
        <w:t>infographics</w:t>
      </w:r>
      <w:r w:rsidR="000C54BB" w:rsidRPr="002815F4">
        <w:rPr>
          <w:rFonts w:ascii="Calibri" w:hAnsi="Calibri"/>
        </w:rPr>
        <w:t xml:space="preserve">, dissemination workshop materials, translation of communications materials into </w:t>
      </w:r>
      <w:r w:rsidR="00FB7B34" w:rsidRPr="002815F4">
        <w:rPr>
          <w:rFonts w:ascii="Calibri" w:hAnsi="Calibri"/>
        </w:rPr>
        <w:t xml:space="preserve">three </w:t>
      </w:r>
      <w:r w:rsidR="000C54BB" w:rsidRPr="002815F4">
        <w:rPr>
          <w:rFonts w:ascii="Calibri" w:hAnsi="Calibri"/>
        </w:rPr>
        <w:t xml:space="preserve">local languages, relying heavily on the CSO networks in these regions </w:t>
      </w:r>
      <w:sdt>
        <w:sdtPr>
          <w:rPr>
            <w:rFonts w:ascii="Calibri" w:hAnsi="Calibri"/>
          </w:rPr>
          <w:id w:val="-1578056137"/>
          <w:citation/>
        </w:sdtPr>
        <w:sdtEndPr/>
        <w:sdtContent>
          <w:r w:rsidR="000C54BB" w:rsidRPr="002815F4">
            <w:rPr>
              <w:rFonts w:ascii="Calibri" w:hAnsi="Calibri"/>
            </w:rPr>
            <w:fldChar w:fldCharType="begin"/>
          </w:r>
          <w:r w:rsidR="000C54BB" w:rsidRPr="002815F4">
            <w:rPr>
              <w:rFonts w:ascii="Calibri" w:hAnsi="Calibri"/>
            </w:rPr>
            <w:instrText xml:space="preserve"> CITATION ITI1538 \l 1033 </w:instrText>
          </w:r>
          <w:r w:rsidR="000C54BB" w:rsidRPr="002815F4">
            <w:rPr>
              <w:rFonts w:ascii="Calibri" w:hAnsi="Calibri"/>
            </w:rPr>
            <w:fldChar w:fldCharType="separate"/>
          </w:r>
          <w:r w:rsidR="003E626E" w:rsidRPr="002815F4">
            <w:rPr>
              <w:rFonts w:ascii="Calibri" w:hAnsi="Calibri"/>
              <w:noProof/>
            </w:rPr>
            <w:t>(ITIE Senegal, 2015)</w:t>
          </w:r>
          <w:r w:rsidR="000C54BB" w:rsidRPr="002815F4">
            <w:rPr>
              <w:rFonts w:ascii="Calibri" w:hAnsi="Calibri"/>
            </w:rPr>
            <w:fldChar w:fldCharType="end"/>
          </w:r>
        </w:sdtContent>
      </w:sdt>
      <w:r w:rsidR="000C54BB" w:rsidRPr="002815F4">
        <w:rPr>
          <w:rFonts w:ascii="Calibri" w:hAnsi="Calibri"/>
        </w:rPr>
        <w:t xml:space="preserve">. </w:t>
      </w:r>
      <w:r w:rsidR="00FB7B34" w:rsidRPr="002815F4">
        <w:rPr>
          <w:rFonts w:ascii="Calibri" w:hAnsi="Calibri"/>
        </w:rPr>
        <w:t>R</w:t>
      </w:r>
      <w:r w:rsidR="005F23E8" w:rsidRPr="002815F4">
        <w:rPr>
          <w:rFonts w:ascii="Calibri" w:hAnsi="Calibri"/>
        </w:rPr>
        <w:t xml:space="preserve">ecords of dissemination activities shows that all three constituencies are consistently represented during dissemination activities, albeit with stronger engagement of companies in mining than in oil and gas. </w:t>
      </w:r>
      <w:r w:rsidR="00995EB5">
        <w:rPr>
          <w:rFonts w:ascii="Calibri" w:hAnsi="Calibri"/>
        </w:rPr>
        <w:t xml:space="preserve">Yet </w:t>
      </w:r>
      <w:r w:rsidR="00E22AE3" w:rsidRPr="002815F4">
        <w:rPr>
          <w:rFonts w:ascii="Calibri" w:hAnsi="Calibri"/>
        </w:rPr>
        <w:t>companies like Kosmos Energy have driven consultations and outreach with civil society on the oil and gas side</w:t>
      </w:r>
      <w:r w:rsidR="00995EB5">
        <w:rPr>
          <w:rFonts w:ascii="Calibri" w:hAnsi="Calibri"/>
        </w:rPr>
        <w:t xml:space="preserve"> </w:t>
      </w:r>
      <w:sdt>
        <w:sdtPr>
          <w:rPr>
            <w:rFonts w:ascii="Calibri" w:hAnsi="Calibri"/>
          </w:rPr>
          <w:id w:val="978643450"/>
          <w:citation/>
        </w:sdtPr>
        <w:sdtEndPr/>
        <w:sdtContent>
          <w:r w:rsidR="00E22AE3" w:rsidRPr="002815F4">
            <w:rPr>
              <w:rFonts w:ascii="Calibri" w:hAnsi="Calibri"/>
            </w:rPr>
            <w:fldChar w:fldCharType="begin"/>
          </w:r>
          <w:r w:rsidR="00E22AE3" w:rsidRPr="002815F4">
            <w:rPr>
              <w:rFonts w:ascii="Calibri" w:hAnsi="Calibri"/>
            </w:rPr>
            <w:instrText xml:space="preserve"> CITATION Fin171 \l 1033 </w:instrText>
          </w:r>
          <w:r w:rsidR="00E22AE3" w:rsidRPr="002815F4">
            <w:rPr>
              <w:rFonts w:ascii="Calibri" w:hAnsi="Calibri"/>
            </w:rPr>
            <w:fldChar w:fldCharType="separate"/>
          </w:r>
          <w:r w:rsidR="00E22AE3" w:rsidRPr="002815F4">
            <w:rPr>
              <w:rFonts w:ascii="Calibri" w:hAnsi="Calibri"/>
              <w:noProof/>
            </w:rPr>
            <w:t>(Financial Times, 2017)</w:t>
          </w:r>
          <w:r w:rsidR="00E22AE3" w:rsidRPr="002815F4">
            <w:rPr>
              <w:rFonts w:ascii="Calibri" w:hAnsi="Calibri"/>
            </w:rPr>
            <w:fldChar w:fldCharType="end"/>
          </w:r>
        </w:sdtContent>
      </w:sdt>
      <w:r w:rsidR="00E22AE3" w:rsidRPr="002815F4">
        <w:rPr>
          <w:rFonts w:ascii="Calibri" w:hAnsi="Calibri"/>
        </w:rPr>
        <w:t xml:space="preserve">. </w:t>
      </w:r>
      <w:r w:rsidR="000C54BB" w:rsidRPr="002815F4">
        <w:rPr>
          <w:rFonts w:ascii="Calibri" w:hAnsi="Calibri"/>
        </w:rPr>
        <w:t xml:space="preserve">The </w:t>
      </w:r>
      <w:r w:rsidR="00995EB5">
        <w:rPr>
          <w:rFonts w:ascii="Calibri" w:hAnsi="Calibri"/>
        </w:rPr>
        <w:t>then-</w:t>
      </w:r>
      <w:r w:rsidR="000C54BB" w:rsidRPr="002815F4">
        <w:rPr>
          <w:rFonts w:ascii="Calibri" w:hAnsi="Calibri"/>
        </w:rPr>
        <w:t xml:space="preserve">EITI Champion, Prof. Fall, and National Coordinator have regularly appeared on TV shows and given press interviews to promote EITI </w:t>
      </w:r>
      <w:sdt>
        <w:sdtPr>
          <w:rPr>
            <w:rFonts w:ascii="Calibri" w:hAnsi="Calibri"/>
          </w:rPr>
          <w:id w:val="1276989656"/>
          <w:citation/>
        </w:sdtPr>
        <w:sdtEndPr/>
        <w:sdtContent>
          <w:r w:rsidR="000C54BB" w:rsidRPr="002815F4">
            <w:rPr>
              <w:rFonts w:ascii="Calibri" w:hAnsi="Calibri"/>
            </w:rPr>
            <w:fldChar w:fldCharType="begin"/>
          </w:r>
          <w:r w:rsidR="000C54BB" w:rsidRPr="002815F4">
            <w:rPr>
              <w:rFonts w:ascii="Calibri" w:hAnsi="Calibri"/>
            </w:rPr>
            <w:instrText xml:space="preserve"> CITATION ITI1538 \l 1033 </w:instrText>
          </w:r>
          <w:r w:rsidR="000C54BB" w:rsidRPr="002815F4">
            <w:rPr>
              <w:rFonts w:ascii="Calibri" w:hAnsi="Calibri"/>
            </w:rPr>
            <w:fldChar w:fldCharType="separate"/>
          </w:r>
          <w:r w:rsidR="003E626E" w:rsidRPr="002815F4">
            <w:rPr>
              <w:rFonts w:ascii="Calibri" w:hAnsi="Calibri"/>
              <w:noProof/>
            </w:rPr>
            <w:t>(ITIE Senegal, 2015)</w:t>
          </w:r>
          <w:r w:rsidR="000C54BB" w:rsidRPr="002815F4">
            <w:rPr>
              <w:rFonts w:ascii="Calibri" w:hAnsi="Calibri"/>
            </w:rPr>
            <w:fldChar w:fldCharType="end"/>
          </w:r>
        </w:sdtContent>
      </w:sdt>
      <w:r w:rsidR="000C54BB" w:rsidRPr="002815F4">
        <w:rPr>
          <w:rFonts w:ascii="Calibri" w:hAnsi="Calibri"/>
        </w:rPr>
        <w:t xml:space="preserve">. </w:t>
      </w:r>
      <w:r w:rsidR="008B2309" w:rsidRPr="002815F4">
        <w:rPr>
          <w:rFonts w:ascii="Calibri" w:hAnsi="Calibri"/>
        </w:rPr>
        <w:t xml:space="preserve">Consistent and public high-level government support for EITI, including from the Prime Minister, have helped promote the use of EITI information </w:t>
      </w:r>
      <w:sdt>
        <w:sdtPr>
          <w:rPr>
            <w:rFonts w:ascii="Calibri" w:hAnsi="Calibri"/>
          </w:rPr>
          <w:id w:val="996457902"/>
          <w:citation/>
        </w:sdtPr>
        <w:sdtEndPr/>
        <w:sdtContent>
          <w:r w:rsidR="008B2309" w:rsidRPr="002815F4">
            <w:rPr>
              <w:rFonts w:ascii="Calibri" w:hAnsi="Calibri"/>
            </w:rPr>
            <w:fldChar w:fldCharType="begin"/>
          </w:r>
          <w:r w:rsidR="008B2309" w:rsidRPr="002815F4">
            <w:rPr>
              <w:rFonts w:ascii="Calibri" w:hAnsi="Calibri"/>
            </w:rPr>
            <w:instrText xml:space="preserve"> CITATION ITI1629 \l 1033 </w:instrText>
          </w:r>
          <w:r w:rsidR="008B2309" w:rsidRPr="002815F4">
            <w:rPr>
              <w:rFonts w:ascii="Calibri" w:hAnsi="Calibri"/>
            </w:rPr>
            <w:fldChar w:fldCharType="separate"/>
          </w:r>
          <w:r w:rsidR="003E626E" w:rsidRPr="002815F4">
            <w:rPr>
              <w:rFonts w:ascii="Calibri" w:hAnsi="Calibri"/>
              <w:noProof/>
            </w:rPr>
            <w:t>(ITIE Senegal, 2016)</w:t>
          </w:r>
          <w:r w:rsidR="008B2309" w:rsidRPr="002815F4">
            <w:rPr>
              <w:rFonts w:ascii="Calibri" w:hAnsi="Calibri"/>
            </w:rPr>
            <w:fldChar w:fldCharType="end"/>
          </w:r>
        </w:sdtContent>
      </w:sdt>
      <w:r w:rsidR="008B2309" w:rsidRPr="002815F4">
        <w:rPr>
          <w:rFonts w:ascii="Calibri" w:hAnsi="Calibri"/>
        </w:rPr>
        <w:t xml:space="preserve"> </w:t>
      </w:r>
      <w:sdt>
        <w:sdtPr>
          <w:rPr>
            <w:rFonts w:ascii="Calibri" w:hAnsi="Calibri"/>
            <w:bCs/>
          </w:rPr>
          <w:id w:val="800346702"/>
          <w:citation/>
        </w:sdtPr>
        <w:sdtEndPr/>
        <w:sdtContent>
          <w:r w:rsidR="008B2309" w:rsidRPr="002815F4">
            <w:rPr>
              <w:rFonts w:ascii="Calibri" w:hAnsi="Calibri"/>
              <w:bCs/>
            </w:rPr>
            <w:fldChar w:fldCharType="begin"/>
          </w:r>
          <w:r w:rsidR="008B2309" w:rsidRPr="002815F4">
            <w:rPr>
              <w:rFonts w:ascii="Calibri" w:hAnsi="Calibri"/>
              <w:bCs/>
            </w:rPr>
            <w:instrText xml:space="preserve"> CITATION LeS16 \l 1033 </w:instrText>
          </w:r>
          <w:r w:rsidR="008B2309" w:rsidRPr="002815F4">
            <w:rPr>
              <w:rFonts w:ascii="Calibri" w:hAnsi="Calibri"/>
              <w:bCs/>
            </w:rPr>
            <w:fldChar w:fldCharType="separate"/>
          </w:r>
          <w:r w:rsidR="003E626E" w:rsidRPr="002815F4">
            <w:rPr>
              <w:rFonts w:ascii="Calibri" w:hAnsi="Calibri"/>
              <w:noProof/>
            </w:rPr>
            <w:t>(Le Soleil, 2016)</w:t>
          </w:r>
          <w:r w:rsidR="008B2309" w:rsidRPr="002815F4">
            <w:rPr>
              <w:rFonts w:ascii="Calibri" w:hAnsi="Calibri"/>
              <w:bCs/>
            </w:rPr>
            <w:fldChar w:fldCharType="end"/>
          </w:r>
        </w:sdtContent>
      </w:sdt>
      <w:r w:rsidR="008B2309" w:rsidRPr="002815F4">
        <w:rPr>
          <w:rFonts w:ascii="Calibri" w:hAnsi="Calibri"/>
          <w:bCs/>
        </w:rPr>
        <w:t xml:space="preserve"> </w:t>
      </w:r>
      <w:sdt>
        <w:sdtPr>
          <w:rPr>
            <w:rFonts w:ascii="Calibri" w:hAnsi="Calibri"/>
          </w:rPr>
          <w:id w:val="-618836816"/>
          <w:citation/>
        </w:sdtPr>
        <w:sdtEndPr/>
        <w:sdtContent>
          <w:r w:rsidR="008B2309" w:rsidRPr="002815F4">
            <w:rPr>
              <w:rFonts w:ascii="Calibri" w:hAnsi="Calibri"/>
            </w:rPr>
            <w:fldChar w:fldCharType="begin"/>
          </w:r>
          <w:r w:rsidR="008B2309" w:rsidRPr="002815F4">
            <w:rPr>
              <w:rFonts w:ascii="Calibri" w:hAnsi="Calibri"/>
            </w:rPr>
            <w:instrText xml:space="preserve"> CITATION ITI1629 \l 1033 </w:instrText>
          </w:r>
          <w:r w:rsidR="008B2309" w:rsidRPr="002815F4">
            <w:rPr>
              <w:rFonts w:ascii="Calibri" w:hAnsi="Calibri"/>
            </w:rPr>
            <w:fldChar w:fldCharType="separate"/>
          </w:r>
          <w:r w:rsidR="003E626E" w:rsidRPr="002815F4">
            <w:rPr>
              <w:rFonts w:ascii="Calibri" w:hAnsi="Calibri"/>
              <w:noProof/>
            </w:rPr>
            <w:t>(ITIE Senegal, 2016)</w:t>
          </w:r>
          <w:r w:rsidR="008B2309" w:rsidRPr="002815F4">
            <w:rPr>
              <w:rFonts w:ascii="Calibri" w:hAnsi="Calibri"/>
            </w:rPr>
            <w:fldChar w:fldCharType="end"/>
          </w:r>
        </w:sdtContent>
      </w:sdt>
      <w:r w:rsidR="008B2309" w:rsidRPr="002815F4">
        <w:rPr>
          <w:rFonts w:ascii="Calibri" w:hAnsi="Calibri"/>
        </w:rPr>
        <w:t xml:space="preserve"> </w:t>
      </w:r>
      <w:sdt>
        <w:sdtPr>
          <w:rPr>
            <w:rFonts w:ascii="Calibri" w:hAnsi="Calibri"/>
          </w:rPr>
          <w:id w:val="1232118497"/>
          <w:citation/>
        </w:sdtPr>
        <w:sdtEndPr/>
        <w:sdtContent>
          <w:r w:rsidR="008B2309" w:rsidRPr="002815F4">
            <w:rPr>
              <w:rFonts w:ascii="Calibri" w:hAnsi="Calibri"/>
            </w:rPr>
            <w:fldChar w:fldCharType="begin"/>
          </w:r>
          <w:r w:rsidR="008B2309" w:rsidRPr="002815F4">
            <w:rPr>
              <w:rFonts w:ascii="Calibri" w:hAnsi="Calibri"/>
            </w:rPr>
            <w:instrText xml:space="preserve"> CITATION ITI1525 \l 1033 </w:instrText>
          </w:r>
          <w:r w:rsidR="008B2309" w:rsidRPr="002815F4">
            <w:rPr>
              <w:rFonts w:ascii="Calibri" w:hAnsi="Calibri"/>
            </w:rPr>
            <w:fldChar w:fldCharType="separate"/>
          </w:r>
          <w:r w:rsidR="003E626E" w:rsidRPr="002815F4">
            <w:rPr>
              <w:rFonts w:ascii="Calibri" w:hAnsi="Calibri"/>
              <w:noProof/>
            </w:rPr>
            <w:t>(ITIE Senegal, 2015)</w:t>
          </w:r>
          <w:r w:rsidR="008B2309" w:rsidRPr="002815F4">
            <w:rPr>
              <w:rFonts w:ascii="Calibri" w:hAnsi="Calibri"/>
            </w:rPr>
            <w:fldChar w:fldCharType="end"/>
          </w:r>
        </w:sdtContent>
      </w:sdt>
      <w:r w:rsidR="008B2309" w:rsidRPr="002815F4">
        <w:rPr>
          <w:rFonts w:ascii="Calibri" w:hAnsi="Calibri"/>
        </w:rPr>
        <w:t>.</w:t>
      </w:r>
    </w:p>
    <w:p w14:paraId="678AD7ED" w14:textId="4B384D64" w:rsidR="00DA225B" w:rsidRPr="002815F4" w:rsidRDefault="00987FD2" w:rsidP="006D3AF9">
      <w:pPr>
        <w:spacing w:before="120"/>
        <w:rPr>
          <w:rFonts w:ascii="Calibri" w:hAnsi="Calibri"/>
        </w:rPr>
      </w:pPr>
      <w:r w:rsidRPr="002815F4">
        <w:rPr>
          <w:rFonts w:ascii="Calibri" w:hAnsi="Calibri"/>
        </w:rPr>
        <w:t>Even ahead of publication of the first</w:t>
      </w:r>
      <w:r w:rsidR="00995EB5">
        <w:rPr>
          <w:rFonts w:ascii="Calibri" w:hAnsi="Calibri"/>
        </w:rPr>
        <w:t xml:space="preserve"> (2013)</w:t>
      </w:r>
      <w:r w:rsidRPr="002815F4">
        <w:rPr>
          <w:rFonts w:ascii="Calibri" w:hAnsi="Calibri"/>
        </w:rPr>
        <w:t xml:space="preserve"> EITI Report, the MSG undertook proactive outreach to communities and </w:t>
      </w:r>
      <w:r w:rsidR="00DA7E8B">
        <w:rPr>
          <w:rFonts w:ascii="Calibri" w:hAnsi="Calibri"/>
        </w:rPr>
        <w:t xml:space="preserve">extractives </w:t>
      </w:r>
      <w:r w:rsidRPr="002815F4">
        <w:rPr>
          <w:rFonts w:ascii="Calibri" w:hAnsi="Calibri"/>
        </w:rPr>
        <w:t>areas</w:t>
      </w:r>
      <w:r w:rsidR="00DA7E8B">
        <w:rPr>
          <w:rStyle w:val="FootnoteReference"/>
          <w:rFonts w:ascii="Calibri" w:hAnsi="Calibri"/>
        </w:rPr>
        <w:footnoteReference w:id="89"/>
      </w:r>
      <w:r w:rsidR="002B5318" w:rsidRPr="002815F4">
        <w:rPr>
          <w:rFonts w:ascii="Calibri" w:hAnsi="Calibri"/>
        </w:rPr>
        <w:t>, using the regional forums as venues for tripartite consultation on issues of concern to local communities</w:t>
      </w:r>
      <w:r w:rsidR="00537B86" w:rsidRPr="002815F4">
        <w:rPr>
          <w:rFonts w:ascii="Calibri" w:hAnsi="Calibri"/>
        </w:rPr>
        <w:t xml:space="preserve"> </w:t>
      </w:r>
      <w:r w:rsidR="00E22AE3" w:rsidRPr="002815F4">
        <w:rPr>
          <w:rFonts w:ascii="Calibri" w:hAnsi="Calibri"/>
        </w:rPr>
        <w:t xml:space="preserve">since </w:t>
      </w:r>
      <w:r w:rsidR="00537B86" w:rsidRPr="002815F4">
        <w:rPr>
          <w:rFonts w:ascii="Calibri" w:hAnsi="Calibri"/>
        </w:rPr>
        <w:t xml:space="preserve">2014 </w:t>
      </w:r>
      <w:sdt>
        <w:sdtPr>
          <w:rPr>
            <w:rFonts w:ascii="Calibri" w:hAnsi="Calibri"/>
          </w:rPr>
          <w:id w:val="1456060710"/>
          <w:citation/>
        </w:sdtPr>
        <w:sdtEndPr/>
        <w:sdtContent>
          <w:r w:rsidR="00537B86" w:rsidRPr="002815F4">
            <w:rPr>
              <w:rFonts w:ascii="Calibri" w:hAnsi="Calibri"/>
            </w:rPr>
            <w:fldChar w:fldCharType="begin"/>
          </w:r>
          <w:r w:rsidR="00537B86" w:rsidRPr="002815F4">
            <w:rPr>
              <w:rFonts w:ascii="Calibri" w:hAnsi="Calibri"/>
            </w:rPr>
            <w:instrText xml:space="preserve"> CITATION ITI1424 \l 1033 </w:instrText>
          </w:r>
          <w:r w:rsidR="00537B86" w:rsidRPr="002815F4">
            <w:rPr>
              <w:rFonts w:ascii="Calibri" w:hAnsi="Calibri"/>
            </w:rPr>
            <w:fldChar w:fldCharType="separate"/>
          </w:r>
          <w:r w:rsidR="003E626E" w:rsidRPr="002815F4">
            <w:rPr>
              <w:rFonts w:ascii="Calibri" w:hAnsi="Calibri"/>
              <w:noProof/>
            </w:rPr>
            <w:t>(ITIE Senegal, 2014)</w:t>
          </w:r>
          <w:r w:rsidR="00537B86" w:rsidRPr="002815F4">
            <w:rPr>
              <w:rFonts w:ascii="Calibri" w:hAnsi="Calibri"/>
            </w:rPr>
            <w:fldChar w:fldCharType="end"/>
          </w:r>
        </w:sdtContent>
      </w:sdt>
      <w:r w:rsidR="002B5318" w:rsidRPr="002815F4">
        <w:rPr>
          <w:rFonts w:ascii="Calibri" w:hAnsi="Calibri"/>
        </w:rPr>
        <w:t xml:space="preserve"> </w:t>
      </w:r>
      <w:sdt>
        <w:sdtPr>
          <w:rPr>
            <w:rFonts w:ascii="Calibri" w:hAnsi="Calibri"/>
          </w:rPr>
          <w:id w:val="101151625"/>
          <w:citation/>
        </w:sdtPr>
        <w:sdtEndPr/>
        <w:sdtContent>
          <w:r w:rsidR="002B5318" w:rsidRPr="002815F4">
            <w:rPr>
              <w:rFonts w:ascii="Calibri" w:hAnsi="Calibri"/>
            </w:rPr>
            <w:fldChar w:fldCharType="begin"/>
          </w:r>
          <w:r w:rsidR="002B5318" w:rsidRPr="002815F4">
            <w:rPr>
              <w:rFonts w:ascii="Calibri" w:hAnsi="Calibri"/>
            </w:rPr>
            <w:instrText xml:space="preserve"> CITATION Dak15 \l 1033 </w:instrText>
          </w:r>
          <w:r w:rsidR="002B5318" w:rsidRPr="002815F4">
            <w:rPr>
              <w:rFonts w:ascii="Calibri" w:hAnsi="Calibri"/>
            </w:rPr>
            <w:fldChar w:fldCharType="separate"/>
          </w:r>
          <w:r w:rsidR="003E626E" w:rsidRPr="002815F4">
            <w:rPr>
              <w:rFonts w:ascii="Calibri" w:hAnsi="Calibri"/>
              <w:noProof/>
            </w:rPr>
            <w:t>(Dakaractu, 2015)</w:t>
          </w:r>
          <w:r w:rsidR="002B5318" w:rsidRPr="002815F4">
            <w:rPr>
              <w:rFonts w:ascii="Calibri" w:hAnsi="Calibri"/>
            </w:rPr>
            <w:fldChar w:fldCharType="end"/>
          </w:r>
        </w:sdtContent>
      </w:sdt>
      <w:sdt>
        <w:sdtPr>
          <w:rPr>
            <w:rFonts w:ascii="Calibri" w:hAnsi="Calibri"/>
          </w:rPr>
          <w:id w:val="-803463092"/>
          <w:citation/>
        </w:sdtPr>
        <w:sdtEndPr/>
        <w:sdtContent>
          <w:r w:rsidR="002B5318" w:rsidRPr="002815F4">
            <w:rPr>
              <w:rFonts w:ascii="Calibri" w:hAnsi="Calibri"/>
            </w:rPr>
            <w:fldChar w:fldCharType="begin"/>
          </w:r>
          <w:r w:rsidR="002B5318" w:rsidRPr="002815F4">
            <w:rPr>
              <w:rFonts w:ascii="Calibri" w:hAnsi="Calibri"/>
            </w:rPr>
            <w:instrText xml:space="preserve"> CITATION APS15 \l 1033 </w:instrText>
          </w:r>
          <w:r w:rsidR="002B5318" w:rsidRPr="002815F4">
            <w:rPr>
              <w:rFonts w:ascii="Calibri" w:hAnsi="Calibri"/>
            </w:rPr>
            <w:fldChar w:fldCharType="separate"/>
          </w:r>
          <w:r w:rsidR="003E626E" w:rsidRPr="002815F4">
            <w:rPr>
              <w:rFonts w:ascii="Calibri" w:hAnsi="Calibri"/>
              <w:noProof/>
            </w:rPr>
            <w:t xml:space="preserve"> (APS, 2015)</w:t>
          </w:r>
          <w:r w:rsidR="002B5318" w:rsidRPr="002815F4">
            <w:rPr>
              <w:rFonts w:ascii="Calibri" w:hAnsi="Calibri"/>
            </w:rPr>
            <w:fldChar w:fldCharType="end"/>
          </w:r>
        </w:sdtContent>
      </w:sdt>
      <w:sdt>
        <w:sdtPr>
          <w:rPr>
            <w:rFonts w:ascii="Calibri" w:hAnsi="Calibri"/>
          </w:rPr>
          <w:id w:val="-1978144937"/>
          <w:citation/>
        </w:sdtPr>
        <w:sdtEndPr/>
        <w:sdtContent>
          <w:r w:rsidR="002B5318" w:rsidRPr="002815F4">
            <w:rPr>
              <w:rFonts w:ascii="Calibri" w:hAnsi="Calibri"/>
            </w:rPr>
            <w:fldChar w:fldCharType="begin"/>
          </w:r>
          <w:r w:rsidR="002B5318" w:rsidRPr="002815F4">
            <w:rPr>
              <w:rFonts w:ascii="Calibri" w:hAnsi="Calibri"/>
            </w:rPr>
            <w:instrText xml:space="preserve"> CITATION ITI1531 \l 1033 </w:instrText>
          </w:r>
          <w:r w:rsidR="002B5318" w:rsidRPr="002815F4">
            <w:rPr>
              <w:rFonts w:ascii="Calibri" w:hAnsi="Calibri"/>
            </w:rPr>
            <w:fldChar w:fldCharType="separate"/>
          </w:r>
          <w:r w:rsidR="003E626E" w:rsidRPr="002815F4">
            <w:rPr>
              <w:rFonts w:ascii="Calibri" w:hAnsi="Calibri"/>
              <w:noProof/>
            </w:rPr>
            <w:t xml:space="preserve"> (ITIE Senegal, 2015)</w:t>
          </w:r>
          <w:r w:rsidR="002B5318" w:rsidRPr="002815F4">
            <w:rPr>
              <w:rFonts w:ascii="Calibri" w:hAnsi="Calibri"/>
            </w:rPr>
            <w:fldChar w:fldCharType="end"/>
          </w:r>
        </w:sdtContent>
      </w:sdt>
      <w:r w:rsidR="003D6881" w:rsidRPr="002815F4">
        <w:rPr>
          <w:rFonts w:ascii="Calibri" w:hAnsi="Calibri"/>
        </w:rPr>
        <w:t xml:space="preserve"> </w:t>
      </w:r>
      <w:sdt>
        <w:sdtPr>
          <w:rPr>
            <w:rFonts w:ascii="Calibri" w:hAnsi="Calibri"/>
          </w:rPr>
          <w:id w:val="-927957212"/>
          <w:citation/>
        </w:sdtPr>
        <w:sdtEndPr/>
        <w:sdtContent>
          <w:r w:rsidR="003D6881" w:rsidRPr="002815F4">
            <w:rPr>
              <w:rFonts w:ascii="Calibri" w:hAnsi="Calibri"/>
            </w:rPr>
            <w:fldChar w:fldCharType="begin"/>
          </w:r>
          <w:r w:rsidR="003D6881" w:rsidRPr="002815F4">
            <w:rPr>
              <w:rFonts w:ascii="Calibri" w:hAnsi="Calibri"/>
            </w:rPr>
            <w:instrText xml:space="preserve"> CITATION Sen15 \l 1033 </w:instrText>
          </w:r>
          <w:r w:rsidR="003D6881" w:rsidRPr="002815F4">
            <w:rPr>
              <w:rFonts w:ascii="Calibri" w:hAnsi="Calibri"/>
            </w:rPr>
            <w:fldChar w:fldCharType="separate"/>
          </w:r>
          <w:r w:rsidR="003E626E" w:rsidRPr="002815F4">
            <w:rPr>
              <w:rFonts w:ascii="Calibri" w:hAnsi="Calibri"/>
              <w:noProof/>
            </w:rPr>
            <w:t>(SenePlus, 2015)</w:t>
          </w:r>
          <w:r w:rsidR="003D6881" w:rsidRPr="002815F4">
            <w:rPr>
              <w:rFonts w:ascii="Calibri" w:hAnsi="Calibri"/>
            </w:rPr>
            <w:fldChar w:fldCharType="end"/>
          </w:r>
        </w:sdtContent>
      </w:sdt>
      <w:r w:rsidR="002B5318" w:rsidRPr="002815F4">
        <w:rPr>
          <w:rFonts w:ascii="Calibri" w:hAnsi="Calibri"/>
        </w:rPr>
        <w:t xml:space="preserve">. </w:t>
      </w:r>
      <w:r w:rsidR="003D6881" w:rsidRPr="002815F4">
        <w:rPr>
          <w:rFonts w:ascii="Calibri" w:hAnsi="Calibri"/>
        </w:rPr>
        <w:t>Civil society, particularly through the PWYP Senegal</w:t>
      </w:r>
      <w:r w:rsidR="00DA7E8B">
        <w:rPr>
          <w:rFonts w:ascii="Calibri" w:hAnsi="Calibri"/>
        </w:rPr>
        <w:t>’s</w:t>
      </w:r>
      <w:r w:rsidR="003D6881" w:rsidRPr="002815F4">
        <w:rPr>
          <w:rFonts w:ascii="Calibri" w:hAnsi="Calibri"/>
        </w:rPr>
        <w:t xml:space="preserve"> extensive grassroots </w:t>
      </w:r>
      <w:r w:rsidR="00DA7E8B">
        <w:rPr>
          <w:rFonts w:ascii="Calibri" w:hAnsi="Calibri"/>
        </w:rPr>
        <w:t xml:space="preserve">activist </w:t>
      </w:r>
      <w:r w:rsidR="003D6881" w:rsidRPr="002815F4">
        <w:rPr>
          <w:rFonts w:ascii="Calibri" w:hAnsi="Calibri"/>
        </w:rPr>
        <w:t xml:space="preserve">network, played a key part in facilitating logistics and planning for the roadshows </w:t>
      </w:r>
      <w:sdt>
        <w:sdtPr>
          <w:rPr>
            <w:rFonts w:ascii="Calibri" w:hAnsi="Calibri"/>
          </w:rPr>
          <w:id w:val="-1748722346"/>
          <w:citation/>
        </w:sdtPr>
        <w:sdtEndPr/>
        <w:sdtContent>
          <w:r w:rsidR="003D6881" w:rsidRPr="002815F4">
            <w:rPr>
              <w:rFonts w:ascii="Calibri" w:hAnsi="Calibri"/>
            </w:rPr>
            <w:fldChar w:fldCharType="begin"/>
          </w:r>
          <w:r w:rsidR="003D6881" w:rsidRPr="002815F4">
            <w:rPr>
              <w:rFonts w:ascii="Calibri" w:hAnsi="Calibri"/>
            </w:rPr>
            <w:instrText xml:space="preserve"> CITATION ITI1542 \l 1033 </w:instrText>
          </w:r>
          <w:r w:rsidR="003D6881" w:rsidRPr="002815F4">
            <w:rPr>
              <w:rFonts w:ascii="Calibri" w:hAnsi="Calibri"/>
            </w:rPr>
            <w:fldChar w:fldCharType="separate"/>
          </w:r>
          <w:r w:rsidR="003E626E" w:rsidRPr="002815F4">
            <w:rPr>
              <w:rFonts w:ascii="Calibri" w:hAnsi="Calibri"/>
              <w:noProof/>
            </w:rPr>
            <w:t>(ITIE Senegal, 2015)</w:t>
          </w:r>
          <w:r w:rsidR="003D6881" w:rsidRPr="002815F4">
            <w:rPr>
              <w:rFonts w:ascii="Calibri" w:hAnsi="Calibri"/>
            </w:rPr>
            <w:fldChar w:fldCharType="end"/>
          </w:r>
        </w:sdtContent>
      </w:sdt>
      <w:r w:rsidR="003D6881" w:rsidRPr="002815F4">
        <w:rPr>
          <w:rFonts w:ascii="Calibri" w:hAnsi="Calibri"/>
        </w:rPr>
        <w:t xml:space="preserve"> </w:t>
      </w:r>
      <w:sdt>
        <w:sdtPr>
          <w:rPr>
            <w:rFonts w:ascii="Calibri" w:hAnsi="Calibri"/>
          </w:rPr>
          <w:id w:val="-1525247579"/>
          <w:citation/>
        </w:sdtPr>
        <w:sdtEndPr/>
        <w:sdtContent>
          <w:r w:rsidR="003D6881" w:rsidRPr="002815F4">
            <w:rPr>
              <w:rFonts w:ascii="Calibri" w:hAnsi="Calibri"/>
            </w:rPr>
            <w:fldChar w:fldCharType="begin"/>
          </w:r>
          <w:r w:rsidR="003D6881" w:rsidRPr="002815F4">
            <w:rPr>
              <w:rFonts w:ascii="Calibri" w:hAnsi="Calibri"/>
            </w:rPr>
            <w:instrText xml:space="preserve"> CITATION Sen15 \l 1033 </w:instrText>
          </w:r>
          <w:r w:rsidR="003D6881" w:rsidRPr="002815F4">
            <w:rPr>
              <w:rFonts w:ascii="Calibri" w:hAnsi="Calibri"/>
            </w:rPr>
            <w:fldChar w:fldCharType="separate"/>
          </w:r>
          <w:r w:rsidR="003E626E" w:rsidRPr="002815F4">
            <w:rPr>
              <w:rFonts w:ascii="Calibri" w:hAnsi="Calibri"/>
              <w:noProof/>
            </w:rPr>
            <w:t>(SenePlus, 2015)</w:t>
          </w:r>
          <w:r w:rsidR="003D6881" w:rsidRPr="002815F4">
            <w:rPr>
              <w:rFonts w:ascii="Calibri" w:hAnsi="Calibri"/>
            </w:rPr>
            <w:fldChar w:fldCharType="end"/>
          </w:r>
        </w:sdtContent>
      </w:sdt>
      <w:r w:rsidR="003D6881" w:rsidRPr="002815F4">
        <w:rPr>
          <w:rFonts w:ascii="Calibri" w:hAnsi="Calibri"/>
        </w:rPr>
        <w:t xml:space="preserve">. </w:t>
      </w:r>
      <w:r w:rsidR="00E22AE3" w:rsidRPr="002815F4">
        <w:rPr>
          <w:rFonts w:ascii="Calibri" w:hAnsi="Calibri"/>
        </w:rPr>
        <w:t>Analysis of MSG meeting minutes shows that the CSO MSG members based in the regions have played a key coordinating role for dissemination activities at the local level</w:t>
      </w:r>
      <w:r w:rsidR="00DA7E8B">
        <w:rPr>
          <w:rFonts w:ascii="Calibri" w:hAnsi="Calibri"/>
        </w:rPr>
        <w:t xml:space="preserve">, which have </w:t>
      </w:r>
      <w:r w:rsidR="002B5318" w:rsidRPr="002815F4">
        <w:rPr>
          <w:rFonts w:ascii="Calibri" w:hAnsi="Calibri"/>
        </w:rPr>
        <w:t>yielded calls for establishing subnational multi-stakeholder councils as decentralised regular consultation mechanism</w:t>
      </w:r>
      <w:r w:rsidR="00DA7E8B">
        <w:rPr>
          <w:rFonts w:ascii="Calibri" w:hAnsi="Calibri"/>
        </w:rPr>
        <w:t>s</w:t>
      </w:r>
      <w:r w:rsidR="002B5318" w:rsidRPr="002815F4">
        <w:rPr>
          <w:rFonts w:ascii="Calibri" w:hAnsi="Calibri"/>
        </w:rPr>
        <w:t xml:space="preserve"> </w:t>
      </w:r>
      <w:sdt>
        <w:sdtPr>
          <w:rPr>
            <w:rFonts w:ascii="Calibri" w:hAnsi="Calibri"/>
          </w:rPr>
          <w:id w:val="-359668024"/>
          <w:citation/>
        </w:sdtPr>
        <w:sdtEndPr/>
        <w:sdtContent>
          <w:r w:rsidR="002B5318" w:rsidRPr="002815F4">
            <w:rPr>
              <w:rFonts w:ascii="Calibri" w:hAnsi="Calibri"/>
            </w:rPr>
            <w:fldChar w:fldCharType="begin"/>
          </w:r>
          <w:r w:rsidR="002B5318" w:rsidRPr="002815F4">
            <w:rPr>
              <w:rFonts w:ascii="Calibri" w:hAnsi="Calibri"/>
            </w:rPr>
            <w:instrText xml:space="preserve"> CITATION ITI1532 \l 1033 </w:instrText>
          </w:r>
          <w:r w:rsidR="002B5318" w:rsidRPr="002815F4">
            <w:rPr>
              <w:rFonts w:ascii="Calibri" w:hAnsi="Calibri"/>
            </w:rPr>
            <w:fldChar w:fldCharType="separate"/>
          </w:r>
          <w:r w:rsidR="003E626E" w:rsidRPr="002815F4">
            <w:rPr>
              <w:rFonts w:ascii="Calibri" w:hAnsi="Calibri"/>
              <w:noProof/>
            </w:rPr>
            <w:t>(ITIE Senegal, 2015)</w:t>
          </w:r>
          <w:r w:rsidR="002B5318" w:rsidRPr="002815F4">
            <w:rPr>
              <w:rFonts w:ascii="Calibri" w:hAnsi="Calibri"/>
            </w:rPr>
            <w:fldChar w:fldCharType="end"/>
          </w:r>
        </w:sdtContent>
      </w:sdt>
      <w:sdt>
        <w:sdtPr>
          <w:rPr>
            <w:rFonts w:ascii="Calibri" w:hAnsi="Calibri"/>
          </w:rPr>
          <w:id w:val="-1502425241"/>
          <w:citation/>
        </w:sdtPr>
        <w:sdtEndPr/>
        <w:sdtContent>
          <w:r w:rsidR="00012041" w:rsidRPr="002815F4">
            <w:rPr>
              <w:rFonts w:ascii="Calibri" w:hAnsi="Calibri"/>
            </w:rPr>
            <w:fldChar w:fldCharType="begin"/>
          </w:r>
          <w:r w:rsidR="00012041" w:rsidRPr="002815F4">
            <w:rPr>
              <w:rFonts w:ascii="Calibri" w:hAnsi="Calibri"/>
            </w:rPr>
            <w:instrText xml:space="preserve"> CITATION ITI1540 \l 1033 </w:instrText>
          </w:r>
          <w:r w:rsidR="00012041" w:rsidRPr="002815F4">
            <w:rPr>
              <w:rFonts w:ascii="Calibri" w:hAnsi="Calibri"/>
            </w:rPr>
            <w:fldChar w:fldCharType="separate"/>
          </w:r>
          <w:r w:rsidR="003E626E" w:rsidRPr="002815F4">
            <w:rPr>
              <w:rFonts w:ascii="Calibri" w:hAnsi="Calibri"/>
              <w:noProof/>
            </w:rPr>
            <w:t xml:space="preserve"> (ITIE Senegal, 2015)</w:t>
          </w:r>
          <w:r w:rsidR="00012041" w:rsidRPr="002815F4">
            <w:rPr>
              <w:rFonts w:ascii="Calibri" w:hAnsi="Calibri"/>
            </w:rPr>
            <w:fldChar w:fldCharType="end"/>
          </w:r>
        </w:sdtContent>
      </w:sdt>
      <w:r w:rsidR="000C54BB" w:rsidRPr="002815F4">
        <w:rPr>
          <w:rFonts w:ascii="Calibri" w:hAnsi="Calibri"/>
        </w:rPr>
        <w:t xml:space="preserve">. </w:t>
      </w:r>
      <w:r w:rsidR="00DA7E8B" w:rsidRPr="002815F4">
        <w:rPr>
          <w:rFonts w:ascii="Calibri" w:hAnsi="Calibri"/>
        </w:rPr>
        <w:t xml:space="preserve">Senegal’s 2016 EITI annual progress report highlights the launch of subnational implementation in Kédougou as a key achievement of 2016 </w:t>
      </w:r>
      <w:sdt>
        <w:sdtPr>
          <w:id w:val="-303245056"/>
          <w:citation/>
        </w:sdtPr>
        <w:sdtEndPr/>
        <w:sdtContent>
          <w:r w:rsidR="00DA7E8B" w:rsidRPr="002815F4">
            <w:fldChar w:fldCharType="begin"/>
          </w:r>
          <w:r w:rsidR="00DA7E8B" w:rsidRPr="002815F4">
            <w:instrText xml:space="preserve">CITATION ITI1725 \p 8 \t  \l 1033 </w:instrText>
          </w:r>
          <w:r w:rsidR="00DA7E8B" w:rsidRPr="002815F4">
            <w:fldChar w:fldCharType="separate"/>
          </w:r>
          <w:r w:rsidR="00DA7E8B">
            <w:rPr>
              <w:noProof/>
            </w:rPr>
            <w:t>(ITIE Senegal, 2017, p. 8)</w:t>
          </w:r>
          <w:r w:rsidR="00DA7E8B" w:rsidRPr="002815F4">
            <w:fldChar w:fldCharType="end"/>
          </w:r>
        </w:sdtContent>
      </w:sdt>
      <w:r w:rsidR="00DA7E8B" w:rsidRPr="002815F4">
        <w:t>.</w:t>
      </w:r>
      <w:r w:rsidR="00DA7E8B">
        <w:t xml:space="preserve"> </w:t>
      </w:r>
      <w:r w:rsidR="00DA225B" w:rsidRPr="002815F4">
        <w:rPr>
          <w:rFonts w:ascii="Calibri" w:hAnsi="Calibri"/>
        </w:rPr>
        <w:t xml:space="preserve">Regional outreach </w:t>
      </w:r>
      <w:r w:rsidR="002815F4" w:rsidRPr="002815F4">
        <w:rPr>
          <w:rFonts w:ascii="Calibri" w:hAnsi="Calibri"/>
        </w:rPr>
        <w:t>has</w:t>
      </w:r>
      <w:r w:rsidR="00DA225B" w:rsidRPr="002815F4">
        <w:rPr>
          <w:rFonts w:ascii="Calibri" w:hAnsi="Calibri"/>
        </w:rPr>
        <w:t xml:space="preserve"> garnered significant media attention, including on </w:t>
      </w:r>
      <w:r w:rsidR="00DA7E8B">
        <w:rPr>
          <w:rFonts w:ascii="Calibri" w:hAnsi="Calibri"/>
        </w:rPr>
        <w:t xml:space="preserve">national </w:t>
      </w:r>
      <w:r w:rsidR="00DA225B" w:rsidRPr="002815F4">
        <w:rPr>
          <w:rFonts w:ascii="Calibri" w:hAnsi="Calibri"/>
        </w:rPr>
        <w:t>TV</w:t>
      </w:r>
      <w:r w:rsidR="00DA225B" w:rsidRPr="002815F4">
        <w:rPr>
          <w:rStyle w:val="FootnoteReference"/>
          <w:rFonts w:ascii="Calibri" w:hAnsi="Calibri"/>
        </w:rPr>
        <w:footnoteReference w:id="90"/>
      </w:r>
      <w:r w:rsidR="00DA225B" w:rsidRPr="002815F4">
        <w:rPr>
          <w:rFonts w:ascii="Calibri" w:hAnsi="Calibri"/>
        </w:rPr>
        <w:t>. A key aspect of EITI Senegal’s five-year strategic plan (2017-2021) are the “EITI Conferences”</w:t>
      </w:r>
      <w:r w:rsidR="00B515FB" w:rsidRPr="002815F4">
        <w:rPr>
          <w:rStyle w:val="FootnoteReference"/>
          <w:rFonts w:ascii="Calibri" w:hAnsi="Calibri"/>
        </w:rPr>
        <w:footnoteReference w:id="91"/>
      </w:r>
      <w:r w:rsidR="00DA225B" w:rsidRPr="002815F4">
        <w:rPr>
          <w:rFonts w:ascii="Calibri" w:hAnsi="Calibri"/>
        </w:rPr>
        <w:t>, multi-stakeholder dialogues on extractives governance that started in April 2017</w:t>
      </w:r>
      <w:sdt>
        <w:sdtPr>
          <w:rPr>
            <w:rFonts w:ascii="Calibri" w:hAnsi="Calibri"/>
          </w:rPr>
          <w:id w:val="1590270965"/>
          <w:citation/>
        </w:sdtPr>
        <w:sdtEndPr/>
        <w:sdtContent>
          <w:r w:rsidR="007E30F4" w:rsidRPr="002815F4">
            <w:rPr>
              <w:rFonts w:ascii="Calibri" w:hAnsi="Calibri"/>
            </w:rPr>
            <w:fldChar w:fldCharType="begin"/>
          </w:r>
          <w:r w:rsidR="007E30F4" w:rsidRPr="002815F4">
            <w:rPr>
              <w:rFonts w:ascii="Calibri" w:hAnsi="Calibri"/>
            </w:rPr>
            <w:instrText xml:space="preserve"> CITATION ITI1717 \l 1033 </w:instrText>
          </w:r>
          <w:r w:rsidR="007E30F4" w:rsidRPr="002815F4">
            <w:rPr>
              <w:rFonts w:ascii="Calibri" w:hAnsi="Calibri"/>
            </w:rPr>
            <w:fldChar w:fldCharType="separate"/>
          </w:r>
          <w:r w:rsidR="003E626E" w:rsidRPr="002815F4">
            <w:rPr>
              <w:rFonts w:ascii="Calibri" w:hAnsi="Calibri"/>
              <w:noProof/>
            </w:rPr>
            <w:t xml:space="preserve"> (ITIE Senegal, 2017)</w:t>
          </w:r>
          <w:r w:rsidR="007E30F4" w:rsidRPr="002815F4">
            <w:rPr>
              <w:rFonts w:ascii="Calibri" w:hAnsi="Calibri"/>
            </w:rPr>
            <w:fldChar w:fldCharType="end"/>
          </w:r>
        </w:sdtContent>
      </w:sdt>
      <w:r w:rsidR="00FD2DDD" w:rsidRPr="002815F4">
        <w:rPr>
          <w:rFonts w:ascii="Calibri" w:hAnsi="Calibri"/>
        </w:rPr>
        <w:t xml:space="preserve"> </w:t>
      </w:r>
      <w:sdt>
        <w:sdtPr>
          <w:rPr>
            <w:rFonts w:ascii="Calibri" w:hAnsi="Calibri"/>
          </w:rPr>
          <w:id w:val="1110621744"/>
          <w:citation/>
        </w:sdtPr>
        <w:sdtEndPr/>
        <w:sdtContent>
          <w:r w:rsidR="00FD2DDD" w:rsidRPr="002815F4">
            <w:rPr>
              <w:rFonts w:ascii="Calibri" w:hAnsi="Calibri"/>
            </w:rPr>
            <w:fldChar w:fldCharType="begin"/>
          </w:r>
          <w:r w:rsidR="00FD2DDD" w:rsidRPr="002815F4">
            <w:rPr>
              <w:rFonts w:ascii="Calibri" w:hAnsi="Calibri"/>
            </w:rPr>
            <w:instrText xml:space="preserve"> CITATION ITI178 \l 1033 </w:instrText>
          </w:r>
          <w:r w:rsidR="00FD2DDD" w:rsidRPr="002815F4">
            <w:rPr>
              <w:rFonts w:ascii="Calibri" w:hAnsi="Calibri"/>
            </w:rPr>
            <w:fldChar w:fldCharType="separate"/>
          </w:r>
          <w:r w:rsidR="003E626E" w:rsidRPr="002815F4">
            <w:rPr>
              <w:rFonts w:ascii="Calibri" w:hAnsi="Calibri"/>
              <w:noProof/>
            </w:rPr>
            <w:t>(ITIE Senegal, 2017)</w:t>
          </w:r>
          <w:r w:rsidR="00FD2DDD" w:rsidRPr="002815F4">
            <w:rPr>
              <w:rFonts w:ascii="Calibri" w:hAnsi="Calibri"/>
            </w:rPr>
            <w:fldChar w:fldCharType="end"/>
          </w:r>
        </w:sdtContent>
      </w:sdt>
      <w:r w:rsidR="00DA225B" w:rsidRPr="002815F4">
        <w:rPr>
          <w:rFonts w:ascii="Calibri" w:hAnsi="Calibri"/>
        </w:rPr>
        <w:t xml:space="preserve">. </w:t>
      </w:r>
      <w:r w:rsidR="00F4427C" w:rsidRPr="002815F4">
        <w:t xml:space="preserve">The MSG has also combined capacity building for its members with </w:t>
      </w:r>
      <w:r w:rsidR="00E2120E" w:rsidRPr="002815F4">
        <w:t xml:space="preserve">outreach, holding site visits to </w:t>
      </w:r>
      <w:r w:rsidR="00DA7E8B">
        <w:t xml:space="preserve">key </w:t>
      </w:r>
      <w:r w:rsidR="00E2120E" w:rsidRPr="002815F4">
        <w:t>mine</w:t>
      </w:r>
      <w:r w:rsidR="00DA7E8B">
        <w:t xml:space="preserve"> sites</w:t>
      </w:r>
      <w:r w:rsidR="00DA7E8B">
        <w:rPr>
          <w:rStyle w:val="FootnoteReference"/>
        </w:rPr>
        <w:footnoteReference w:id="92"/>
      </w:r>
      <w:r w:rsidR="00E2120E" w:rsidRPr="002815F4">
        <w:t xml:space="preserve"> in 2014-2017 </w:t>
      </w:r>
      <w:sdt>
        <w:sdtPr>
          <w:id w:val="-1481370536"/>
          <w:citation/>
        </w:sdtPr>
        <w:sdtEndPr/>
        <w:sdtContent>
          <w:r w:rsidR="00E2120E" w:rsidRPr="002815F4">
            <w:fldChar w:fldCharType="begin"/>
          </w:r>
          <w:r w:rsidR="00E2120E" w:rsidRPr="002815F4">
            <w:instrText xml:space="preserve"> CITATION ITI1726 \l 1033 </w:instrText>
          </w:r>
          <w:r w:rsidR="00E2120E" w:rsidRPr="002815F4">
            <w:fldChar w:fldCharType="separate"/>
          </w:r>
          <w:r w:rsidR="003E626E" w:rsidRPr="002815F4">
            <w:rPr>
              <w:noProof/>
            </w:rPr>
            <w:t>(ITIE Senegal, 2017)</w:t>
          </w:r>
          <w:r w:rsidR="00E2120E" w:rsidRPr="002815F4">
            <w:fldChar w:fldCharType="end"/>
          </w:r>
        </w:sdtContent>
      </w:sdt>
      <w:r w:rsidR="00E2120E" w:rsidRPr="002815F4">
        <w:t xml:space="preserve">. </w:t>
      </w:r>
    </w:p>
    <w:p w14:paraId="51E275CB" w14:textId="1628A319" w:rsidR="002804EC" w:rsidRPr="002815F4" w:rsidRDefault="00DF708D" w:rsidP="00276854">
      <w:pPr>
        <w:spacing w:before="120"/>
        <w:rPr>
          <w:rFonts w:ascii="Calibri" w:hAnsi="Calibri"/>
        </w:rPr>
      </w:pPr>
      <w:r w:rsidRPr="002815F4">
        <w:rPr>
          <w:rFonts w:ascii="Calibri" w:hAnsi="Calibri"/>
          <w:i/>
          <w:u w:val="single"/>
        </w:rPr>
        <w:t>Public accessibility:</w:t>
      </w:r>
      <w:r w:rsidRPr="002815F4">
        <w:rPr>
          <w:rFonts w:ascii="Calibri" w:hAnsi="Calibri"/>
        </w:rPr>
        <w:t xml:space="preserve"> </w:t>
      </w:r>
      <w:r w:rsidR="003D6881" w:rsidRPr="002815F4">
        <w:rPr>
          <w:rFonts w:ascii="Calibri" w:hAnsi="Calibri"/>
        </w:rPr>
        <w:t>The Senegal EITI Secretariat and MSG have been proactive in ensuring the public accessibility of EITI information both through online channels, in hard copy through dissemination and outreach events and through ‘use of data’ events and trainings.</w:t>
      </w:r>
      <w:r w:rsidR="00845F3F" w:rsidRPr="002815F4">
        <w:rPr>
          <w:rFonts w:ascii="Calibri" w:hAnsi="Calibri"/>
        </w:rPr>
        <w:t xml:space="preserve"> The secretariat has </w:t>
      </w:r>
      <w:r w:rsidR="00DA7E8B">
        <w:rPr>
          <w:rFonts w:ascii="Calibri" w:hAnsi="Calibri"/>
        </w:rPr>
        <w:t>continuously improved</w:t>
      </w:r>
      <w:r w:rsidR="00845F3F" w:rsidRPr="002815F4">
        <w:rPr>
          <w:rFonts w:ascii="Calibri" w:hAnsi="Calibri"/>
        </w:rPr>
        <w:t xml:space="preserve"> the website’s user interface design and restructured the content architecture</w:t>
      </w:r>
      <w:r w:rsidR="00DA7E8B" w:rsidRPr="002815F4">
        <w:rPr>
          <w:rFonts w:ascii="Calibri" w:hAnsi="Calibri"/>
        </w:rPr>
        <w:t>, adding visualisations of data in EITI Reports and articles from relevant third-party sources</w:t>
      </w:r>
      <w:r w:rsidR="00845F3F" w:rsidRPr="002815F4">
        <w:rPr>
          <w:rFonts w:ascii="Calibri" w:hAnsi="Calibri"/>
        </w:rPr>
        <w:t>. Active official social media accounts are maintained on Twitter</w:t>
      </w:r>
      <w:r w:rsidR="00845F3F" w:rsidRPr="002815F4">
        <w:rPr>
          <w:rStyle w:val="FootnoteReference"/>
          <w:rFonts w:ascii="Calibri" w:hAnsi="Calibri"/>
        </w:rPr>
        <w:footnoteReference w:id="93"/>
      </w:r>
      <w:r w:rsidR="004B2C00" w:rsidRPr="002815F4">
        <w:rPr>
          <w:rFonts w:ascii="Calibri" w:hAnsi="Calibri"/>
        </w:rPr>
        <w:t>, Google Plus</w:t>
      </w:r>
      <w:r w:rsidR="004B2C00" w:rsidRPr="002815F4">
        <w:rPr>
          <w:rStyle w:val="FootnoteReference"/>
          <w:rFonts w:ascii="Calibri" w:hAnsi="Calibri"/>
        </w:rPr>
        <w:footnoteReference w:id="94"/>
      </w:r>
      <w:r w:rsidR="004B2C00" w:rsidRPr="002815F4">
        <w:rPr>
          <w:rFonts w:ascii="Calibri" w:hAnsi="Calibri"/>
        </w:rPr>
        <w:t xml:space="preserve"> and YouTube</w:t>
      </w:r>
      <w:r w:rsidR="004B2C00" w:rsidRPr="002815F4">
        <w:rPr>
          <w:rStyle w:val="FootnoteReference"/>
          <w:rFonts w:ascii="Calibri" w:hAnsi="Calibri"/>
        </w:rPr>
        <w:footnoteReference w:id="95"/>
      </w:r>
      <w:r w:rsidR="00845F3F" w:rsidRPr="002815F4">
        <w:rPr>
          <w:rFonts w:ascii="Calibri" w:hAnsi="Calibri"/>
        </w:rPr>
        <w:t>.</w:t>
      </w:r>
      <w:r w:rsidR="00FD2DDD" w:rsidRPr="002815F4">
        <w:rPr>
          <w:rFonts w:ascii="Calibri" w:hAnsi="Calibri"/>
        </w:rPr>
        <w:t xml:space="preserve"> EITI Senegal has produced documentar</w:t>
      </w:r>
      <w:r w:rsidR="00B515FB" w:rsidRPr="002815F4">
        <w:rPr>
          <w:rFonts w:ascii="Calibri" w:hAnsi="Calibri"/>
        </w:rPr>
        <w:t>ies on EITI, most recently a 16</w:t>
      </w:r>
      <w:r w:rsidR="00C871A8" w:rsidRPr="002815F4">
        <w:rPr>
          <w:rFonts w:ascii="Calibri" w:hAnsi="Calibri"/>
        </w:rPr>
        <w:t>-</w:t>
      </w:r>
      <w:r w:rsidR="00FD2DDD" w:rsidRPr="002815F4">
        <w:rPr>
          <w:rFonts w:ascii="Calibri" w:hAnsi="Calibri"/>
        </w:rPr>
        <w:t xml:space="preserve">min film in March 2017 </w:t>
      </w:r>
      <w:sdt>
        <w:sdtPr>
          <w:rPr>
            <w:rFonts w:ascii="Calibri" w:hAnsi="Calibri"/>
          </w:rPr>
          <w:id w:val="1834023821"/>
          <w:citation/>
        </w:sdtPr>
        <w:sdtEndPr/>
        <w:sdtContent>
          <w:r w:rsidR="00FD2DDD" w:rsidRPr="002815F4">
            <w:rPr>
              <w:rFonts w:ascii="Calibri" w:hAnsi="Calibri"/>
            </w:rPr>
            <w:fldChar w:fldCharType="begin"/>
          </w:r>
          <w:r w:rsidR="00FD2DDD" w:rsidRPr="002815F4">
            <w:rPr>
              <w:rFonts w:ascii="Calibri" w:hAnsi="Calibri"/>
            </w:rPr>
            <w:instrText xml:space="preserve"> CITATION ITI1712 \l 1033 </w:instrText>
          </w:r>
          <w:r w:rsidR="00FD2DDD" w:rsidRPr="002815F4">
            <w:rPr>
              <w:rFonts w:ascii="Calibri" w:hAnsi="Calibri"/>
            </w:rPr>
            <w:fldChar w:fldCharType="separate"/>
          </w:r>
          <w:r w:rsidR="003E626E" w:rsidRPr="002815F4">
            <w:rPr>
              <w:rFonts w:ascii="Calibri" w:hAnsi="Calibri"/>
              <w:noProof/>
            </w:rPr>
            <w:t>(ITIE Senegal, 2017)</w:t>
          </w:r>
          <w:r w:rsidR="00FD2DDD" w:rsidRPr="002815F4">
            <w:rPr>
              <w:rFonts w:ascii="Calibri" w:hAnsi="Calibri"/>
            </w:rPr>
            <w:fldChar w:fldCharType="end"/>
          </w:r>
        </w:sdtContent>
      </w:sdt>
      <w:r w:rsidR="00FD2DDD" w:rsidRPr="002815F4">
        <w:rPr>
          <w:rFonts w:ascii="Calibri" w:hAnsi="Calibri"/>
        </w:rPr>
        <w:t>.</w:t>
      </w:r>
      <w:r w:rsidR="00DA7E8B">
        <w:rPr>
          <w:rFonts w:ascii="Calibri" w:hAnsi="Calibri"/>
        </w:rPr>
        <w:t xml:space="preserve"> </w:t>
      </w:r>
      <w:r w:rsidR="00FD2DDD" w:rsidRPr="002815F4">
        <w:rPr>
          <w:rFonts w:ascii="Calibri" w:hAnsi="Calibri"/>
        </w:rPr>
        <w:t>The Senegal EITI Secretariat and MSG have also undertaken efforts to make the data more accessible and generate use of data, for instance through training workshops for investigative journalists in Kedougou and briefings to Parliamentarians</w:t>
      </w:r>
      <w:r w:rsidR="00E22AE3" w:rsidRPr="002815F4">
        <w:rPr>
          <w:rFonts w:ascii="Calibri" w:hAnsi="Calibri"/>
        </w:rPr>
        <w:t>.</w:t>
      </w:r>
      <w:r w:rsidR="00DA7E8B" w:rsidRPr="002815F4" w:rsidDel="00DA7E8B">
        <w:rPr>
          <w:rFonts w:ascii="Calibri" w:hAnsi="Calibri"/>
        </w:rPr>
        <w:t xml:space="preserve"> </w:t>
      </w:r>
      <w:r w:rsidR="0078257C" w:rsidRPr="002815F4">
        <w:rPr>
          <w:rFonts w:ascii="Calibri" w:hAnsi="Calibri"/>
        </w:rPr>
        <w:t xml:space="preserve">In July 2015, </w:t>
      </w:r>
      <w:r w:rsidR="00FD2DDD" w:rsidRPr="002815F4">
        <w:rPr>
          <w:rFonts w:ascii="Calibri" w:hAnsi="Calibri"/>
        </w:rPr>
        <w:t xml:space="preserve">the </w:t>
      </w:r>
      <w:r w:rsidR="00DA7E8B">
        <w:rPr>
          <w:rFonts w:ascii="Calibri" w:hAnsi="Calibri"/>
        </w:rPr>
        <w:t>s</w:t>
      </w:r>
      <w:r w:rsidR="00FD2DDD" w:rsidRPr="002815F4">
        <w:rPr>
          <w:rFonts w:ascii="Calibri" w:hAnsi="Calibri"/>
        </w:rPr>
        <w:t xml:space="preserve">ecretariat </w:t>
      </w:r>
      <w:r w:rsidR="0078257C" w:rsidRPr="002815F4">
        <w:rPr>
          <w:rFonts w:ascii="Calibri" w:hAnsi="Calibri"/>
        </w:rPr>
        <w:t xml:space="preserve">recruited a database manager </w:t>
      </w:r>
      <w:r w:rsidR="00FD2DDD" w:rsidRPr="002815F4">
        <w:rPr>
          <w:rFonts w:ascii="Calibri" w:hAnsi="Calibri"/>
        </w:rPr>
        <w:t xml:space="preserve">to </w:t>
      </w:r>
      <w:r w:rsidR="0078257C" w:rsidRPr="002815F4">
        <w:rPr>
          <w:rFonts w:ascii="Calibri" w:hAnsi="Calibri"/>
        </w:rPr>
        <w:t xml:space="preserve">work with key government entities to embed EITI </w:t>
      </w:r>
      <w:r w:rsidR="00FD2DDD" w:rsidRPr="002815F4">
        <w:rPr>
          <w:rFonts w:ascii="Calibri" w:hAnsi="Calibri"/>
        </w:rPr>
        <w:t xml:space="preserve">reporting </w:t>
      </w:r>
      <w:r w:rsidR="0078257C" w:rsidRPr="002815F4">
        <w:rPr>
          <w:rFonts w:ascii="Calibri" w:hAnsi="Calibri"/>
        </w:rPr>
        <w:t xml:space="preserve">in regular systems like websites </w:t>
      </w:r>
      <w:sdt>
        <w:sdtPr>
          <w:rPr>
            <w:rFonts w:ascii="Calibri" w:hAnsi="Calibri"/>
          </w:rPr>
          <w:id w:val="-2132314432"/>
          <w:citation/>
        </w:sdtPr>
        <w:sdtEndPr/>
        <w:sdtContent>
          <w:r w:rsidR="0078257C" w:rsidRPr="002815F4">
            <w:rPr>
              <w:rFonts w:ascii="Calibri" w:hAnsi="Calibri"/>
            </w:rPr>
            <w:fldChar w:fldCharType="begin"/>
          </w:r>
          <w:r w:rsidR="0078257C" w:rsidRPr="002815F4">
            <w:rPr>
              <w:rFonts w:ascii="Calibri" w:hAnsi="Calibri"/>
            </w:rPr>
            <w:instrText xml:space="preserve"> CITATION ITI1524 \l 1033 </w:instrText>
          </w:r>
          <w:r w:rsidR="0078257C" w:rsidRPr="002815F4">
            <w:rPr>
              <w:rFonts w:ascii="Calibri" w:hAnsi="Calibri"/>
            </w:rPr>
            <w:fldChar w:fldCharType="separate"/>
          </w:r>
          <w:r w:rsidR="003E626E" w:rsidRPr="002815F4">
            <w:rPr>
              <w:rFonts w:ascii="Calibri" w:hAnsi="Calibri"/>
              <w:noProof/>
            </w:rPr>
            <w:t>(ITIE Senegal, 2015)</w:t>
          </w:r>
          <w:r w:rsidR="0078257C" w:rsidRPr="002815F4">
            <w:rPr>
              <w:rFonts w:ascii="Calibri" w:hAnsi="Calibri"/>
            </w:rPr>
            <w:fldChar w:fldCharType="end"/>
          </w:r>
        </w:sdtContent>
      </w:sdt>
      <w:r w:rsidR="00FD2DDD" w:rsidRPr="002815F4">
        <w:rPr>
          <w:rFonts w:ascii="Calibri" w:hAnsi="Calibri"/>
        </w:rPr>
        <w:t xml:space="preserve">. Senegal </w:t>
      </w:r>
      <w:r w:rsidR="00FD2DDD" w:rsidRPr="002815F4">
        <w:rPr>
          <w:rFonts w:ascii="Calibri" w:hAnsi="Calibri"/>
        </w:rPr>
        <w:lastRenderedPageBreak/>
        <w:t>intends to leverage on its work in embedding reporting of EITI open data through regular government and company systems for other open contracting and open data work</w:t>
      </w:r>
      <w:sdt>
        <w:sdtPr>
          <w:rPr>
            <w:rFonts w:ascii="Calibri" w:hAnsi="Calibri"/>
          </w:rPr>
          <w:id w:val="1930151705"/>
          <w:citation/>
        </w:sdtPr>
        <w:sdtEndPr/>
        <w:sdtContent>
          <w:r w:rsidR="002804EC" w:rsidRPr="002815F4">
            <w:rPr>
              <w:rFonts w:ascii="Calibri" w:hAnsi="Calibri"/>
            </w:rPr>
            <w:fldChar w:fldCharType="begin"/>
          </w:r>
          <w:r w:rsidR="002804EC" w:rsidRPr="002815F4">
            <w:rPr>
              <w:rFonts w:ascii="Calibri" w:hAnsi="Calibri"/>
            </w:rPr>
            <w:instrText xml:space="preserve"> CITATION Ope17 \l 1033 </w:instrText>
          </w:r>
          <w:r w:rsidR="002804EC" w:rsidRPr="002815F4">
            <w:rPr>
              <w:rFonts w:ascii="Calibri" w:hAnsi="Calibri"/>
            </w:rPr>
            <w:fldChar w:fldCharType="separate"/>
          </w:r>
          <w:r w:rsidR="003E626E" w:rsidRPr="002815F4">
            <w:rPr>
              <w:rFonts w:ascii="Calibri" w:hAnsi="Calibri"/>
              <w:noProof/>
            </w:rPr>
            <w:t xml:space="preserve"> (Open Contracting Partnership, 2017)</w:t>
          </w:r>
          <w:r w:rsidR="002804EC" w:rsidRPr="002815F4">
            <w:rPr>
              <w:rFonts w:ascii="Calibri" w:hAnsi="Calibri"/>
            </w:rPr>
            <w:fldChar w:fldCharType="end"/>
          </w:r>
        </w:sdtContent>
      </w:sdt>
      <w:r w:rsidR="00FD2DDD" w:rsidRPr="002815F4">
        <w:rPr>
          <w:rFonts w:ascii="Calibri" w:hAnsi="Calibri"/>
        </w:rPr>
        <w:t xml:space="preserve">. </w:t>
      </w:r>
      <w:r w:rsidR="00E22AE3" w:rsidRPr="002815F4">
        <w:rPr>
          <w:rFonts w:ascii="Calibri" w:hAnsi="Calibri"/>
        </w:rPr>
        <w:t xml:space="preserve">The </w:t>
      </w:r>
      <w:r w:rsidR="00DA7E8B">
        <w:rPr>
          <w:rFonts w:ascii="Calibri" w:hAnsi="Calibri"/>
        </w:rPr>
        <w:t>s</w:t>
      </w:r>
      <w:r w:rsidR="00E22AE3" w:rsidRPr="002815F4">
        <w:rPr>
          <w:rFonts w:ascii="Calibri" w:hAnsi="Calibri"/>
        </w:rPr>
        <w:t xml:space="preserve">ecretariat has drafted ToR for the Treasury to implement extractives-specific revenue nomenclature (GFSe) according to GFS-2014 standards. </w:t>
      </w:r>
      <w:r w:rsidR="00FD2DDD" w:rsidRPr="002815F4">
        <w:rPr>
          <w:rFonts w:ascii="Calibri" w:hAnsi="Calibri"/>
        </w:rPr>
        <w:t xml:space="preserve">With support from the </w:t>
      </w:r>
      <w:r w:rsidR="002804EC" w:rsidRPr="002815F4">
        <w:rPr>
          <w:rFonts w:ascii="Calibri" w:hAnsi="Calibri"/>
        </w:rPr>
        <w:t>Open Society Initiative for West Africa (OSIWA)</w:t>
      </w:r>
      <w:r w:rsidR="00FD2DDD" w:rsidRPr="002815F4">
        <w:rPr>
          <w:rFonts w:ascii="Calibri" w:hAnsi="Calibri"/>
        </w:rPr>
        <w:t>,</w:t>
      </w:r>
      <w:r w:rsidR="002804EC" w:rsidRPr="002815F4">
        <w:rPr>
          <w:rFonts w:ascii="Calibri" w:hAnsi="Calibri"/>
        </w:rPr>
        <w:t xml:space="preserve"> </w:t>
      </w:r>
      <w:r w:rsidR="00FD2DDD" w:rsidRPr="002815F4">
        <w:rPr>
          <w:rFonts w:ascii="Calibri" w:hAnsi="Calibri"/>
        </w:rPr>
        <w:t xml:space="preserve">EITI Senegal is planning to develop an open data portal integrating government data sources </w:t>
      </w:r>
      <w:sdt>
        <w:sdtPr>
          <w:rPr>
            <w:rFonts w:ascii="Calibri" w:hAnsi="Calibri"/>
          </w:rPr>
          <w:id w:val="504635691"/>
          <w:citation/>
        </w:sdtPr>
        <w:sdtEndPr/>
        <w:sdtContent>
          <w:r w:rsidR="002804EC" w:rsidRPr="002815F4">
            <w:rPr>
              <w:rFonts w:ascii="Calibri" w:hAnsi="Calibri"/>
            </w:rPr>
            <w:fldChar w:fldCharType="begin"/>
          </w:r>
          <w:r w:rsidR="002804EC" w:rsidRPr="002815F4">
            <w:rPr>
              <w:rFonts w:ascii="Calibri" w:hAnsi="Calibri"/>
            </w:rPr>
            <w:instrText xml:space="preserve"> CITATION Ope17 \l 1033 </w:instrText>
          </w:r>
          <w:r w:rsidR="002804EC" w:rsidRPr="002815F4">
            <w:rPr>
              <w:rFonts w:ascii="Calibri" w:hAnsi="Calibri"/>
            </w:rPr>
            <w:fldChar w:fldCharType="separate"/>
          </w:r>
          <w:r w:rsidR="003E626E" w:rsidRPr="002815F4">
            <w:rPr>
              <w:rFonts w:ascii="Calibri" w:hAnsi="Calibri"/>
              <w:noProof/>
            </w:rPr>
            <w:t>(Open Contracting Partnership, 2017)</w:t>
          </w:r>
          <w:r w:rsidR="002804EC" w:rsidRPr="002815F4">
            <w:rPr>
              <w:rFonts w:ascii="Calibri" w:hAnsi="Calibri"/>
            </w:rPr>
            <w:fldChar w:fldCharType="end"/>
          </w:r>
        </w:sdtContent>
      </w:sdt>
      <w:r w:rsidR="00BA2901" w:rsidRPr="002815F4">
        <w:rPr>
          <w:rFonts w:ascii="Calibri" w:hAnsi="Calibri"/>
        </w:rPr>
        <w:t xml:space="preserve">. </w:t>
      </w:r>
      <w:r w:rsidR="00EB24D6" w:rsidRPr="002815F4">
        <w:rPr>
          <w:rFonts w:ascii="Calibri" w:hAnsi="Calibri"/>
        </w:rPr>
        <w:t xml:space="preserve">The MSG has also supported reforms to the mining cadastre’s Flexicadastre software and worked with government entities to facilitate collection of EITI data from government databases </w:t>
      </w:r>
      <w:sdt>
        <w:sdtPr>
          <w:rPr>
            <w:rFonts w:ascii="Calibri" w:hAnsi="Calibri"/>
          </w:rPr>
          <w:id w:val="757635646"/>
          <w:citation/>
        </w:sdtPr>
        <w:sdtEndPr/>
        <w:sdtContent>
          <w:r w:rsidR="00EB24D6" w:rsidRPr="002815F4">
            <w:rPr>
              <w:rFonts w:ascii="Calibri" w:hAnsi="Calibri"/>
            </w:rPr>
            <w:fldChar w:fldCharType="begin"/>
          </w:r>
          <w:r w:rsidR="00EB24D6" w:rsidRPr="002815F4">
            <w:rPr>
              <w:rFonts w:ascii="Calibri" w:hAnsi="Calibri"/>
            </w:rPr>
            <w:instrText xml:space="preserve"> CITATION ITI1726 \l 1033 </w:instrText>
          </w:r>
          <w:r w:rsidR="00EB24D6" w:rsidRPr="002815F4">
            <w:rPr>
              <w:rFonts w:ascii="Calibri" w:hAnsi="Calibri"/>
            </w:rPr>
            <w:fldChar w:fldCharType="separate"/>
          </w:r>
          <w:r w:rsidR="003E626E" w:rsidRPr="002815F4">
            <w:rPr>
              <w:rFonts w:ascii="Calibri" w:hAnsi="Calibri"/>
              <w:noProof/>
            </w:rPr>
            <w:t>(ITIE Senegal, 2017)</w:t>
          </w:r>
          <w:r w:rsidR="00EB24D6" w:rsidRPr="002815F4">
            <w:rPr>
              <w:rFonts w:ascii="Calibri" w:hAnsi="Calibri"/>
            </w:rPr>
            <w:fldChar w:fldCharType="end"/>
          </w:r>
        </w:sdtContent>
      </w:sdt>
      <w:r w:rsidR="00EB24D6" w:rsidRPr="002815F4">
        <w:rPr>
          <w:rFonts w:ascii="Calibri" w:hAnsi="Calibri"/>
        </w:rPr>
        <w:t xml:space="preserve">. </w:t>
      </w:r>
    </w:p>
    <w:p w14:paraId="14985461" w14:textId="14470B76" w:rsidR="00BA2901" w:rsidRPr="002815F4" w:rsidRDefault="00BA2901" w:rsidP="00DF708D">
      <w:pPr>
        <w:spacing w:before="120"/>
        <w:rPr>
          <w:rFonts w:ascii="Calibri" w:hAnsi="Calibri"/>
        </w:rPr>
      </w:pPr>
      <w:r w:rsidRPr="002815F4">
        <w:rPr>
          <w:rFonts w:ascii="Calibri" w:hAnsi="Calibri"/>
          <w:i/>
          <w:u w:val="single"/>
        </w:rPr>
        <w:t>Open data policy:</w:t>
      </w:r>
      <w:r w:rsidRPr="002815F4">
        <w:rPr>
          <w:rFonts w:ascii="Calibri" w:hAnsi="Calibri"/>
        </w:rPr>
        <w:t xml:space="preserve"> The MSG </w:t>
      </w:r>
      <w:r w:rsidR="008575F7" w:rsidRPr="002815F4">
        <w:rPr>
          <w:rFonts w:ascii="Calibri" w:hAnsi="Calibri"/>
        </w:rPr>
        <w:t xml:space="preserve">started drafting </w:t>
      </w:r>
      <w:r w:rsidRPr="002815F4">
        <w:rPr>
          <w:rFonts w:ascii="Calibri" w:hAnsi="Calibri"/>
        </w:rPr>
        <w:t>the Senegal EITI Open Data Policy</w:t>
      </w:r>
      <w:r w:rsidRPr="002815F4">
        <w:rPr>
          <w:rStyle w:val="FootnoteReference"/>
          <w:rFonts w:ascii="Calibri" w:hAnsi="Calibri"/>
        </w:rPr>
        <w:footnoteReference w:id="96"/>
      </w:r>
      <w:r w:rsidRPr="002815F4">
        <w:rPr>
          <w:rFonts w:ascii="Calibri" w:hAnsi="Calibri"/>
        </w:rPr>
        <w:t xml:space="preserve"> in August 2016</w:t>
      </w:r>
      <w:r w:rsidR="008575F7" w:rsidRPr="002815F4">
        <w:rPr>
          <w:rFonts w:ascii="Calibri" w:hAnsi="Calibri"/>
        </w:rPr>
        <w:t xml:space="preserve"> and agreed it in December 2016</w:t>
      </w:r>
      <w:sdt>
        <w:sdtPr>
          <w:rPr>
            <w:rFonts w:ascii="Calibri" w:hAnsi="Calibri"/>
          </w:rPr>
          <w:id w:val="1217773400"/>
          <w:citation/>
        </w:sdtPr>
        <w:sdtEndPr/>
        <w:sdtContent>
          <w:r w:rsidRPr="002815F4">
            <w:rPr>
              <w:rFonts w:ascii="Calibri" w:hAnsi="Calibri"/>
            </w:rPr>
            <w:fldChar w:fldCharType="begin"/>
          </w:r>
          <w:r w:rsidRPr="002815F4">
            <w:rPr>
              <w:rFonts w:ascii="Calibri" w:hAnsi="Calibri"/>
            </w:rPr>
            <w:instrText xml:space="preserve"> CITATION ITI1621 \l 1033 </w:instrText>
          </w:r>
          <w:r w:rsidRPr="002815F4">
            <w:rPr>
              <w:rFonts w:ascii="Calibri" w:hAnsi="Calibri"/>
            </w:rPr>
            <w:fldChar w:fldCharType="separate"/>
          </w:r>
          <w:r w:rsidR="003E626E" w:rsidRPr="002815F4">
            <w:rPr>
              <w:rFonts w:ascii="Calibri" w:hAnsi="Calibri"/>
              <w:noProof/>
            </w:rPr>
            <w:t xml:space="preserve"> (ITIE Senegal, 2016)</w:t>
          </w:r>
          <w:r w:rsidRPr="002815F4">
            <w:rPr>
              <w:rFonts w:ascii="Calibri" w:hAnsi="Calibri"/>
            </w:rPr>
            <w:fldChar w:fldCharType="end"/>
          </w:r>
        </w:sdtContent>
      </w:sdt>
      <w:r w:rsidRPr="002815F4">
        <w:rPr>
          <w:rFonts w:ascii="Calibri" w:hAnsi="Calibri"/>
        </w:rPr>
        <w:t xml:space="preserve">. </w:t>
      </w:r>
      <w:r w:rsidR="0015311D" w:rsidRPr="002815F4">
        <w:rPr>
          <w:rFonts w:ascii="Calibri" w:hAnsi="Calibri"/>
        </w:rPr>
        <w:t>With reference to the Universal Declaration on Human Rights, the African Charter of Human Rights and Senegal's Constitution, the policy confirms the principle of universal access to information without discrimination. While the policy covers access and release of EITI data and provisions for the treatment of confidential information, it does not explicitly set any rules for the re-use of EITI data other than reference to general freedom of information.</w:t>
      </w:r>
      <w:r w:rsidR="00DE0EC2" w:rsidRPr="002815F4">
        <w:rPr>
          <w:rFonts w:ascii="Calibri" w:hAnsi="Calibri"/>
        </w:rPr>
        <w:t xml:space="preserve"> Senegal’s Open Data Policy requires the MSG to publish machine-readable files, published </w:t>
      </w:r>
      <w:r w:rsidR="00F97CA1" w:rsidRPr="002815F4">
        <w:rPr>
          <w:rFonts w:ascii="Calibri" w:hAnsi="Calibri"/>
        </w:rPr>
        <w:t xml:space="preserve">for the two reports </w:t>
      </w:r>
      <w:r w:rsidR="00DE0EC2" w:rsidRPr="002815F4">
        <w:rPr>
          <w:rFonts w:ascii="Calibri" w:hAnsi="Calibri"/>
        </w:rPr>
        <w:t xml:space="preserve">to date. </w:t>
      </w:r>
    </w:p>
    <w:p w14:paraId="075DB23C" w14:textId="0ABEDFB4" w:rsidR="006B540F" w:rsidRDefault="00DF708D" w:rsidP="00DF708D">
      <w:pPr>
        <w:spacing w:before="120"/>
        <w:rPr>
          <w:rFonts w:ascii="Calibri" w:hAnsi="Calibri"/>
        </w:rPr>
      </w:pPr>
      <w:r w:rsidRPr="002815F4">
        <w:rPr>
          <w:rFonts w:ascii="Calibri" w:hAnsi="Calibri"/>
          <w:i/>
          <w:u w:val="single"/>
        </w:rPr>
        <w:t>Contribution to public debate:</w:t>
      </w:r>
      <w:r w:rsidRPr="002815F4">
        <w:rPr>
          <w:rFonts w:ascii="Calibri" w:hAnsi="Calibri"/>
        </w:rPr>
        <w:t xml:space="preserve"> </w:t>
      </w:r>
      <w:r w:rsidR="000651AF" w:rsidRPr="002815F4">
        <w:rPr>
          <w:rFonts w:ascii="Calibri" w:hAnsi="Calibri"/>
        </w:rPr>
        <w:t xml:space="preserve">There is ample evidence of extensive media coverage of EITI data, particularly at the time of well-covered EITI Report launches, and the EITI Senegal website includes a representative cross-sample of articles </w:t>
      </w:r>
      <w:sdt>
        <w:sdtPr>
          <w:rPr>
            <w:rFonts w:ascii="Calibri" w:hAnsi="Calibri"/>
          </w:rPr>
          <w:id w:val="-838000322"/>
          <w:citation/>
        </w:sdtPr>
        <w:sdtEndPr/>
        <w:sdtContent>
          <w:r w:rsidR="000651AF" w:rsidRPr="002815F4">
            <w:rPr>
              <w:rFonts w:ascii="Calibri" w:hAnsi="Calibri"/>
            </w:rPr>
            <w:fldChar w:fldCharType="begin"/>
          </w:r>
          <w:r w:rsidR="000651AF" w:rsidRPr="002815F4">
            <w:rPr>
              <w:rFonts w:ascii="Calibri" w:hAnsi="Calibri"/>
            </w:rPr>
            <w:instrText xml:space="preserve"> CITATION LeQ161 \l 1033 </w:instrText>
          </w:r>
          <w:r w:rsidR="000651AF" w:rsidRPr="002815F4">
            <w:rPr>
              <w:rFonts w:ascii="Calibri" w:hAnsi="Calibri"/>
            </w:rPr>
            <w:fldChar w:fldCharType="separate"/>
          </w:r>
          <w:r w:rsidR="003E626E" w:rsidRPr="002815F4">
            <w:rPr>
              <w:rFonts w:ascii="Calibri" w:hAnsi="Calibri"/>
              <w:noProof/>
            </w:rPr>
            <w:t>(Le Quotidien, 2016)</w:t>
          </w:r>
          <w:r w:rsidR="000651AF" w:rsidRPr="002815F4">
            <w:rPr>
              <w:rFonts w:ascii="Calibri" w:hAnsi="Calibri"/>
            </w:rPr>
            <w:fldChar w:fldCharType="end"/>
          </w:r>
        </w:sdtContent>
      </w:sdt>
      <w:r w:rsidR="002D606B" w:rsidRPr="002815F4">
        <w:rPr>
          <w:rFonts w:ascii="Calibri" w:hAnsi="Calibri"/>
        </w:rPr>
        <w:t xml:space="preserve"> </w:t>
      </w:r>
      <w:sdt>
        <w:sdtPr>
          <w:rPr>
            <w:rFonts w:ascii="Calibri" w:hAnsi="Calibri"/>
          </w:rPr>
          <w:id w:val="1318392164"/>
          <w:citation/>
        </w:sdtPr>
        <w:sdtEndPr/>
        <w:sdtContent>
          <w:r w:rsidR="002D606B" w:rsidRPr="002815F4">
            <w:rPr>
              <w:rFonts w:ascii="Calibri" w:hAnsi="Calibri"/>
            </w:rPr>
            <w:fldChar w:fldCharType="begin"/>
          </w:r>
          <w:r w:rsidR="002D606B" w:rsidRPr="002815F4">
            <w:rPr>
              <w:rFonts w:ascii="Calibri" w:hAnsi="Calibri"/>
            </w:rPr>
            <w:instrText xml:space="preserve"> CITATION RTS15 \l 1033 </w:instrText>
          </w:r>
          <w:r w:rsidR="002D606B" w:rsidRPr="002815F4">
            <w:rPr>
              <w:rFonts w:ascii="Calibri" w:hAnsi="Calibri"/>
            </w:rPr>
            <w:fldChar w:fldCharType="separate"/>
          </w:r>
          <w:r w:rsidR="003E626E" w:rsidRPr="002815F4">
            <w:rPr>
              <w:rFonts w:ascii="Calibri" w:hAnsi="Calibri"/>
              <w:noProof/>
            </w:rPr>
            <w:t>(RTS, 2015)</w:t>
          </w:r>
          <w:r w:rsidR="002D606B" w:rsidRPr="002815F4">
            <w:rPr>
              <w:rFonts w:ascii="Calibri" w:hAnsi="Calibri"/>
            </w:rPr>
            <w:fldChar w:fldCharType="end"/>
          </w:r>
        </w:sdtContent>
      </w:sdt>
      <w:r w:rsidR="000651AF" w:rsidRPr="002815F4">
        <w:rPr>
          <w:rFonts w:ascii="Calibri" w:hAnsi="Calibri"/>
        </w:rPr>
        <w:t xml:space="preserve">. </w:t>
      </w:r>
      <w:r w:rsidR="003B76C9" w:rsidRPr="002815F4">
        <w:rPr>
          <w:rFonts w:ascii="Calibri" w:hAnsi="Calibri"/>
        </w:rPr>
        <w:t xml:space="preserve">The </w:t>
      </w:r>
      <w:r w:rsidR="00F36CAB">
        <w:rPr>
          <w:rFonts w:ascii="Calibri" w:hAnsi="Calibri"/>
        </w:rPr>
        <w:t>s</w:t>
      </w:r>
      <w:r w:rsidR="003B76C9" w:rsidRPr="002815F4">
        <w:rPr>
          <w:rFonts w:ascii="Calibri" w:hAnsi="Calibri"/>
        </w:rPr>
        <w:t xml:space="preserve">ecretariat has </w:t>
      </w:r>
      <w:r w:rsidR="00550293" w:rsidRPr="002815F4">
        <w:rPr>
          <w:rFonts w:ascii="Calibri" w:hAnsi="Calibri"/>
        </w:rPr>
        <w:t>operated an informal network of journalists since 2015, which has formalised itself as a network of Extractives journalists in mid-2017. Media c</w:t>
      </w:r>
      <w:r w:rsidR="000651AF" w:rsidRPr="002815F4">
        <w:rPr>
          <w:rFonts w:ascii="Calibri" w:hAnsi="Calibri"/>
        </w:rPr>
        <w:t xml:space="preserve">overage has focused both on data in EITI Reports and on broader sector issues, such as license allocation and transfer procedures in the oil and gas sector </w:t>
      </w:r>
      <w:sdt>
        <w:sdtPr>
          <w:rPr>
            <w:rFonts w:ascii="Calibri" w:hAnsi="Calibri"/>
          </w:rPr>
          <w:id w:val="1366326794"/>
          <w:citation/>
        </w:sdtPr>
        <w:sdtEndPr/>
        <w:sdtContent>
          <w:r w:rsidR="000651AF" w:rsidRPr="002815F4">
            <w:rPr>
              <w:rFonts w:ascii="Calibri" w:hAnsi="Calibri"/>
            </w:rPr>
            <w:fldChar w:fldCharType="begin"/>
          </w:r>
          <w:r w:rsidR="000651AF" w:rsidRPr="002815F4">
            <w:rPr>
              <w:rFonts w:ascii="Calibri" w:hAnsi="Calibri"/>
            </w:rPr>
            <w:instrText xml:space="preserve"> CITATION LeQ161 \l 1033 </w:instrText>
          </w:r>
          <w:r w:rsidR="000651AF" w:rsidRPr="002815F4">
            <w:rPr>
              <w:rFonts w:ascii="Calibri" w:hAnsi="Calibri"/>
            </w:rPr>
            <w:fldChar w:fldCharType="separate"/>
          </w:r>
          <w:r w:rsidR="003E626E" w:rsidRPr="002815F4">
            <w:rPr>
              <w:rFonts w:ascii="Calibri" w:hAnsi="Calibri"/>
              <w:noProof/>
            </w:rPr>
            <w:t>(Le Quotidien, 2016)</w:t>
          </w:r>
          <w:r w:rsidR="000651AF" w:rsidRPr="002815F4">
            <w:rPr>
              <w:rFonts w:ascii="Calibri" w:hAnsi="Calibri"/>
            </w:rPr>
            <w:fldChar w:fldCharType="end"/>
          </w:r>
        </w:sdtContent>
      </w:sdt>
      <w:r w:rsidR="000651AF" w:rsidRPr="002815F4">
        <w:rPr>
          <w:rFonts w:ascii="Calibri" w:hAnsi="Calibri"/>
        </w:rPr>
        <w:t>.</w:t>
      </w:r>
      <w:r w:rsidR="00DE0EC2" w:rsidRPr="002815F4">
        <w:rPr>
          <w:rFonts w:ascii="Calibri" w:hAnsi="Calibri"/>
        </w:rPr>
        <w:t xml:space="preserve"> </w:t>
      </w:r>
      <w:r w:rsidR="00052185" w:rsidRPr="002815F4">
        <w:rPr>
          <w:rFonts w:ascii="Calibri" w:hAnsi="Calibri"/>
        </w:rPr>
        <w:t>There is also evidence of outreach and consultations with parliamentarians, members of the National Assembly</w:t>
      </w:r>
      <w:r w:rsidR="00437804" w:rsidRPr="002815F4">
        <w:rPr>
          <w:rFonts w:ascii="Calibri" w:hAnsi="Calibri"/>
        </w:rPr>
        <w:t xml:space="preserve"> </w:t>
      </w:r>
      <w:sdt>
        <w:sdtPr>
          <w:rPr>
            <w:rFonts w:ascii="Calibri" w:hAnsi="Calibri"/>
          </w:rPr>
          <w:id w:val="-1678118138"/>
          <w:citation/>
        </w:sdtPr>
        <w:sdtEndPr/>
        <w:sdtContent>
          <w:r w:rsidR="00437804" w:rsidRPr="002815F4">
            <w:rPr>
              <w:rFonts w:ascii="Calibri" w:hAnsi="Calibri"/>
            </w:rPr>
            <w:fldChar w:fldCharType="begin"/>
          </w:r>
          <w:r w:rsidR="00437804" w:rsidRPr="002815F4">
            <w:rPr>
              <w:rFonts w:ascii="Calibri" w:hAnsi="Calibri"/>
            </w:rPr>
            <w:instrText xml:space="preserve"> CITATION ITI1421 \l 1033 </w:instrText>
          </w:r>
          <w:r w:rsidR="00437804" w:rsidRPr="002815F4">
            <w:rPr>
              <w:rFonts w:ascii="Calibri" w:hAnsi="Calibri"/>
            </w:rPr>
            <w:fldChar w:fldCharType="separate"/>
          </w:r>
          <w:r w:rsidR="003E626E" w:rsidRPr="002815F4">
            <w:rPr>
              <w:rFonts w:ascii="Calibri" w:hAnsi="Calibri"/>
              <w:noProof/>
            </w:rPr>
            <w:t>(ITIE Senegal, 2014)</w:t>
          </w:r>
          <w:r w:rsidR="00437804" w:rsidRPr="002815F4">
            <w:rPr>
              <w:rFonts w:ascii="Calibri" w:hAnsi="Calibri"/>
            </w:rPr>
            <w:fldChar w:fldCharType="end"/>
          </w:r>
        </w:sdtContent>
      </w:sdt>
      <w:sdt>
        <w:sdtPr>
          <w:rPr>
            <w:rFonts w:ascii="Calibri" w:hAnsi="Calibri"/>
          </w:rPr>
          <w:id w:val="1957830460"/>
          <w:citation/>
        </w:sdtPr>
        <w:sdtEndPr/>
        <w:sdtContent>
          <w:r w:rsidR="00437804" w:rsidRPr="002815F4">
            <w:rPr>
              <w:rFonts w:ascii="Calibri" w:hAnsi="Calibri"/>
            </w:rPr>
            <w:fldChar w:fldCharType="begin"/>
          </w:r>
          <w:r w:rsidR="00437804" w:rsidRPr="002815F4">
            <w:rPr>
              <w:rFonts w:ascii="Calibri" w:hAnsi="Calibri"/>
            </w:rPr>
            <w:instrText xml:space="preserve"> CITATION ITI1412 \l 1033 </w:instrText>
          </w:r>
          <w:r w:rsidR="00437804" w:rsidRPr="002815F4">
            <w:rPr>
              <w:rFonts w:ascii="Calibri" w:hAnsi="Calibri"/>
            </w:rPr>
            <w:fldChar w:fldCharType="separate"/>
          </w:r>
          <w:r w:rsidR="003E626E" w:rsidRPr="002815F4">
            <w:rPr>
              <w:rFonts w:ascii="Calibri" w:hAnsi="Calibri"/>
              <w:noProof/>
            </w:rPr>
            <w:t xml:space="preserve"> (ITIE Senegal, 2014)</w:t>
          </w:r>
          <w:r w:rsidR="00437804" w:rsidRPr="002815F4">
            <w:rPr>
              <w:rFonts w:ascii="Calibri" w:hAnsi="Calibri"/>
            </w:rPr>
            <w:fldChar w:fldCharType="end"/>
          </w:r>
        </w:sdtContent>
      </w:sdt>
      <w:r w:rsidR="00052185" w:rsidRPr="002815F4">
        <w:rPr>
          <w:rFonts w:ascii="Calibri" w:hAnsi="Calibri"/>
        </w:rPr>
        <w:t xml:space="preserve">. </w:t>
      </w:r>
      <w:r w:rsidR="005349FF" w:rsidRPr="002815F4">
        <w:rPr>
          <w:rFonts w:ascii="Calibri" w:hAnsi="Calibri"/>
        </w:rPr>
        <w:t xml:space="preserve">In May 2014, parliamentarians participated in a workshop on EITI Senegal, which agreed to establish a parliamentary network to oversee the sector in close cooperation with, albeit independently from, EITI Senegal </w:t>
      </w:r>
      <w:sdt>
        <w:sdtPr>
          <w:rPr>
            <w:rFonts w:ascii="Calibri" w:hAnsi="Calibri"/>
          </w:rPr>
          <w:id w:val="681093131"/>
          <w:citation/>
        </w:sdtPr>
        <w:sdtEndPr/>
        <w:sdtContent>
          <w:r w:rsidR="005349FF" w:rsidRPr="002815F4">
            <w:rPr>
              <w:rFonts w:ascii="Calibri" w:hAnsi="Calibri"/>
            </w:rPr>
            <w:fldChar w:fldCharType="begin"/>
          </w:r>
          <w:r w:rsidR="005349FF" w:rsidRPr="002815F4">
            <w:rPr>
              <w:rFonts w:ascii="Calibri" w:hAnsi="Calibri"/>
            </w:rPr>
            <w:instrText xml:space="preserve"> CITATION ITI1421 \l 1033 </w:instrText>
          </w:r>
          <w:r w:rsidR="005349FF" w:rsidRPr="002815F4">
            <w:rPr>
              <w:rFonts w:ascii="Calibri" w:hAnsi="Calibri"/>
            </w:rPr>
            <w:fldChar w:fldCharType="separate"/>
          </w:r>
          <w:r w:rsidR="003E626E" w:rsidRPr="002815F4">
            <w:rPr>
              <w:rFonts w:ascii="Calibri" w:hAnsi="Calibri"/>
              <w:noProof/>
            </w:rPr>
            <w:t>(ITIE Senegal, 2014)</w:t>
          </w:r>
          <w:r w:rsidR="005349FF" w:rsidRPr="002815F4">
            <w:rPr>
              <w:rFonts w:ascii="Calibri" w:hAnsi="Calibri"/>
            </w:rPr>
            <w:fldChar w:fldCharType="end"/>
          </w:r>
        </w:sdtContent>
      </w:sdt>
      <w:r w:rsidR="00DE0EC2" w:rsidRPr="002815F4">
        <w:rPr>
          <w:rFonts w:ascii="Calibri" w:hAnsi="Calibri"/>
        </w:rPr>
        <w:t xml:space="preserve">. </w:t>
      </w:r>
      <w:r w:rsidR="00A36E5E" w:rsidRPr="002815F4">
        <w:rPr>
          <w:rFonts w:ascii="Calibri" w:hAnsi="Calibri"/>
        </w:rPr>
        <w:t xml:space="preserve">The parliamentary network has met regularly and participated in capacity building activities in 2015 and 2016 </w:t>
      </w:r>
      <w:sdt>
        <w:sdtPr>
          <w:rPr>
            <w:rFonts w:ascii="Calibri" w:hAnsi="Calibri"/>
          </w:rPr>
          <w:id w:val="-336615792"/>
          <w:citation/>
        </w:sdtPr>
        <w:sdtEndPr/>
        <w:sdtContent>
          <w:r w:rsidR="00A36E5E" w:rsidRPr="002815F4">
            <w:rPr>
              <w:rFonts w:ascii="Calibri" w:hAnsi="Calibri"/>
            </w:rPr>
            <w:fldChar w:fldCharType="begin"/>
          </w:r>
          <w:r w:rsidR="00A36E5E" w:rsidRPr="002815F4">
            <w:rPr>
              <w:rFonts w:ascii="Calibri" w:hAnsi="Calibri"/>
            </w:rPr>
            <w:instrText xml:space="preserve"> CITATION Abi15 \l 1033 </w:instrText>
          </w:r>
          <w:r w:rsidR="00A36E5E" w:rsidRPr="002815F4">
            <w:rPr>
              <w:rFonts w:ascii="Calibri" w:hAnsi="Calibri"/>
            </w:rPr>
            <w:fldChar w:fldCharType="separate"/>
          </w:r>
          <w:r w:rsidR="003E626E" w:rsidRPr="002815F4">
            <w:rPr>
              <w:rFonts w:ascii="Calibri" w:hAnsi="Calibri"/>
              <w:noProof/>
            </w:rPr>
            <w:t>(Abidjan.net, 2015)</w:t>
          </w:r>
          <w:r w:rsidR="00A36E5E" w:rsidRPr="002815F4">
            <w:rPr>
              <w:rFonts w:ascii="Calibri" w:hAnsi="Calibri"/>
            </w:rPr>
            <w:fldChar w:fldCharType="end"/>
          </w:r>
        </w:sdtContent>
      </w:sdt>
      <w:r w:rsidR="00A36E5E" w:rsidRPr="002815F4">
        <w:rPr>
          <w:rFonts w:ascii="Calibri" w:hAnsi="Calibri"/>
        </w:rPr>
        <w:t xml:space="preserve">. </w:t>
      </w:r>
      <w:r w:rsidR="009F0D04" w:rsidRPr="002815F4">
        <w:rPr>
          <w:rFonts w:ascii="Calibri" w:hAnsi="Calibri"/>
        </w:rPr>
        <w:t xml:space="preserve">The World Bank has highlighted the impact of EITI implementation on parliamentary debate on the extractives sector </w:t>
      </w:r>
      <w:sdt>
        <w:sdtPr>
          <w:rPr>
            <w:rFonts w:ascii="Calibri" w:hAnsi="Calibri"/>
          </w:rPr>
          <w:id w:val="-1147746482"/>
          <w:citation/>
        </w:sdtPr>
        <w:sdtEndPr/>
        <w:sdtContent>
          <w:r w:rsidR="009F0D04" w:rsidRPr="002815F4">
            <w:rPr>
              <w:rFonts w:ascii="Calibri" w:hAnsi="Calibri"/>
            </w:rPr>
            <w:fldChar w:fldCharType="begin"/>
          </w:r>
          <w:r w:rsidR="009F0D04" w:rsidRPr="002815F4">
            <w:rPr>
              <w:rFonts w:ascii="Calibri" w:hAnsi="Calibri"/>
            </w:rPr>
            <w:instrText xml:space="preserve"> CITATION Wor161 \l 1033 </w:instrText>
          </w:r>
          <w:r w:rsidR="009F0D04" w:rsidRPr="002815F4">
            <w:rPr>
              <w:rFonts w:ascii="Calibri" w:hAnsi="Calibri"/>
            </w:rPr>
            <w:fldChar w:fldCharType="separate"/>
          </w:r>
          <w:r w:rsidR="003E626E" w:rsidRPr="002815F4">
            <w:rPr>
              <w:rFonts w:ascii="Calibri" w:hAnsi="Calibri"/>
              <w:noProof/>
            </w:rPr>
            <w:t>(World Bank, 2016)</w:t>
          </w:r>
          <w:r w:rsidR="009F0D04" w:rsidRPr="002815F4">
            <w:rPr>
              <w:rFonts w:ascii="Calibri" w:hAnsi="Calibri"/>
            </w:rPr>
            <w:fldChar w:fldCharType="end"/>
          </w:r>
        </w:sdtContent>
      </w:sdt>
      <w:r w:rsidR="009F0D04" w:rsidRPr="002815F4">
        <w:rPr>
          <w:rFonts w:ascii="Calibri" w:hAnsi="Calibri"/>
        </w:rPr>
        <w:t xml:space="preserve">. </w:t>
      </w:r>
      <w:r w:rsidR="00A36E5E" w:rsidRPr="002815F4">
        <w:rPr>
          <w:rFonts w:ascii="Calibri" w:hAnsi="Calibri"/>
        </w:rPr>
        <w:t>The CSO coalition has</w:t>
      </w:r>
      <w:r w:rsidR="002815F4">
        <w:rPr>
          <w:rFonts w:ascii="Calibri" w:hAnsi="Calibri"/>
        </w:rPr>
        <w:t xml:space="preserve"> also had an important impact o</w:t>
      </w:r>
      <w:r w:rsidR="00A36E5E" w:rsidRPr="002815F4">
        <w:rPr>
          <w:rFonts w:ascii="Calibri" w:hAnsi="Calibri"/>
        </w:rPr>
        <w:t xml:space="preserve">n public debate, evident for instance in providing input to drafting revisions to the Mining Code passed in late 2016 </w:t>
      </w:r>
      <w:sdt>
        <w:sdtPr>
          <w:rPr>
            <w:rFonts w:ascii="Calibri" w:hAnsi="Calibri"/>
          </w:rPr>
          <w:id w:val="1242068772"/>
          <w:citation/>
        </w:sdtPr>
        <w:sdtEndPr/>
        <w:sdtContent>
          <w:r w:rsidR="00A36E5E" w:rsidRPr="002815F4">
            <w:rPr>
              <w:rFonts w:ascii="Calibri" w:hAnsi="Calibri"/>
            </w:rPr>
            <w:fldChar w:fldCharType="begin"/>
          </w:r>
          <w:r w:rsidR="00A36E5E" w:rsidRPr="002815F4">
            <w:rPr>
              <w:rFonts w:ascii="Calibri" w:hAnsi="Calibri"/>
            </w:rPr>
            <w:instrText xml:space="preserve"> CITATION Oxf16 \l 1033 </w:instrText>
          </w:r>
          <w:r w:rsidR="00A36E5E" w:rsidRPr="002815F4">
            <w:rPr>
              <w:rFonts w:ascii="Calibri" w:hAnsi="Calibri"/>
            </w:rPr>
            <w:fldChar w:fldCharType="separate"/>
          </w:r>
          <w:r w:rsidR="003E626E" w:rsidRPr="002815F4">
            <w:rPr>
              <w:rFonts w:ascii="Calibri" w:hAnsi="Calibri"/>
              <w:noProof/>
            </w:rPr>
            <w:t>(Oxfam America, 2016)</w:t>
          </w:r>
          <w:r w:rsidR="00A36E5E" w:rsidRPr="002815F4">
            <w:rPr>
              <w:rFonts w:ascii="Calibri" w:hAnsi="Calibri"/>
            </w:rPr>
            <w:fldChar w:fldCharType="end"/>
          </w:r>
        </w:sdtContent>
      </w:sdt>
      <w:r w:rsidR="00A36E5E" w:rsidRPr="002815F4">
        <w:rPr>
          <w:rFonts w:ascii="Calibri" w:hAnsi="Calibri"/>
        </w:rPr>
        <w:t>.</w:t>
      </w:r>
    </w:p>
    <w:p w14:paraId="68694B3C" w14:textId="3D204C07" w:rsidR="00F97CA1" w:rsidRPr="00482C28" w:rsidRDefault="00F97CA1" w:rsidP="00482C28">
      <w:pPr>
        <w:pStyle w:val="Caption"/>
      </w:pPr>
      <w:r w:rsidRPr="00F97CA1">
        <w:t>F</w:t>
      </w:r>
      <w:r w:rsidRPr="00624846">
        <w:t>igure 2: Media coverage of EITI Senegal, 2015-2017</w:t>
      </w:r>
    </w:p>
    <w:p w14:paraId="421340E1" w14:textId="1D1CDDA4" w:rsidR="00A23A51" w:rsidRPr="002815F4" w:rsidRDefault="00A36E5E" w:rsidP="00DF708D">
      <w:pPr>
        <w:spacing w:before="120"/>
        <w:rPr>
          <w:rFonts w:ascii="Calibri" w:hAnsi="Calibri"/>
        </w:rPr>
      </w:pPr>
      <w:r w:rsidRPr="002815F4">
        <w:rPr>
          <w:rFonts w:ascii="Calibri" w:hAnsi="Calibri"/>
        </w:rPr>
        <w:lastRenderedPageBreak/>
        <w:t xml:space="preserve"> </w:t>
      </w:r>
      <w:r w:rsidR="00A23A51" w:rsidRPr="002815F4">
        <w:rPr>
          <w:noProof/>
          <w:lang w:val="en-US"/>
        </w:rPr>
        <w:drawing>
          <wp:inline distT="0" distB="0" distL="0" distR="0" wp14:anchorId="05B35A51" wp14:editId="331D14F7">
            <wp:extent cx="2910823" cy="1665794"/>
            <wp:effectExtent l="0" t="0" r="10795"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9ECBA7" w14:textId="4681D2C1" w:rsidR="00DE0EC2" w:rsidRPr="00482C28" w:rsidRDefault="00A23A51">
      <w:pPr>
        <w:spacing w:before="120"/>
        <w:rPr>
          <w:sz w:val="16"/>
          <w:szCs w:val="16"/>
        </w:rPr>
      </w:pPr>
      <w:r w:rsidRPr="00482C28">
        <w:rPr>
          <w:rFonts w:ascii="Calibri" w:hAnsi="Calibri"/>
          <w:i/>
          <w:sz w:val="16"/>
          <w:szCs w:val="16"/>
          <w:u w:val="single"/>
        </w:rPr>
        <w:t>Source</w:t>
      </w:r>
      <w:r w:rsidRPr="00482C28">
        <w:rPr>
          <w:rFonts w:ascii="Calibri" w:hAnsi="Calibri"/>
          <w:i/>
          <w:sz w:val="16"/>
          <w:szCs w:val="16"/>
        </w:rPr>
        <w:t xml:space="preserve">: </w:t>
      </w:r>
      <w:r w:rsidRPr="00482C28">
        <w:rPr>
          <w:i/>
          <w:sz w:val="16"/>
          <w:szCs w:val="16"/>
        </w:rPr>
        <w:t xml:space="preserve">compiled based on data from the EITI Senegal Secretariat. </w:t>
      </w:r>
    </w:p>
    <w:p w14:paraId="555D41A5" w14:textId="7D7F0D2D" w:rsidR="00D25D87" w:rsidRPr="002815F4" w:rsidRDefault="00D41A8E" w:rsidP="007474FE">
      <w:pPr>
        <w:pStyle w:val="Heading3"/>
      </w:pPr>
      <w:r w:rsidRPr="002815F4">
        <w:t>Sta</w:t>
      </w:r>
      <w:bookmarkStart w:id="429" w:name="outcomesstakeholderviews"/>
      <w:bookmarkEnd w:id="429"/>
      <w:r w:rsidRPr="002815F4">
        <w:t>keholder views</w:t>
      </w:r>
    </w:p>
    <w:p w14:paraId="579242EA" w14:textId="298BEE4C" w:rsidR="00F36CAB" w:rsidRPr="002815F4" w:rsidRDefault="00662065" w:rsidP="007A7FB4">
      <w:pPr>
        <w:spacing w:before="120"/>
        <w:rPr>
          <w:rFonts w:ascii="Calibri" w:hAnsi="Calibri"/>
          <w:bCs/>
        </w:rPr>
      </w:pPr>
      <w:r w:rsidRPr="002815F4">
        <w:rPr>
          <w:rFonts w:ascii="Calibri" w:hAnsi="Calibri"/>
          <w:bCs/>
          <w:i/>
          <w:u w:val="single"/>
        </w:rPr>
        <w:t>Promotion/dissemination</w:t>
      </w:r>
      <w:r w:rsidRPr="002815F4">
        <w:rPr>
          <w:rFonts w:ascii="Calibri" w:hAnsi="Calibri"/>
          <w:bCs/>
        </w:rPr>
        <w:t xml:space="preserve">: </w:t>
      </w:r>
      <w:r w:rsidR="00E60C08" w:rsidRPr="002815F4">
        <w:rPr>
          <w:rFonts w:ascii="Calibri" w:hAnsi="Calibri"/>
          <w:bCs/>
        </w:rPr>
        <w:t xml:space="preserve">There was consensus amongst stakeholders consulted that EITI information had been actively promoted and simplified for broader public appeal, in a country with a reported </w:t>
      </w:r>
      <w:r w:rsidR="001938D9" w:rsidRPr="002815F4">
        <w:rPr>
          <w:rFonts w:ascii="Calibri" w:hAnsi="Calibri"/>
          <w:bCs/>
        </w:rPr>
        <w:t xml:space="preserve">adult </w:t>
      </w:r>
      <w:r w:rsidR="00E60C08" w:rsidRPr="002815F4">
        <w:rPr>
          <w:rFonts w:ascii="Calibri" w:hAnsi="Calibri"/>
          <w:bCs/>
        </w:rPr>
        <w:t>literacy rate of 50%.</w:t>
      </w:r>
      <w:r w:rsidR="00E60C08" w:rsidRPr="002815F4">
        <w:rPr>
          <w:rStyle w:val="FootnoteReference"/>
          <w:rFonts w:ascii="Calibri" w:hAnsi="Calibri"/>
          <w:bCs/>
        </w:rPr>
        <w:footnoteReference w:id="97"/>
      </w:r>
      <w:r w:rsidR="00E033F5" w:rsidRPr="002815F4">
        <w:rPr>
          <w:rFonts w:ascii="Calibri" w:hAnsi="Calibri"/>
          <w:bCs/>
        </w:rPr>
        <w:t xml:space="preserve"> Stakeholders both on and off the MSG confirmed the government’s active and public engagement in promoting and using EITI information, both domestically and internatio</w:t>
      </w:r>
      <w:r w:rsidR="0063609E" w:rsidRPr="002815F4">
        <w:rPr>
          <w:rFonts w:ascii="Calibri" w:hAnsi="Calibri"/>
          <w:bCs/>
        </w:rPr>
        <w:t xml:space="preserve">nally. </w:t>
      </w:r>
      <w:r w:rsidR="00F36CAB" w:rsidRPr="002815F4">
        <w:rPr>
          <w:rFonts w:ascii="Calibri" w:hAnsi="Calibri"/>
          <w:bCs/>
        </w:rPr>
        <w:t>Stakeholders confirmed that while the initial drivers of EITI outreach were civil society in partnership with the secretariat, dissemination of EITI information was increasingly integrated in government and companies’ outreach to host communities and the general public.</w:t>
      </w:r>
      <w:r w:rsidR="00F36CAB">
        <w:rPr>
          <w:rFonts w:ascii="Calibri" w:hAnsi="Calibri"/>
          <w:bCs/>
        </w:rPr>
        <w:t xml:space="preserve"> </w:t>
      </w:r>
      <w:r w:rsidR="00E033F5" w:rsidRPr="002815F4">
        <w:rPr>
          <w:rFonts w:ascii="Calibri" w:hAnsi="Calibri"/>
          <w:bCs/>
        </w:rPr>
        <w:t xml:space="preserve">Government representatives explained that the Prime Minister had led over 6000km of roadshows throughout Senegal, using EITI information to support reforms. </w:t>
      </w:r>
      <w:r w:rsidR="00A64721" w:rsidRPr="002815F4">
        <w:rPr>
          <w:rFonts w:ascii="Calibri" w:hAnsi="Calibri"/>
          <w:bCs/>
        </w:rPr>
        <w:t xml:space="preserve">There was consensus that the government’s high-level political commitment to EITI was reflected in </w:t>
      </w:r>
      <w:r w:rsidR="00F36CAB">
        <w:rPr>
          <w:rFonts w:ascii="Calibri" w:hAnsi="Calibri"/>
          <w:bCs/>
        </w:rPr>
        <w:t>its follow-up on</w:t>
      </w:r>
      <w:r w:rsidR="00A64721" w:rsidRPr="002815F4">
        <w:rPr>
          <w:rFonts w:ascii="Calibri" w:hAnsi="Calibri"/>
          <w:bCs/>
        </w:rPr>
        <w:t xml:space="preserve"> key </w:t>
      </w:r>
      <w:r w:rsidR="00F36CAB">
        <w:rPr>
          <w:rFonts w:ascii="Calibri" w:hAnsi="Calibri"/>
          <w:bCs/>
        </w:rPr>
        <w:t xml:space="preserve">EITI </w:t>
      </w:r>
      <w:r w:rsidR="00A64721" w:rsidRPr="002815F4">
        <w:rPr>
          <w:rFonts w:ascii="Calibri" w:hAnsi="Calibri"/>
          <w:bCs/>
        </w:rPr>
        <w:t xml:space="preserve">findings and recommendations. </w:t>
      </w:r>
      <w:r w:rsidR="00E033F5" w:rsidRPr="002815F4">
        <w:rPr>
          <w:rFonts w:ascii="Calibri" w:hAnsi="Calibri"/>
          <w:bCs/>
        </w:rPr>
        <w:t xml:space="preserve">Stakeholders confirmed that </w:t>
      </w:r>
      <w:r w:rsidR="00670F62" w:rsidRPr="002815F4">
        <w:rPr>
          <w:rFonts w:ascii="Calibri" w:hAnsi="Calibri"/>
          <w:bCs/>
        </w:rPr>
        <w:t xml:space="preserve">the Ministry of Mines, of Environment, of Good Governance and African Integration and the Prime Minister’s office were among the most active participants in EITI dissemination and outreach. </w:t>
      </w:r>
      <w:r w:rsidR="007E5C61" w:rsidRPr="002815F4">
        <w:rPr>
          <w:rFonts w:ascii="Calibri" w:hAnsi="Calibri"/>
          <w:bCs/>
        </w:rPr>
        <w:t xml:space="preserve">All stakeholders highlighted the importance of the annual October-November launches in Dakar as key dissemination events that double as consultation forums for following up on EITI recommendations with individual agencies. There was also consensus that mining companies had been more active than oil and gas companies in EITI outreach, given that the latter had operations predominantly offshore, with less exposure to host communities. However, </w:t>
      </w:r>
      <w:r w:rsidR="00F36CAB">
        <w:rPr>
          <w:rFonts w:ascii="Calibri" w:hAnsi="Calibri"/>
          <w:bCs/>
        </w:rPr>
        <w:t>stakeholders</w:t>
      </w:r>
      <w:r w:rsidR="007E5C61" w:rsidRPr="002815F4">
        <w:rPr>
          <w:rFonts w:ascii="Calibri" w:hAnsi="Calibri"/>
          <w:bCs/>
        </w:rPr>
        <w:t xml:space="preserve"> expected oil and gas companies’ engagement to grow as Senegal nears first </w:t>
      </w:r>
      <w:r w:rsidR="00F36CAB">
        <w:rPr>
          <w:rFonts w:ascii="Calibri" w:hAnsi="Calibri"/>
          <w:bCs/>
        </w:rPr>
        <w:t xml:space="preserve">commercial oil and gas </w:t>
      </w:r>
      <w:r w:rsidR="007E5C61" w:rsidRPr="002815F4">
        <w:rPr>
          <w:rFonts w:ascii="Calibri" w:hAnsi="Calibri"/>
          <w:bCs/>
        </w:rPr>
        <w:t xml:space="preserve">production. </w:t>
      </w:r>
    </w:p>
    <w:p w14:paraId="2077DD23" w14:textId="7841AB94" w:rsidR="0063609E" w:rsidRPr="002815F4" w:rsidRDefault="0063609E" w:rsidP="00E2507C">
      <w:pPr>
        <w:spacing w:before="120"/>
      </w:pPr>
      <w:r w:rsidRPr="002815F4">
        <w:t xml:space="preserve">Several CSOs highlighted the important dissemination and outreach by civil society, through their decentralised presence and by translating information from EITI Reports into radio shows, infographics, local-language summaries and other debates. </w:t>
      </w:r>
      <w:r w:rsidR="00EC2F6C" w:rsidRPr="002815F4">
        <w:t xml:space="preserve">Several CSOs highlighted the need to simplify messages to ensure a broad audience, focusing on key issues like subnational transfers and social expenditures. </w:t>
      </w:r>
      <w:r w:rsidR="00940472" w:rsidRPr="002815F4">
        <w:t xml:space="preserve">Alongside organised NGOs, the local officials and parliamentarians consulted considered that </w:t>
      </w:r>
      <w:r w:rsidR="00F36CAB">
        <w:t>CSOs</w:t>
      </w:r>
      <w:r w:rsidR="00F36CAB" w:rsidRPr="002815F4">
        <w:t xml:space="preserve"> </w:t>
      </w:r>
      <w:r w:rsidR="00940472" w:rsidRPr="002815F4">
        <w:t xml:space="preserve">played a key role in holding </w:t>
      </w:r>
      <w:r w:rsidR="002815F4" w:rsidRPr="002815F4">
        <w:t>decentralised</w:t>
      </w:r>
      <w:r w:rsidR="00940472" w:rsidRPr="002815F4">
        <w:t xml:space="preserve"> meetings on EITI. While the Kedougou region had formalised its subnational council, other subnational groupings in Thi</w:t>
      </w:r>
      <w:r w:rsidR="00F50820" w:rsidRPr="002815F4">
        <w:t>è</w:t>
      </w:r>
      <w:r w:rsidR="00940472" w:rsidRPr="002815F4">
        <w:t>s and Matam had remained informal, yet more dynamic according to local stakeholders consulted. The less formalised meetings in Thi</w:t>
      </w:r>
      <w:r w:rsidR="00F50820" w:rsidRPr="002815F4">
        <w:t>è</w:t>
      </w:r>
      <w:r w:rsidR="00940472" w:rsidRPr="002815F4">
        <w:t>s and Matam are driven by the decentralised PWYP network</w:t>
      </w:r>
      <w:r w:rsidR="00BE17A4" w:rsidRPr="002815F4">
        <w:t>, with close involvement with local officials.</w:t>
      </w:r>
      <w:r w:rsidR="00940472" w:rsidRPr="002815F4">
        <w:t xml:space="preserve"> </w:t>
      </w:r>
      <w:r w:rsidRPr="002815F4">
        <w:t xml:space="preserve">Several activists </w:t>
      </w:r>
      <w:r w:rsidRPr="002815F4">
        <w:lastRenderedPageBreak/>
        <w:t xml:space="preserve">called for more capacity building to support civil society’s capacity to analyse EITI data that they now considered comprehensive and reliable. To empower citizen oversight, they cited the example of needing to simplify extractives contracts for public use and using of license coordinates to track projects. Several CSOs explained that they planned to issue “shadow” reports on the basis of EITI Reports to highlight key civil society demands for more information. </w:t>
      </w:r>
    </w:p>
    <w:p w14:paraId="21565FB8" w14:textId="0A604208" w:rsidR="00662065" w:rsidRPr="002815F4" w:rsidRDefault="0063609E">
      <w:pPr>
        <w:spacing w:before="120"/>
        <w:rPr>
          <w:rFonts w:ascii="Calibri" w:hAnsi="Calibri"/>
        </w:rPr>
      </w:pPr>
      <w:r w:rsidRPr="002815F4">
        <w:rPr>
          <w:rFonts w:ascii="Calibri" w:hAnsi="Calibri"/>
          <w:bCs/>
        </w:rPr>
        <w:t>Secretariat staff explained that they had launched an internal monthly newsletter for MSG members in January 2017 (“</w:t>
      </w:r>
      <w:r w:rsidRPr="002815F4">
        <w:rPr>
          <w:rFonts w:ascii="Calibri" w:hAnsi="Calibri"/>
          <w:bCs/>
          <w:i/>
        </w:rPr>
        <w:t>Le Point</w:t>
      </w:r>
      <w:r w:rsidRPr="002815F4">
        <w:rPr>
          <w:rFonts w:ascii="Calibri" w:hAnsi="Calibri"/>
          <w:bCs/>
        </w:rPr>
        <w:t xml:space="preserve">”) and were developing a public biannual newsletter starting in January 2018. Parliamentarians and secretariat staff explained that while the July 2017 legislative elections had slowed down EITI Senegal’s engagement with the Parliamentary network, a series of capacity building and engagements were planned with the new Members of Parliament. </w:t>
      </w:r>
      <w:r w:rsidR="00BE17A4" w:rsidRPr="002815F4">
        <w:rPr>
          <w:rFonts w:ascii="Calibri" w:hAnsi="Calibri"/>
          <w:bCs/>
        </w:rPr>
        <w:t xml:space="preserve">All stakeholders highlighted the savvy coordinating role provided by the </w:t>
      </w:r>
      <w:r w:rsidR="00F36CAB">
        <w:rPr>
          <w:rFonts w:ascii="Calibri" w:hAnsi="Calibri"/>
          <w:bCs/>
        </w:rPr>
        <w:t>s</w:t>
      </w:r>
      <w:r w:rsidR="00BE17A4" w:rsidRPr="002815F4">
        <w:rPr>
          <w:rFonts w:ascii="Calibri" w:hAnsi="Calibri"/>
          <w:bCs/>
        </w:rPr>
        <w:t xml:space="preserve">ecretariat for activities both at the national and subnational levels. Stakeholders highlighted the geographic and sectoral representation on the MSG, which helped in dissemination and outreach, and the multi-facetted approach to dissemination through many channels and in the three major local languages. CSOs confirmed that they intended to continue the practice of translating the summary 2014 EITI Report (“Comprendre pour agir”) into the three languages for the 2015-16 EITI Reports. </w:t>
      </w:r>
    </w:p>
    <w:p w14:paraId="7A61B414" w14:textId="6311955B" w:rsidR="00662065" w:rsidRPr="002815F4" w:rsidRDefault="00662065" w:rsidP="007474FE">
      <w:pPr>
        <w:spacing w:before="120"/>
      </w:pPr>
      <w:r w:rsidRPr="002815F4">
        <w:rPr>
          <w:rFonts w:ascii="Calibri" w:hAnsi="Calibri"/>
          <w:bCs/>
          <w:i/>
          <w:u w:val="single"/>
        </w:rPr>
        <w:t>Coverage</w:t>
      </w:r>
      <w:r w:rsidRPr="002815F4">
        <w:rPr>
          <w:rFonts w:ascii="Calibri" w:hAnsi="Calibri"/>
          <w:bCs/>
        </w:rPr>
        <w:t xml:space="preserve">: </w:t>
      </w:r>
      <w:r w:rsidR="00862004" w:rsidRPr="002815F4">
        <w:rPr>
          <w:rFonts w:ascii="Calibri" w:hAnsi="Calibri"/>
          <w:bCs/>
        </w:rPr>
        <w:t xml:space="preserve">Secretariat staff highlighted the findings of its review of media coverage over the 2014-17 period, published just after the start of Validation on 3 July 2017. </w:t>
      </w:r>
      <w:r w:rsidR="0040676D" w:rsidRPr="002815F4">
        <w:rPr>
          <w:rFonts w:ascii="Calibri" w:hAnsi="Calibri"/>
          <w:bCs/>
        </w:rPr>
        <w:t xml:space="preserve">This had found that coverage has risen swiftly from </w:t>
      </w:r>
      <w:r w:rsidR="0040676D" w:rsidRPr="002815F4">
        <w:t>144 articles in 2015 to 214 in 2016 and 108 articles in the first half of 2017. Secretariat staff also highlighted the frequent requests for information from non-media actors, such as investment advisors and consultancies. Staff also explained that the quality of coverage had tended to improve, with more in-depth analysis of EITI Reports rather than simply quoting headline figures, and considered that this reflected their efforts in training journalists since 2015. In particular, information on contracts and licenses, signature bonuses and social expenditures were priority issues for the press. Secretariat staff explained that the highest concentration of coverage was in the final quarter of the year during dissemination of new EITI Reports. They explained that they had started scheduling high-level forums and discussions throughout the year, for instance in June 2017, in an attempt to balance the media coverage across the year. Journalists consulted explained that the Network of Journalists on Extractive Industry Transparency (“Ré</w:t>
      </w:r>
      <w:r w:rsidRPr="002815F4">
        <w:t>seau de Journaliste</w:t>
      </w:r>
      <w:r w:rsidR="0040676D" w:rsidRPr="002815F4">
        <w:t>s sur la Transparence dans les Industries E</w:t>
      </w:r>
      <w:r w:rsidRPr="002815F4">
        <w:t>xtractives</w:t>
      </w:r>
      <w:r w:rsidR="0040676D" w:rsidRPr="002815F4">
        <w:t>”)</w:t>
      </w:r>
      <w:r w:rsidR="00172FF8" w:rsidRPr="002815F4">
        <w:t xml:space="preserve"> was formed in July 2017, although an informal network of journalists had previously been coordinated by the secretariat’s communications officer, who was expected to continue in this coordinating role. All journalists consulted considered that EITI Reports were the only source of information on Senegal’s extractive industries, albeit explaining that they preferred receiving press releases from the secretariat rather than investigate key pieces of information in EITI Reports. </w:t>
      </w:r>
      <w:r w:rsidR="00082A2E" w:rsidRPr="002815F4">
        <w:t xml:space="preserve">Several journalists called for training of their editors to allow them to publish more stories on the extractives. However, there was consensus that demand for extractives information was expected to grow with first production of oil and gas. </w:t>
      </w:r>
    </w:p>
    <w:p w14:paraId="0BD037E9" w14:textId="6E7C6992" w:rsidR="00662065" w:rsidRPr="002815F4" w:rsidRDefault="00662065" w:rsidP="007A7FB4">
      <w:pPr>
        <w:spacing w:before="120"/>
        <w:rPr>
          <w:rFonts w:ascii="Calibri" w:hAnsi="Calibri"/>
          <w:bCs/>
        </w:rPr>
      </w:pPr>
      <w:r w:rsidRPr="002815F4">
        <w:rPr>
          <w:rFonts w:ascii="Calibri" w:hAnsi="Calibri"/>
          <w:bCs/>
          <w:i/>
          <w:u w:val="single"/>
        </w:rPr>
        <w:t>Use of data</w:t>
      </w:r>
      <w:r w:rsidRPr="002815F4">
        <w:rPr>
          <w:rFonts w:ascii="Calibri" w:hAnsi="Calibri"/>
          <w:bCs/>
        </w:rPr>
        <w:t xml:space="preserve">: </w:t>
      </w:r>
      <w:r w:rsidR="00EA29A9" w:rsidRPr="002815F4">
        <w:rPr>
          <w:rFonts w:ascii="Calibri" w:hAnsi="Calibri"/>
          <w:bCs/>
        </w:rPr>
        <w:t xml:space="preserve">Stakeholders from all constituencies consulted provided concrete examples of their use of EITI data. Several company representatives highlighted their use of EITI data on the total mining-sector contribution to government revenues as part of their lobbying. A parliamentarian explained that one of the key figures highlighted by EITI Reports was that the mining sector contributed roughly XOF 40bn, which they compared to their estimate of XOF 400bn in tax incentives for mining companies. The EITI has clearly contributed to public debate according to all stakeholders consulted, at the national and subnational levels. Companies had also closely examined the mining, oil and gas contracts that were </w:t>
      </w:r>
      <w:r w:rsidR="00EA29A9" w:rsidRPr="002815F4">
        <w:rPr>
          <w:rFonts w:ascii="Calibri" w:hAnsi="Calibri"/>
          <w:bCs/>
        </w:rPr>
        <w:lastRenderedPageBreak/>
        <w:t xml:space="preserve">published in October 2016, as an integral part of Senegal’s EITI commitment. Secretariat staff and government officials noted that there </w:t>
      </w:r>
      <w:r w:rsidR="00F36CAB">
        <w:rPr>
          <w:rFonts w:ascii="Calibri" w:hAnsi="Calibri"/>
          <w:bCs/>
        </w:rPr>
        <w:t>was</w:t>
      </w:r>
      <w:r w:rsidR="00EA29A9" w:rsidRPr="002815F4">
        <w:rPr>
          <w:rFonts w:ascii="Calibri" w:hAnsi="Calibri"/>
          <w:bCs/>
        </w:rPr>
        <w:t xml:space="preserve"> virtually no information about the extractives sector prior to implementing the EITI. Senegal was thus using the EITI as a diagnostic tool to drive reforms, with examples ranging from disaggregating an extractives line in their government accounts (TOFE) to disaggregating</w:t>
      </w:r>
      <w:r w:rsidR="008D68D0" w:rsidRPr="002815F4">
        <w:rPr>
          <w:rFonts w:ascii="Calibri" w:hAnsi="Calibri"/>
          <w:bCs/>
        </w:rPr>
        <w:t xml:space="preserve"> the national statistics agency (ANSD)’s</w:t>
      </w:r>
      <w:r w:rsidR="00EA29A9" w:rsidRPr="002815F4">
        <w:rPr>
          <w:rFonts w:ascii="Calibri" w:hAnsi="Calibri"/>
          <w:bCs/>
        </w:rPr>
        <w:t xml:space="preserve"> official mining production and export volumes and values</w:t>
      </w:r>
      <w:r w:rsidR="008D68D0" w:rsidRPr="002815F4">
        <w:rPr>
          <w:rFonts w:ascii="Calibri" w:hAnsi="Calibri"/>
          <w:bCs/>
        </w:rPr>
        <w:t xml:space="preserve">. </w:t>
      </w:r>
      <w:r w:rsidR="000E38A3" w:rsidRPr="002815F4">
        <w:rPr>
          <w:rFonts w:ascii="Calibri" w:hAnsi="Calibri"/>
          <w:bCs/>
        </w:rPr>
        <w:t xml:space="preserve">Several representatives from parliament and government explained that the Parliamentary Network on Good Governance and Transparency </w:t>
      </w:r>
      <w:r w:rsidR="00EC2F6C" w:rsidRPr="002815F4">
        <w:rPr>
          <w:rFonts w:ascii="Calibri" w:hAnsi="Calibri"/>
          <w:bCs/>
        </w:rPr>
        <w:t xml:space="preserve">had been supported by the World Bank, OSIWA and OXFAM since its establishment in 2014, including through peer exchanges in </w:t>
      </w:r>
      <w:r w:rsidR="00EC2F6C" w:rsidRPr="002815F4">
        <w:t>Burkina Faso, Ghana and South Africa</w:t>
      </w:r>
      <w:r w:rsidR="00EC2F6C" w:rsidRPr="002815F4">
        <w:rPr>
          <w:rFonts w:ascii="Calibri" w:hAnsi="Calibri"/>
          <w:bCs/>
        </w:rPr>
        <w:t xml:space="preserve">. Amidst transition to the newly-elected parliamentarians, they explained that the network was establishing a regional network with counterparts in neighbouring countries like Burkina Faso and Guinea. </w:t>
      </w:r>
    </w:p>
    <w:p w14:paraId="4A6F2D69" w14:textId="1B27860E" w:rsidR="00601017" w:rsidRPr="002815F4" w:rsidRDefault="00601017" w:rsidP="009B3E66">
      <w:pPr>
        <w:pStyle w:val="Heading3"/>
      </w:pPr>
      <w:r w:rsidRPr="002815F4">
        <w:t xml:space="preserve">Initial </w:t>
      </w:r>
      <w:r w:rsidR="0073607A" w:rsidRPr="002815F4">
        <w:t>a</w:t>
      </w:r>
      <w:r w:rsidR="00D41A8E" w:rsidRPr="002815F4">
        <w:t>ssessment</w:t>
      </w:r>
    </w:p>
    <w:p w14:paraId="00ED5532" w14:textId="31900F26" w:rsidR="00112D9C" w:rsidRPr="002815F4" w:rsidRDefault="000625E3" w:rsidP="00FF0D21">
      <w:pPr>
        <w:spacing w:before="120"/>
        <w:rPr>
          <w:rFonts w:ascii="Calibri" w:hAnsi="Calibri"/>
          <w:color w:val="000000" w:themeColor="text1"/>
          <w:lang w:eastAsia="x-none"/>
        </w:rPr>
      </w:pPr>
      <w:r w:rsidRPr="002815F4">
        <w:rPr>
          <w:rFonts w:ascii="Calibri" w:hAnsi="Calibri"/>
          <w:color w:val="000000" w:themeColor="text1"/>
          <w:lang w:eastAsia="x-none"/>
        </w:rPr>
        <w:t xml:space="preserve">The International Secretariat’s initial assessment is that </w:t>
      </w:r>
      <w:r w:rsidR="00DD08EE" w:rsidRPr="002815F4">
        <w:rPr>
          <w:rFonts w:ascii="Calibri" w:hAnsi="Calibri"/>
          <w:bCs/>
        </w:rPr>
        <w:t>Senegal</w:t>
      </w:r>
      <w:r w:rsidR="00DD08EE" w:rsidRPr="002815F4">
        <w:rPr>
          <w:rFonts w:ascii="Calibri" w:hAnsi="Calibri"/>
          <w:color w:val="000000" w:themeColor="text1"/>
          <w:lang w:eastAsia="x-none"/>
        </w:rPr>
        <w:t xml:space="preserve"> </w:t>
      </w:r>
      <w:r w:rsidRPr="002815F4">
        <w:rPr>
          <w:rFonts w:ascii="Calibri" w:hAnsi="Calibri"/>
          <w:color w:val="000000" w:themeColor="text1"/>
          <w:lang w:eastAsia="x-none"/>
        </w:rPr>
        <w:t xml:space="preserve">has made </w:t>
      </w:r>
      <w:r w:rsidR="00DD08EE" w:rsidRPr="002815F4">
        <w:rPr>
          <w:rFonts w:ascii="Calibri" w:hAnsi="Calibri"/>
          <w:bCs/>
        </w:rPr>
        <w:t>satisfactory</w:t>
      </w:r>
      <w:r w:rsidR="00DD08EE" w:rsidRPr="002815F4">
        <w:rPr>
          <w:rFonts w:ascii="Calibri" w:hAnsi="Calibri"/>
          <w:b/>
          <w:bCs/>
        </w:rPr>
        <w:t xml:space="preserve"> </w:t>
      </w:r>
      <w:r w:rsidRPr="002815F4">
        <w:rPr>
          <w:rFonts w:ascii="Calibri" w:hAnsi="Calibri"/>
          <w:color w:val="000000" w:themeColor="text1"/>
          <w:lang w:eastAsia="x-none"/>
        </w:rPr>
        <w:t>progress in</w:t>
      </w:r>
      <w:r w:rsidR="00FF0D21" w:rsidRPr="002815F4">
        <w:rPr>
          <w:rFonts w:ascii="Calibri" w:hAnsi="Calibri"/>
          <w:color w:val="000000" w:themeColor="text1"/>
          <w:lang w:eastAsia="x-none"/>
        </w:rPr>
        <w:t xml:space="preserve"> </w:t>
      </w:r>
      <w:r w:rsidRPr="002815F4">
        <w:rPr>
          <w:rFonts w:ascii="Calibri" w:hAnsi="Calibri"/>
          <w:color w:val="000000" w:themeColor="text1"/>
          <w:lang w:eastAsia="x-none"/>
        </w:rPr>
        <w:t xml:space="preserve">meeting this </w:t>
      </w:r>
      <w:commentRangeStart w:id="430"/>
      <w:r w:rsidRPr="002815F4">
        <w:rPr>
          <w:rFonts w:ascii="Calibri" w:hAnsi="Calibri"/>
          <w:color w:val="000000" w:themeColor="text1"/>
          <w:lang w:eastAsia="x-none"/>
        </w:rPr>
        <w:t>requirement</w:t>
      </w:r>
      <w:commentRangeEnd w:id="430"/>
      <w:r w:rsidR="006A3A0E">
        <w:rPr>
          <w:rStyle w:val="CommentReference"/>
          <w:szCs w:val="20"/>
        </w:rPr>
        <w:commentReference w:id="430"/>
      </w:r>
      <w:r w:rsidRPr="002815F4">
        <w:rPr>
          <w:rFonts w:ascii="Calibri" w:hAnsi="Calibri"/>
          <w:color w:val="000000" w:themeColor="text1"/>
          <w:lang w:eastAsia="x-none"/>
        </w:rPr>
        <w:t>.</w:t>
      </w:r>
      <w:r w:rsidR="00901E68" w:rsidRPr="002815F4">
        <w:rPr>
          <w:rFonts w:ascii="Calibri" w:hAnsi="Calibri"/>
          <w:color w:val="000000" w:themeColor="text1"/>
          <w:lang w:eastAsia="x-none"/>
        </w:rPr>
        <w:t xml:space="preserve"> </w:t>
      </w:r>
      <w:r w:rsidR="00FF0D21" w:rsidRPr="002815F4">
        <w:rPr>
          <w:rFonts w:ascii="Calibri" w:hAnsi="Calibri"/>
          <w:color w:val="000000" w:themeColor="text1"/>
          <w:lang w:eastAsia="x-none"/>
        </w:rPr>
        <w:t xml:space="preserve">The Senegal EITI Reports are comprehensible, actively promoted through varied channels (including print, online and through active outreach), publicly accessible and have tangibly contributed to public debate on the extractive industries in Senegal. In the Secretariat’s view, Senegal has made some efforts to go beyond the minimum requirements by developing visualisations of EITI information </w:t>
      </w:r>
      <w:r w:rsidR="00EC2F6C" w:rsidRPr="002815F4">
        <w:rPr>
          <w:rFonts w:ascii="Calibri" w:hAnsi="Calibri"/>
          <w:color w:val="000000" w:themeColor="text1"/>
          <w:lang w:eastAsia="x-none"/>
        </w:rPr>
        <w:t xml:space="preserve">actively disseminated through online and physical channels, including regular </w:t>
      </w:r>
      <w:r w:rsidR="00FF0D21" w:rsidRPr="002815F4">
        <w:rPr>
          <w:rFonts w:ascii="Calibri" w:hAnsi="Calibri"/>
          <w:color w:val="000000" w:themeColor="text1"/>
          <w:lang w:eastAsia="x-none"/>
        </w:rPr>
        <w:t>subnational outreach and dissemination. The three stakeholder groups have also actively contributed to dissemination of EITI information in their bilateral interactions.</w:t>
      </w:r>
    </w:p>
    <w:p w14:paraId="42A27FBD" w14:textId="77777777" w:rsidR="00601017" w:rsidRPr="002815F4" w:rsidRDefault="00601017" w:rsidP="009B3E66">
      <w:pPr>
        <w:pStyle w:val="Heading2"/>
      </w:pPr>
      <w:bookmarkStart w:id="431" w:name="_Toc458773263"/>
      <w:bookmarkStart w:id="432" w:name="_Toc458780360"/>
      <w:bookmarkStart w:id="433" w:name="_Toc461803154"/>
      <w:bookmarkStart w:id="434" w:name="_Toc461787365"/>
      <w:bookmarkStart w:id="435" w:name="_Toc461795877"/>
      <w:bookmarkStart w:id="436" w:name="_Toc462149209"/>
      <w:bookmarkStart w:id="437" w:name="_Toc459133205"/>
      <w:r w:rsidRPr="002815F4">
        <w:t>Data Accessibility (#7.2)</w:t>
      </w:r>
      <w:bookmarkEnd w:id="431"/>
      <w:bookmarkEnd w:id="432"/>
      <w:bookmarkEnd w:id="433"/>
      <w:bookmarkEnd w:id="434"/>
      <w:bookmarkEnd w:id="435"/>
      <w:bookmarkEnd w:id="436"/>
    </w:p>
    <w:bookmarkEnd w:id="437"/>
    <w:p w14:paraId="11A1F092" w14:textId="77777777" w:rsidR="00601017" w:rsidRPr="002815F4" w:rsidRDefault="00D41A8E" w:rsidP="009B3E66">
      <w:pPr>
        <w:pStyle w:val="Heading3"/>
      </w:pPr>
      <w:r w:rsidRPr="002815F4">
        <w:t>Documentation of progress</w:t>
      </w:r>
    </w:p>
    <w:p w14:paraId="2FBF5895" w14:textId="4F0D3713" w:rsidR="00024BFE" w:rsidRDefault="00424BDF" w:rsidP="00024BFE">
      <w:pPr>
        <w:spacing w:before="120"/>
        <w:rPr>
          <w:rFonts w:ascii="Calibri" w:hAnsi="Calibri"/>
          <w:bCs/>
        </w:rPr>
      </w:pPr>
      <w:r w:rsidRPr="002815F4">
        <w:rPr>
          <w:rFonts w:ascii="Calibri" w:hAnsi="Calibri"/>
          <w:bCs/>
        </w:rPr>
        <w:t>Data in b</w:t>
      </w:r>
      <w:r w:rsidR="00024BFE" w:rsidRPr="002815F4">
        <w:rPr>
          <w:rFonts w:ascii="Calibri" w:hAnsi="Calibri"/>
          <w:bCs/>
        </w:rPr>
        <w:t>oth of Senegal’s EITI Reports were published in machine-readable format on the Senegal EITI website</w:t>
      </w:r>
      <w:r w:rsidR="00024BFE" w:rsidRPr="002815F4">
        <w:rPr>
          <w:rStyle w:val="FootnoteReference"/>
          <w:rFonts w:ascii="Calibri" w:hAnsi="Calibri"/>
          <w:bCs/>
        </w:rPr>
        <w:footnoteReference w:id="98"/>
      </w:r>
      <w:r w:rsidR="00024BFE" w:rsidRPr="002815F4">
        <w:rPr>
          <w:rFonts w:ascii="Calibri" w:hAnsi="Calibri"/>
          <w:bCs/>
        </w:rPr>
        <w:t xml:space="preserve">. The MSG has </w:t>
      </w:r>
      <w:r w:rsidR="003D7C33" w:rsidRPr="002815F4">
        <w:rPr>
          <w:rFonts w:ascii="Calibri" w:hAnsi="Calibri"/>
          <w:bCs/>
        </w:rPr>
        <w:t>consistently</w:t>
      </w:r>
      <w:r w:rsidR="00024BFE" w:rsidRPr="002815F4">
        <w:rPr>
          <w:rFonts w:ascii="Calibri" w:hAnsi="Calibri"/>
          <w:bCs/>
        </w:rPr>
        <w:t xml:space="preserve"> included in the ToR for the IA a requirement (provision 5.3) to produce GFS-coded tables for all Senegal EITI data (PH-EITI, 2016), which is available on the Senegal EITI website and on the Senegal country page of the global EITI website. </w:t>
      </w:r>
      <w:r w:rsidRPr="002815F4">
        <w:rPr>
          <w:rFonts w:ascii="Calibri" w:hAnsi="Calibri"/>
          <w:bCs/>
        </w:rPr>
        <w:t xml:space="preserve">The EITI Senegal Secretariat drafted ToR for the implementation of GFSe classification in Treasury systems and circulated it to stakeholders in mid-2017. </w:t>
      </w:r>
      <w:r w:rsidR="00024BFE" w:rsidRPr="002815F4">
        <w:rPr>
          <w:rFonts w:ascii="Calibri" w:hAnsi="Calibri"/>
          <w:bCs/>
        </w:rPr>
        <w:t>The MSG also published summaries of EITI Reports called “Understanding to Act” (“</w:t>
      </w:r>
      <w:r w:rsidR="00024BFE" w:rsidRPr="002815F4">
        <w:rPr>
          <w:rFonts w:ascii="Calibri" w:hAnsi="Calibri"/>
          <w:bCs/>
          <w:i/>
        </w:rPr>
        <w:t>Comprendre pour agir</w:t>
      </w:r>
      <w:r w:rsidR="00024BFE" w:rsidRPr="002815F4">
        <w:rPr>
          <w:rFonts w:ascii="Calibri" w:hAnsi="Calibri"/>
          <w:bCs/>
        </w:rPr>
        <w:t>”)</w:t>
      </w:r>
      <w:r w:rsidRPr="002815F4">
        <w:rPr>
          <w:rFonts w:ascii="Calibri" w:hAnsi="Calibri"/>
          <w:bCs/>
        </w:rPr>
        <w:t>, translated for the 2014 EITI Report into three local languages for the first time</w:t>
      </w:r>
      <w:r w:rsidR="00024BFE" w:rsidRPr="002815F4">
        <w:rPr>
          <w:rFonts w:ascii="Calibri" w:hAnsi="Calibri"/>
          <w:bCs/>
        </w:rPr>
        <w:t xml:space="preserve"> </w:t>
      </w:r>
      <w:sdt>
        <w:sdtPr>
          <w:rPr>
            <w:rFonts w:ascii="Calibri" w:hAnsi="Calibri"/>
            <w:bCs/>
          </w:rPr>
          <w:id w:val="1927226803"/>
          <w:citation/>
        </w:sdtPr>
        <w:sdtEndPr/>
        <w:sdtContent>
          <w:r w:rsidR="00024BFE" w:rsidRPr="002815F4">
            <w:rPr>
              <w:rFonts w:ascii="Calibri" w:hAnsi="Calibri"/>
              <w:bCs/>
            </w:rPr>
            <w:fldChar w:fldCharType="begin"/>
          </w:r>
          <w:r w:rsidR="00024BFE" w:rsidRPr="002815F4">
            <w:rPr>
              <w:rFonts w:ascii="Calibri" w:hAnsi="Calibri"/>
              <w:bCs/>
            </w:rPr>
            <w:instrText xml:space="preserve"> CITATION ITI1511 \l 1033 </w:instrText>
          </w:r>
          <w:r w:rsidR="00024BFE" w:rsidRPr="002815F4">
            <w:rPr>
              <w:rFonts w:ascii="Calibri" w:hAnsi="Calibri"/>
              <w:bCs/>
            </w:rPr>
            <w:fldChar w:fldCharType="separate"/>
          </w:r>
          <w:r w:rsidR="003E626E" w:rsidRPr="002815F4">
            <w:rPr>
              <w:rFonts w:ascii="Calibri" w:hAnsi="Calibri"/>
              <w:noProof/>
            </w:rPr>
            <w:t>(ITIE Senegal, 2015)</w:t>
          </w:r>
          <w:r w:rsidR="00024BFE" w:rsidRPr="002815F4">
            <w:rPr>
              <w:rFonts w:ascii="Calibri" w:hAnsi="Calibri"/>
              <w:bCs/>
            </w:rPr>
            <w:fldChar w:fldCharType="end"/>
          </w:r>
        </w:sdtContent>
      </w:sdt>
      <w:sdt>
        <w:sdtPr>
          <w:rPr>
            <w:rFonts w:ascii="Calibri" w:hAnsi="Calibri"/>
            <w:bCs/>
          </w:rPr>
          <w:id w:val="-1298605531"/>
          <w:citation/>
        </w:sdtPr>
        <w:sdtEndPr/>
        <w:sdtContent>
          <w:r w:rsidR="00024BFE" w:rsidRPr="002815F4">
            <w:rPr>
              <w:rFonts w:ascii="Calibri" w:hAnsi="Calibri"/>
              <w:bCs/>
            </w:rPr>
            <w:fldChar w:fldCharType="begin"/>
          </w:r>
          <w:r w:rsidR="00024BFE" w:rsidRPr="002815F4">
            <w:rPr>
              <w:rFonts w:ascii="Calibri" w:hAnsi="Calibri"/>
              <w:bCs/>
            </w:rPr>
            <w:instrText xml:space="preserve"> CITATION ITI1611 \l 1033 </w:instrText>
          </w:r>
          <w:r w:rsidR="00024BFE" w:rsidRPr="002815F4">
            <w:rPr>
              <w:rFonts w:ascii="Calibri" w:hAnsi="Calibri"/>
              <w:bCs/>
            </w:rPr>
            <w:fldChar w:fldCharType="separate"/>
          </w:r>
          <w:r w:rsidR="003E626E" w:rsidRPr="002815F4">
            <w:rPr>
              <w:rFonts w:ascii="Calibri" w:hAnsi="Calibri"/>
              <w:bCs/>
              <w:noProof/>
            </w:rPr>
            <w:t xml:space="preserve"> </w:t>
          </w:r>
          <w:r w:rsidR="003E626E" w:rsidRPr="002815F4">
            <w:rPr>
              <w:rFonts w:ascii="Calibri" w:hAnsi="Calibri"/>
              <w:noProof/>
            </w:rPr>
            <w:t>(ITIE Senegal, 2016)</w:t>
          </w:r>
          <w:r w:rsidR="00024BFE" w:rsidRPr="002815F4">
            <w:rPr>
              <w:rFonts w:ascii="Calibri" w:hAnsi="Calibri"/>
              <w:bCs/>
            </w:rPr>
            <w:fldChar w:fldCharType="end"/>
          </w:r>
        </w:sdtContent>
      </w:sdt>
      <w:r w:rsidR="00024BFE" w:rsidRPr="002815F4">
        <w:rPr>
          <w:rFonts w:ascii="Calibri" w:hAnsi="Calibri"/>
          <w:bCs/>
        </w:rPr>
        <w:t xml:space="preserve">. It produced summaries of key EITI data in simple forms with infographics </w:t>
      </w:r>
      <w:r w:rsidR="00C871A8" w:rsidRPr="002815F4">
        <w:rPr>
          <w:rFonts w:ascii="Calibri" w:hAnsi="Calibri"/>
          <w:bCs/>
        </w:rPr>
        <w:t xml:space="preserve">available on the Senegal EITI website. </w:t>
      </w:r>
    </w:p>
    <w:p w14:paraId="37EF6906" w14:textId="77777777" w:rsidR="00601017" w:rsidRPr="002815F4" w:rsidRDefault="00D41A8E" w:rsidP="009B3E66">
      <w:pPr>
        <w:pStyle w:val="Heading3"/>
      </w:pPr>
      <w:r w:rsidRPr="002815F4">
        <w:t>Stakeholder views</w:t>
      </w:r>
    </w:p>
    <w:p w14:paraId="75BC06F5" w14:textId="4619626F" w:rsidR="00F36CAB" w:rsidRPr="00F36CAB" w:rsidRDefault="00F36CAB" w:rsidP="00E2507C">
      <w:pPr>
        <w:rPr>
          <w:bCs/>
        </w:rPr>
      </w:pPr>
      <w:r w:rsidRPr="00F36CAB">
        <w:rPr>
          <w:bCs/>
        </w:rPr>
        <w:t xml:space="preserve">All stakeholders praised the secretariat’s efforts at making the information in EITI Reports more accessible to a broader public. Civil society confirmed that summary EITI reports were used and that they had undertaken efforts to translate this data into local languages. They emphasized the need for civil society </w:t>
      </w:r>
      <w:r w:rsidRPr="00F36CAB">
        <w:rPr>
          <w:bCs/>
        </w:rPr>
        <w:lastRenderedPageBreak/>
        <w:t>to be able to use the data. Representatives of the media noted that they tended to read the summary EITI Reports rather than analyse the full versions. The EITI Senegal Secretariat explained that EITI Senegal had submitted a needs assessment to Development Gateway, for an open data portal funded by OSIWA, and expected to start implementing the project by the end of 2017. Secretariat staff also highlighted the importance of disaggregating an extractives line in Treasury accounts through GFSe-2014 for budgetary planning.</w:t>
      </w:r>
    </w:p>
    <w:p w14:paraId="126BCF25" w14:textId="76107412" w:rsidR="00F36CAB" w:rsidRPr="002815F4" w:rsidRDefault="00F36CAB" w:rsidP="00F36CAB">
      <w:pPr>
        <w:pStyle w:val="Heading3"/>
      </w:pPr>
      <w:r>
        <w:t>Initial assessment</w:t>
      </w:r>
    </w:p>
    <w:p w14:paraId="2C256B69" w14:textId="38B82771" w:rsidR="001C549A" w:rsidRPr="002815F4" w:rsidRDefault="001C549A" w:rsidP="00F36CAB">
      <w:r w:rsidRPr="002815F4">
        <w:t xml:space="preserve">Requirement 7.2 encourages the MSGs to make EITI reports accessible to public in open data formats. Such efforts are encouraged but not required and are not assessed in determining compliance with the EITI Standard. Senegal’s EITI data is available in machine readable format through the Senegal EITI website and the EITI global website, drawing on summary data tables completed by the national secretariat. Senegal EITI has also published summaries of EITI Reports in accessible infographic format for the first two EITI Reports. </w:t>
      </w:r>
      <w:r w:rsidR="0056699B" w:rsidRPr="002815F4">
        <w:t xml:space="preserve">The MSG is exploring options for ensuring even timelier reporting through online disclosures. </w:t>
      </w:r>
    </w:p>
    <w:p w14:paraId="7D4D6E4A" w14:textId="77777777" w:rsidR="00601017" w:rsidRPr="002815F4" w:rsidRDefault="00601017" w:rsidP="009B3E66">
      <w:pPr>
        <w:pStyle w:val="Heading2"/>
      </w:pPr>
      <w:bookmarkStart w:id="438" w:name="_Toc461796701"/>
      <w:bookmarkStart w:id="439" w:name="_Toc458773264"/>
      <w:bookmarkStart w:id="440" w:name="_Toc458780361"/>
      <w:bookmarkStart w:id="441" w:name="_Toc461803155"/>
      <w:bookmarkStart w:id="442" w:name="_Toc461787366"/>
      <w:bookmarkStart w:id="443" w:name="_Toc461795878"/>
      <w:bookmarkStart w:id="444" w:name="_Toc462149210"/>
      <w:bookmarkStart w:id="445" w:name="_Toc459133206"/>
      <w:bookmarkEnd w:id="438"/>
      <w:r w:rsidRPr="002815F4">
        <w:t>Lessons Learned and follow-up on recommendations (#7.3)</w:t>
      </w:r>
      <w:bookmarkEnd w:id="439"/>
      <w:bookmarkEnd w:id="440"/>
      <w:bookmarkEnd w:id="441"/>
      <w:bookmarkEnd w:id="442"/>
      <w:bookmarkEnd w:id="443"/>
      <w:bookmarkEnd w:id="444"/>
    </w:p>
    <w:bookmarkEnd w:id="445"/>
    <w:p w14:paraId="02104D10" w14:textId="77777777" w:rsidR="00D40D00" w:rsidRPr="002815F4" w:rsidRDefault="00D41A8E" w:rsidP="009B3E66">
      <w:pPr>
        <w:pStyle w:val="Heading3"/>
      </w:pPr>
      <w:r w:rsidRPr="002815F4">
        <w:t>Documentation of progress</w:t>
      </w:r>
      <w:r w:rsidR="00556655" w:rsidRPr="002815F4">
        <w:t xml:space="preserve"> </w:t>
      </w:r>
    </w:p>
    <w:p w14:paraId="157ECBFB" w14:textId="227667C9" w:rsidR="00F649A3" w:rsidRPr="002815F4" w:rsidRDefault="005C2F25" w:rsidP="00172180">
      <w:pPr>
        <w:spacing w:before="120"/>
        <w:rPr>
          <w:rFonts w:ascii="Calibri" w:hAnsi="Calibri"/>
          <w:bCs/>
        </w:rPr>
      </w:pPr>
      <w:r w:rsidRPr="002815F4">
        <w:rPr>
          <w:rFonts w:ascii="Calibri" w:hAnsi="Calibri"/>
          <w:bCs/>
        </w:rPr>
        <w:t xml:space="preserve">The MSG has provided input to EITI recommendations it has agreed and has actively followed up on recommendations from its EITI reporting. This has led to concrete reforms in several areas. </w:t>
      </w:r>
    </w:p>
    <w:p w14:paraId="64BCC605" w14:textId="6F3F794E" w:rsidR="006E452F" w:rsidRPr="002815F4" w:rsidRDefault="002005B5" w:rsidP="00172180">
      <w:pPr>
        <w:spacing w:before="120"/>
        <w:rPr>
          <w:rFonts w:ascii="Calibri" w:hAnsi="Calibri"/>
          <w:bCs/>
        </w:rPr>
      </w:pPr>
      <w:r w:rsidRPr="002815F4">
        <w:rPr>
          <w:rFonts w:ascii="Calibri" w:hAnsi="Calibri"/>
          <w:bCs/>
          <w:i/>
          <w:u w:val="single"/>
        </w:rPr>
        <w:t xml:space="preserve">MSG input: </w:t>
      </w:r>
      <w:r w:rsidRPr="002815F4">
        <w:rPr>
          <w:rFonts w:ascii="Calibri" w:hAnsi="Calibri"/>
          <w:bCs/>
        </w:rPr>
        <w:t>While the MSG had discussed recommendations ahead of its first EITI Report, it appears that the IA</w:t>
      </w:r>
      <w:r w:rsidR="0021013C" w:rsidRPr="002815F4">
        <w:rPr>
          <w:rFonts w:ascii="Calibri" w:hAnsi="Calibri"/>
          <w:bCs/>
        </w:rPr>
        <w:t xml:space="preserve"> for the first report</w:t>
      </w:r>
      <w:r w:rsidRPr="002815F4">
        <w:rPr>
          <w:rFonts w:ascii="Calibri" w:hAnsi="Calibri"/>
          <w:bCs/>
        </w:rPr>
        <w:t xml:space="preserve">, Fairlinks, included only the recommendations it had formulated in the final version of the 2013 EITI Report </w:t>
      </w:r>
      <w:sdt>
        <w:sdtPr>
          <w:rPr>
            <w:rFonts w:ascii="Calibri" w:hAnsi="Calibri"/>
            <w:bCs/>
          </w:rPr>
          <w:id w:val="1703661806"/>
          <w:citation/>
        </w:sdtPr>
        <w:sdtEndPr/>
        <w:sdtContent>
          <w:r w:rsidRPr="002815F4">
            <w:rPr>
              <w:rFonts w:ascii="Calibri" w:hAnsi="Calibri"/>
              <w:bCs/>
            </w:rPr>
            <w:fldChar w:fldCharType="begin"/>
          </w:r>
          <w:r w:rsidRPr="002815F4">
            <w:rPr>
              <w:rFonts w:ascii="Calibri" w:hAnsi="Calibri"/>
              <w:bCs/>
            </w:rPr>
            <w:instrText xml:space="preserve"> CITATION ITI159 \l 1033 </w:instrText>
          </w:r>
          <w:r w:rsidRPr="002815F4">
            <w:rPr>
              <w:rFonts w:ascii="Calibri" w:hAnsi="Calibri"/>
              <w:bCs/>
            </w:rPr>
            <w:fldChar w:fldCharType="separate"/>
          </w:r>
          <w:r w:rsidR="003E626E" w:rsidRPr="002815F4">
            <w:rPr>
              <w:rFonts w:ascii="Calibri" w:hAnsi="Calibri"/>
              <w:noProof/>
            </w:rPr>
            <w:t>(ITIE Senegal, 2015)</w:t>
          </w:r>
          <w:r w:rsidRPr="002815F4">
            <w:rPr>
              <w:rFonts w:ascii="Calibri" w:hAnsi="Calibri"/>
              <w:bCs/>
            </w:rPr>
            <w:fldChar w:fldCharType="end"/>
          </w:r>
        </w:sdtContent>
      </w:sdt>
      <w:r w:rsidRPr="002815F4">
        <w:rPr>
          <w:rFonts w:ascii="Calibri" w:hAnsi="Calibri"/>
          <w:bCs/>
        </w:rPr>
        <w:t xml:space="preserve">. In the 2014 EITI Report however, there is ample evidence from MSG meeting minutes of the MSG’s input to the drafting of the EITI Report, including its recommendations </w:t>
      </w:r>
      <w:sdt>
        <w:sdtPr>
          <w:rPr>
            <w:rFonts w:ascii="Calibri" w:hAnsi="Calibri"/>
            <w:bCs/>
          </w:rPr>
          <w:id w:val="1074394717"/>
          <w:citation/>
        </w:sdtPr>
        <w:sdtEndPr/>
        <w:sdtContent>
          <w:r w:rsidRPr="002815F4">
            <w:rPr>
              <w:rFonts w:ascii="Calibri" w:hAnsi="Calibri"/>
              <w:bCs/>
            </w:rPr>
            <w:fldChar w:fldCharType="begin"/>
          </w:r>
          <w:r w:rsidRPr="002815F4">
            <w:rPr>
              <w:rFonts w:ascii="Calibri" w:hAnsi="Calibri"/>
              <w:bCs/>
            </w:rPr>
            <w:instrText xml:space="preserve"> CITATION ITI1622 \l 1033 </w:instrText>
          </w:r>
          <w:r w:rsidRPr="002815F4">
            <w:rPr>
              <w:rFonts w:ascii="Calibri" w:hAnsi="Calibri"/>
              <w:bCs/>
            </w:rPr>
            <w:fldChar w:fldCharType="separate"/>
          </w:r>
          <w:r w:rsidR="003E626E" w:rsidRPr="002815F4">
            <w:rPr>
              <w:rFonts w:ascii="Calibri" w:hAnsi="Calibri"/>
              <w:noProof/>
            </w:rPr>
            <w:t>(ITIE Senegal, 2016)</w:t>
          </w:r>
          <w:r w:rsidRPr="002815F4">
            <w:rPr>
              <w:rFonts w:ascii="Calibri" w:hAnsi="Calibri"/>
              <w:bCs/>
            </w:rPr>
            <w:fldChar w:fldCharType="end"/>
          </w:r>
        </w:sdtContent>
      </w:sdt>
      <w:sdt>
        <w:sdtPr>
          <w:rPr>
            <w:rFonts w:ascii="Calibri" w:hAnsi="Calibri"/>
            <w:bCs/>
          </w:rPr>
          <w:id w:val="540398446"/>
          <w:citation/>
        </w:sdtPr>
        <w:sdtEndPr/>
        <w:sdtContent>
          <w:r w:rsidRPr="002815F4">
            <w:rPr>
              <w:rFonts w:ascii="Calibri" w:hAnsi="Calibri"/>
              <w:bCs/>
            </w:rPr>
            <w:fldChar w:fldCharType="begin"/>
          </w:r>
          <w:r w:rsidRPr="002815F4">
            <w:rPr>
              <w:rFonts w:ascii="Calibri" w:hAnsi="Calibri"/>
              <w:bCs/>
            </w:rPr>
            <w:instrText xml:space="preserve"> CITATION ITI1623 \l 1033 </w:instrText>
          </w:r>
          <w:r w:rsidRPr="002815F4">
            <w:rPr>
              <w:rFonts w:ascii="Calibri" w:hAnsi="Calibri"/>
              <w:bCs/>
            </w:rPr>
            <w:fldChar w:fldCharType="separate"/>
          </w:r>
          <w:r w:rsidR="003E626E" w:rsidRPr="002815F4">
            <w:rPr>
              <w:rFonts w:ascii="Calibri" w:hAnsi="Calibri"/>
              <w:bCs/>
              <w:noProof/>
            </w:rPr>
            <w:t xml:space="preserve"> </w:t>
          </w:r>
          <w:r w:rsidR="003E626E" w:rsidRPr="002815F4">
            <w:rPr>
              <w:rFonts w:ascii="Calibri" w:hAnsi="Calibri"/>
              <w:noProof/>
            </w:rPr>
            <w:t>(ITIE Senegal, 2016)</w:t>
          </w:r>
          <w:r w:rsidRPr="002815F4">
            <w:rPr>
              <w:rFonts w:ascii="Calibri" w:hAnsi="Calibri"/>
              <w:bCs/>
            </w:rPr>
            <w:fldChar w:fldCharType="end"/>
          </w:r>
        </w:sdtContent>
      </w:sdt>
      <w:r w:rsidRPr="002815F4">
        <w:rPr>
          <w:rFonts w:ascii="Calibri" w:hAnsi="Calibri"/>
          <w:bCs/>
        </w:rPr>
        <w:t xml:space="preserve">. The Court of Counts, given </w:t>
      </w:r>
      <w:r w:rsidR="006E452F" w:rsidRPr="002815F4">
        <w:rPr>
          <w:rFonts w:ascii="Calibri" w:hAnsi="Calibri"/>
          <w:bCs/>
        </w:rPr>
        <w:t xml:space="preserve">its involvement in certifying government EITI reporting </w:t>
      </w:r>
      <w:r w:rsidRPr="002815F4">
        <w:rPr>
          <w:rFonts w:ascii="Calibri" w:hAnsi="Calibri"/>
          <w:bCs/>
        </w:rPr>
        <w:t>for the first time</w:t>
      </w:r>
      <w:r w:rsidR="006E452F" w:rsidRPr="002815F4">
        <w:rPr>
          <w:rFonts w:ascii="Calibri" w:hAnsi="Calibri"/>
          <w:bCs/>
        </w:rPr>
        <w:t xml:space="preserve">, made </w:t>
      </w:r>
      <w:r w:rsidRPr="002815F4">
        <w:rPr>
          <w:rFonts w:ascii="Calibri" w:hAnsi="Calibri"/>
          <w:bCs/>
        </w:rPr>
        <w:t xml:space="preserve">several </w:t>
      </w:r>
      <w:r w:rsidR="006E452F" w:rsidRPr="002815F4">
        <w:rPr>
          <w:rFonts w:ascii="Calibri" w:hAnsi="Calibri"/>
          <w:bCs/>
        </w:rPr>
        <w:t xml:space="preserve">recommendations that were discussed at MSG meetings and included in the 2014 EITI Report </w:t>
      </w:r>
      <w:sdt>
        <w:sdtPr>
          <w:rPr>
            <w:rFonts w:ascii="Calibri" w:hAnsi="Calibri"/>
            <w:bCs/>
          </w:rPr>
          <w:id w:val="1124265052"/>
          <w:citation/>
        </w:sdtPr>
        <w:sdtEndPr/>
        <w:sdtContent>
          <w:r w:rsidR="006E452F" w:rsidRPr="002815F4">
            <w:rPr>
              <w:rFonts w:ascii="Calibri" w:hAnsi="Calibri"/>
              <w:bCs/>
            </w:rPr>
            <w:fldChar w:fldCharType="begin"/>
          </w:r>
          <w:r w:rsidR="006E452F" w:rsidRPr="002815F4">
            <w:rPr>
              <w:rFonts w:ascii="Calibri" w:hAnsi="Calibri"/>
              <w:bCs/>
            </w:rPr>
            <w:instrText xml:space="preserve"> CITATION ITI1622 \l 1033 </w:instrText>
          </w:r>
          <w:r w:rsidR="006E452F" w:rsidRPr="002815F4">
            <w:rPr>
              <w:rFonts w:ascii="Calibri" w:hAnsi="Calibri"/>
              <w:bCs/>
            </w:rPr>
            <w:fldChar w:fldCharType="separate"/>
          </w:r>
          <w:r w:rsidR="003E626E" w:rsidRPr="002815F4">
            <w:rPr>
              <w:rFonts w:ascii="Calibri" w:hAnsi="Calibri"/>
              <w:noProof/>
            </w:rPr>
            <w:t>(ITIE Senegal, 2016)</w:t>
          </w:r>
          <w:r w:rsidR="006E452F" w:rsidRPr="002815F4">
            <w:rPr>
              <w:rFonts w:ascii="Calibri" w:hAnsi="Calibri"/>
              <w:bCs/>
            </w:rPr>
            <w:fldChar w:fldCharType="end"/>
          </w:r>
        </w:sdtContent>
      </w:sdt>
      <w:r w:rsidR="006E452F" w:rsidRPr="002815F4">
        <w:rPr>
          <w:rFonts w:ascii="Calibri" w:hAnsi="Calibri"/>
          <w:bCs/>
        </w:rPr>
        <w:t xml:space="preserve">. </w:t>
      </w:r>
    </w:p>
    <w:p w14:paraId="47DA759A" w14:textId="4F96507F" w:rsidR="005C2F25" w:rsidRPr="002815F4" w:rsidRDefault="002005B5" w:rsidP="00172180">
      <w:pPr>
        <w:spacing w:before="120"/>
        <w:rPr>
          <w:rFonts w:ascii="Calibri" w:hAnsi="Calibri"/>
          <w:bCs/>
        </w:rPr>
      </w:pPr>
      <w:r w:rsidRPr="002815F4">
        <w:rPr>
          <w:rFonts w:ascii="Calibri" w:hAnsi="Calibri"/>
          <w:i/>
          <w:u w:val="single"/>
        </w:rPr>
        <w:t>Follow-up</w:t>
      </w:r>
      <w:r w:rsidRPr="002815F4">
        <w:rPr>
          <w:rFonts w:ascii="Calibri" w:hAnsi="Calibri"/>
        </w:rPr>
        <w:t xml:space="preserve">: </w:t>
      </w:r>
      <w:r w:rsidR="005C2F25" w:rsidRPr="002815F4">
        <w:rPr>
          <w:rFonts w:ascii="Calibri" w:hAnsi="Calibri"/>
        </w:rPr>
        <w:t xml:space="preserve">While the MSG had originally (in 2014-15) planned on a high-level inter-ministerial committee being established to follow up on EITI recommendations, this was not implemented. Rather, the MSG, led by the National Coordinator and the EITI Champion, have led bilateral efforts to follow up with individual government agencies, through official ministerial-level meetings and more operational working groups. </w:t>
      </w:r>
      <w:r w:rsidR="00F763C2" w:rsidRPr="002815F4">
        <w:rPr>
          <w:rFonts w:ascii="Calibri" w:hAnsi="Calibri"/>
        </w:rPr>
        <w:t xml:space="preserve">There is ample evidence of bilateral follow-up with the Ministries of Economy and Finance, of Energy and Renewable Energy Development, of Industry and Mines as well as their agencies. The MSG has a dedicated plan of action for following up on EITI recommendations and the EITI Senegal Secretariat monitors progress in follow-up on past recommendations on a weekly basis. </w:t>
      </w:r>
      <w:r w:rsidR="001D5AED" w:rsidRPr="002815F4">
        <w:rPr>
          <w:rFonts w:ascii="Calibri" w:hAnsi="Calibri"/>
        </w:rPr>
        <w:t xml:space="preserve">Most recently, the MSG Chair and Secretariat staff met with COS-PETROGAZ management to follow up on specific recommendations from the 2014 EITI Report </w:t>
      </w:r>
      <w:sdt>
        <w:sdtPr>
          <w:rPr>
            <w:rFonts w:ascii="Calibri" w:hAnsi="Calibri"/>
          </w:rPr>
          <w:id w:val="-287039713"/>
          <w:citation/>
        </w:sdtPr>
        <w:sdtEndPr/>
        <w:sdtContent>
          <w:r w:rsidR="001D5AED" w:rsidRPr="002815F4">
            <w:rPr>
              <w:rFonts w:ascii="Calibri" w:hAnsi="Calibri"/>
            </w:rPr>
            <w:fldChar w:fldCharType="begin"/>
          </w:r>
          <w:r w:rsidR="001D5AED" w:rsidRPr="002815F4">
            <w:rPr>
              <w:rFonts w:ascii="Calibri" w:hAnsi="Calibri"/>
            </w:rPr>
            <w:instrText xml:space="preserve"> CITATION ITI1728 \l 1033 </w:instrText>
          </w:r>
          <w:r w:rsidR="001D5AED" w:rsidRPr="002815F4">
            <w:rPr>
              <w:rFonts w:ascii="Calibri" w:hAnsi="Calibri"/>
            </w:rPr>
            <w:fldChar w:fldCharType="separate"/>
          </w:r>
          <w:r w:rsidR="001D5AED" w:rsidRPr="002815F4">
            <w:rPr>
              <w:rFonts w:ascii="Calibri" w:hAnsi="Calibri"/>
              <w:noProof/>
            </w:rPr>
            <w:t>(ITIE Senegal, 2017)</w:t>
          </w:r>
          <w:r w:rsidR="001D5AED" w:rsidRPr="002815F4">
            <w:rPr>
              <w:rFonts w:ascii="Calibri" w:hAnsi="Calibri"/>
            </w:rPr>
            <w:fldChar w:fldCharType="end"/>
          </w:r>
        </w:sdtContent>
      </w:sdt>
      <w:r w:rsidR="001D5AED" w:rsidRPr="002815F4">
        <w:rPr>
          <w:rFonts w:ascii="Calibri" w:hAnsi="Calibri"/>
        </w:rPr>
        <w:t xml:space="preserve">. </w:t>
      </w:r>
      <w:r w:rsidR="00796C34" w:rsidRPr="002815F4">
        <w:rPr>
          <w:rFonts w:ascii="Calibri" w:hAnsi="Calibri"/>
        </w:rPr>
        <w:t xml:space="preserve">Members of the MSG have </w:t>
      </w:r>
      <w:r w:rsidR="005C2F25" w:rsidRPr="002815F4">
        <w:rPr>
          <w:rFonts w:ascii="Calibri" w:hAnsi="Calibri"/>
        </w:rPr>
        <w:t xml:space="preserve">also proved vocal in following up on past recommendations, using for instance </w:t>
      </w:r>
      <w:r w:rsidR="00796C34" w:rsidRPr="002815F4">
        <w:rPr>
          <w:rFonts w:ascii="Calibri" w:hAnsi="Calibri"/>
        </w:rPr>
        <w:t xml:space="preserve">EITI Report launches </w:t>
      </w:r>
      <w:r w:rsidR="005C2F25" w:rsidRPr="002815F4">
        <w:rPr>
          <w:rFonts w:ascii="Calibri" w:hAnsi="Calibri"/>
        </w:rPr>
        <w:t xml:space="preserve">as opportunities </w:t>
      </w:r>
      <w:r w:rsidR="00796C34" w:rsidRPr="002815F4">
        <w:rPr>
          <w:rFonts w:ascii="Calibri" w:hAnsi="Calibri"/>
        </w:rPr>
        <w:t>to public</w:t>
      </w:r>
      <w:r w:rsidR="005C2F25" w:rsidRPr="002815F4">
        <w:rPr>
          <w:rFonts w:ascii="Calibri" w:hAnsi="Calibri"/>
        </w:rPr>
        <w:t>ly</w:t>
      </w:r>
      <w:r w:rsidR="00796C34" w:rsidRPr="002815F4">
        <w:rPr>
          <w:rFonts w:ascii="Calibri" w:hAnsi="Calibri"/>
        </w:rPr>
        <w:t xml:space="preserve"> call for implementation of reforms recommended by EITI Reports, as Prof. Fall did in October 2016 </w:t>
      </w:r>
      <w:sdt>
        <w:sdtPr>
          <w:rPr>
            <w:rFonts w:ascii="Calibri" w:hAnsi="Calibri"/>
          </w:rPr>
          <w:id w:val="-130786734"/>
          <w:citation/>
        </w:sdtPr>
        <w:sdtEndPr/>
        <w:sdtContent>
          <w:r w:rsidR="00796C34" w:rsidRPr="002815F4">
            <w:rPr>
              <w:rFonts w:ascii="Calibri" w:hAnsi="Calibri"/>
            </w:rPr>
            <w:fldChar w:fldCharType="begin"/>
          </w:r>
          <w:r w:rsidR="00796C34" w:rsidRPr="002815F4">
            <w:rPr>
              <w:rFonts w:ascii="Calibri" w:hAnsi="Calibri"/>
            </w:rPr>
            <w:instrText xml:space="preserve"> CITATION ITI1633 \l 1033 </w:instrText>
          </w:r>
          <w:r w:rsidR="00796C34" w:rsidRPr="002815F4">
            <w:rPr>
              <w:rFonts w:ascii="Calibri" w:hAnsi="Calibri"/>
            </w:rPr>
            <w:fldChar w:fldCharType="separate"/>
          </w:r>
          <w:r w:rsidR="003E626E" w:rsidRPr="002815F4">
            <w:rPr>
              <w:rFonts w:ascii="Calibri" w:hAnsi="Calibri"/>
              <w:noProof/>
            </w:rPr>
            <w:t>(ITIE Senegal, 2016)</w:t>
          </w:r>
          <w:r w:rsidR="00796C34" w:rsidRPr="002815F4">
            <w:rPr>
              <w:rFonts w:ascii="Calibri" w:hAnsi="Calibri"/>
            </w:rPr>
            <w:fldChar w:fldCharType="end"/>
          </w:r>
        </w:sdtContent>
      </w:sdt>
      <w:r w:rsidR="00796C34" w:rsidRPr="002815F4">
        <w:rPr>
          <w:rFonts w:ascii="Calibri" w:hAnsi="Calibri"/>
        </w:rPr>
        <w:t xml:space="preserve">. </w:t>
      </w:r>
      <w:r w:rsidR="005B0C8D" w:rsidRPr="002815F4">
        <w:rPr>
          <w:rFonts w:ascii="Calibri" w:hAnsi="Calibri"/>
          <w:bCs/>
        </w:rPr>
        <w:t xml:space="preserve">Government officials and secretariat staff have </w:t>
      </w:r>
      <w:r w:rsidR="005C2F25" w:rsidRPr="002815F4">
        <w:rPr>
          <w:rFonts w:ascii="Calibri" w:hAnsi="Calibri"/>
          <w:bCs/>
        </w:rPr>
        <w:t xml:space="preserve">also </w:t>
      </w:r>
      <w:r w:rsidR="005B0C8D" w:rsidRPr="002815F4">
        <w:rPr>
          <w:rFonts w:ascii="Calibri" w:hAnsi="Calibri"/>
          <w:bCs/>
        </w:rPr>
        <w:t xml:space="preserve">linked EITI dissemination and outreach events, </w:t>
      </w:r>
      <w:r w:rsidR="002815F4" w:rsidRPr="002815F4">
        <w:rPr>
          <w:rFonts w:ascii="Calibri" w:hAnsi="Calibri"/>
          <w:bCs/>
        </w:rPr>
        <w:t>particularly</w:t>
      </w:r>
      <w:r w:rsidR="005B0C8D" w:rsidRPr="002815F4">
        <w:rPr>
          <w:rFonts w:ascii="Calibri" w:hAnsi="Calibri"/>
          <w:bCs/>
        </w:rPr>
        <w:t xml:space="preserve"> in regions hosting </w:t>
      </w:r>
      <w:r w:rsidR="002815F4" w:rsidRPr="002815F4">
        <w:rPr>
          <w:rFonts w:ascii="Calibri" w:hAnsi="Calibri"/>
          <w:bCs/>
        </w:rPr>
        <w:t>extractives</w:t>
      </w:r>
      <w:r w:rsidR="005B0C8D" w:rsidRPr="002815F4">
        <w:rPr>
          <w:rFonts w:ascii="Calibri" w:hAnsi="Calibri"/>
          <w:bCs/>
        </w:rPr>
        <w:t xml:space="preserve"> activities, with the process for following </w:t>
      </w:r>
      <w:r w:rsidR="005B0C8D" w:rsidRPr="002815F4">
        <w:rPr>
          <w:rFonts w:ascii="Calibri" w:hAnsi="Calibri"/>
          <w:bCs/>
        </w:rPr>
        <w:lastRenderedPageBreak/>
        <w:t xml:space="preserve">up on EITI recommendations, viewing these as key forums for building popular support for key EITI recommendations </w:t>
      </w:r>
      <w:sdt>
        <w:sdtPr>
          <w:rPr>
            <w:rFonts w:ascii="Calibri" w:hAnsi="Calibri"/>
          </w:rPr>
          <w:id w:val="1646315840"/>
          <w:citation/>
        </w:sdtPr>
        <w:sdtEndPr/>
        <w:sdtContent>
          <w:r w:rsidR="005B0C8D" w:rsidRPr="002815F4">
            <w:rPr>
              <w:rFonts w:ascii="Calibri" w:hAnsi="Calibri"/>
            </w:rPr>
            <w:fldChar w:fldCharType="begin"/>
          </w:r>
          <w:r w:rsidR="005B0C8D" w:rsidRPr="002815F4">
            <w:rPr>
              <w:rFonts w:ascii="Calibri" w:hAnsi="Calibri"/>
            </w:rPr>
            <w:instrText xml:space="preserve"> CITATION ITI1629 \l 1033 </w:instrText>
          </w:r>
          <w:r w:rsidR="005B0C8D" w:rsidRPr="002815F4">
            <w:rPr>
              <w:rFonts w:ascii="Calibri" w:hAnsi="Calibri"/>
            </w:rPr>
            <w:fldChar w:fldCharType="separate"/>
          </w:r>
          <w:r w:rsidR="003E626E" w:rsidRPr="002815F4">
            <w:rPr>
              <w:rFonts w:ascii="Calibri" w:hAnsi="Calibri"/>
              <w:noProof/>
            </w:rPr>
            <w:t>(ITIE Senegal, 2016)</w:t>
          </w:r>
          <w:r w:rsidR="005B0C8D" w:rsidRPr="002815F4">
            <w:rPr>
              <w:rFonts w:ascii="Calibri" w:hAnsi="Calibri"/>
            </w:rPr>
            <w:fldChar w:fldCharType="end"/>
          </w:r>
        </w:sdtContent>
      </w:sdt>
      <w:r w:rsidR="005B0C8D" w:rsidRPr="002815F4">
        <w:rPr>
          <w:rFonts w:ascii="Calibri" w:hAnsi="Calibri"/>
        </w:rPr>
        <w:t>.</w:t>
      </w:r>
      <w:r w:rsidR="00F763C2" w:rsidRPr="002815F4">
        <w:rPr>
          <w:rFonts w:ascii="Calibri" w:hAnsi="Calibri"/>
        </w:rPr>
        <w:t xml:space="preserve"> </w:t>
      </w:r>
      <w:r w:rsidR="005C2F25" w:rsidRPr="002815F4">
        <w:rPr>
          <w:rFonts w:ascii="Calibri" w:hAnsi="Calibri"/>
        </w:rPr>
        <w:t>The MSG has tracked progress in implementing recommendations from the 2013</w:t>
      </w:r>
      <w:r w:rsidR="00564393" w:rsidRPr="002815F4">
        <w:rPr>
          <w:rFonts w:ascii="Calibri" w:hAnsi="Calibri"/>
        </w:rPr>
        <w:t xml:space="preserve"> and 2014</w:t>
      </w:r>
      <w:r w:rsidR="005C2F25" w:rsidRPr="002815F4">
        <w:rPr>
          <w:rFonts w:ascii="Calibri" w:hAnsi="Calibri"/>
        </w:rPr>
        <w:t xml:space="preserve"> EITI Report</w:t>
      </w:r>
      <w:r w:rsidR="00564393" w:rsidRPr="002815F4">
        <w:rPr>
          <w:rFonts w:ascii="Calibri" w:hAnsi="Calibri"/>
        </w:rPr>
        <w:t>s</w:t>
      </w:r>
      <w:r w:rsidR="005C2F25" w:rsidRPr="002815F4">
        <w:rPr>
          <w:rFonts w:ascii="Calibri" w:hAnsi="Calibri"/>
        </w:rPr>
        <w:t xml:space="preserve"> through a monitoring and evaluation spreadsheet</w:t>
      </w:r>
      <w:r w:rsidR="00031044" w:rsidRPr="002815F4">
        <w:rPr>
          <w:rFonts w:ascii="Calibri" w:hAnsi="Calibri"/>
        </w:rPr>
        <w:t>, regularly consulted at MSG meetings</w:t>
      </w:r>
      <w:r w:rsidR="005C2F25" w:rsidRPr="002815F4">
        <w:rPr>
          <w:rFonts w:ascii="Calibri" w:hAnsi="Calibri"/>
        </w:rPr>
        <w:t xml:space="preserve"> </w:t>
      </w:r>
      <w:sdt>
        <w:sdtPr>
          <w:rPr>
            <w:rFonts w:ascii="Calibri" w:hAnsi="Calibri"/>
          </w:rPr>
          <w:id w:val="-96101204"/>
          <w:citation/>
        </w:sdtPr>
        <w:sdtEndPr/>
        <w:sdtContent>
          <w:r w:rsidR="005C2F25" w:rsidRPr="002815F4">
            <w:rPr>
              <w:rFonts w:ascii="Calibri" w:hAnsi="Calibri"/>
            </w:rPr>
            <w:fldChar w:fldCharType="begin"/>
          </w:r>
          <w:r w:rsidR="005C2F25" w:rsidRPr="002815F4">
            <w:rPr>
              <w:rFonts w:ascii="Calibri" w:hAnsi="Calibri"/>
            </w:rPr>
            <w:instrText xml:space="preserve"> CITATION ITI1622 \l 1033 </w:instrText>
          </w:r>
          <w:r w:rsidR="005C2F25" w:rsidRPr="002815F4">
            <w:rPr>
              <w:rFonts w:ascii="Calibri" w:hAnsi="Calibri"/>
            </w:rPr>
            <w:fldChar w:fldCharType="separate"/>
          </w:r>
          <w:r w:rsidR="003E626E" w:rsidRPr="002815F4">
            <w:rPr>
              <w:rFonts w:ascii="Calibri" w:hAnsi="Calibri"/>
              <w:noProof/>
            </w:rPr>
            <w:t>(ITIE Senegal, 2016)</w:t>
          </w:r>
          <w:r w:rsidR="005C2F25" w:rsidRPr="002815F4">
            <w:rPr>
              <w:rFonts w:ascii="Calibri" w:hAnsi="Calibri"/>
            </w:rPr>
            <w:fldChar w:fldCharType="end"/>
          </w:r>
        </w:sdtContent>
      </w:sdt>
      <w:r w:rsidR="005C2F25" w:rsidRPr="002815F4">
        <w:rPr>
          <w:rFonts w:ascii="Calibri" w:hAnsi="Calibri"/>
        </w:rPr>
        <w:t>.</w:t>
      </w:r>
      <w:r w:rsidR="00564393" w:rsidRPr="002815F4">
        <w:rPr>
          <w:rFonts w:ascii="Calibri" w:hAnsi="Calibri"/>
        </w:rPr>
        <w:t xml:space="preserve"> In July 2017, just after the start of Validation, the MSG published a 22-page report tracking progress in implementing recommendations from the 2014 EITI Report </w:t>
      </w:r>
      <w:sdt>
        <w:sdtPr>
          <w:rPr>
            <w:rFonts w:ascii="Calibri" w:hAnsi="Calibri"/>
          </w:rPr>
          <w:id w:val="662280420"/>
          <w:citation/>
        </w:sdtPr>
        <w:sdtEndPr/>
        <w:sdtContent>
          <w:r w:rsidR="00564393" w:rsidRPr="002815F4">
            <w:rPr>
              <w:rFonts w:ascii="Calibri" w:hAnsi="Calibri"/>
            </w:rPr>
            <w:fldChar w:fldCharType="begin"/>
          </w:r>
          <w:r w:rsidR="00564393" w:rsidRPr="002815F4">
            <w:rPr>
              <w:rFonts w:ascii="Calibri" w:hAnsi="Calibri"/>
            </w:rPr>
            <w:instrText xml:space="preserve">CITATION ITI1727 \l 1033 </w:instrText>
          </w:r>
          <w:r w:rsidR="00564393" w:rsidRPr="002815F4">
            <w:rPr>
              <w:rFonts w:ascii="Calibri" w:hAnsi="Calibri"/>
            </w:rPr>
            <w:fldChar w:fldCharType="separate"/>
          </w:r>
          <w:r w:rsidR="00564393" w:rsidRPr="002815F4">
            <w:rPr>
              <w:rFonts w:ascii="Calibri" w:hAnsi="Calibri"/>
              <w:noProof/>
            </w:rPr>
            <w:t>(ITIE Senegal, 2017)</w:t>
          </w:r>
          <w:r w:rsidR="00564393" w:rsidRPr="002815F4">
            <w:rPr>
              <w:rFonts w:ascii="Calibri" w:hAnsi="Calibri"/>
            </w:rPr>
            <w:fldChar w:fldCharType="end"/>
          </w:r>
        </w:sdtContent>
      </w:sdt>
      <w:r w:rsidR="00564393" w:rsidRPr="002815F4">
        <w:rPr>
          <w:rFonts w:ascii="Calibri" w:hAnsi="Calibri"/>
        </w:rPr>
        <w:t xml:space="preserve">. </w:t>
      </w:r>
    </w:p>
    <w:p w14:paraId="3A846ED6" w14:textId="6026E7F7" w:rsidR="00500C7D" w:rsidRPr="002815F4" w:rsidRDefault="00500C7D" w:rsidP="00172180">
      <w:pPr>
        <w:spacing w:before="120"/>
        <w:rPr>
          <w:rFonts w:ascii="Calibri" w:hAnsi="Calibri"/>
          <w:bCs/>
        </w:rPr>
      </w:pPr>
      <w:r w:rsidRPr="002815F4">
        <w:rPr>
          <w:rFonts w:ascii="Calibri" w:hAnsi="Calibri"/>
          <w:bCs/>
          <w:i/>
          <w:u w:val="single"/>
        </w:rPr>
        <w:t>Discrepancies</w:t>
      </w:r>
      <w:r w:rsidRPr="002815F4">
        <w:rPr>
          <w:rFonts w:ascii="Calibri" w:hAnsi="Calibri"/>
          <w:bCs/>
        </w:rPr>
        <w:t xml:space="preserve">: </w:t>
      </w:r>
      <w:r w:rsidR="007D3DFE" w:rsidRPr="002815F4">
        <w:rPr>
          <w:rFonts w:ascii="Calibri" w:hAnsi="Calibri"/>
          <w:bCs/>
        </w:rPr>
        <w:t>The MSG has also led efforts in investigating unreconciled discrepancies ahead of publication of each of both of its EITI Reports</w:t>
      </w:r>
      <w:r w:rsidR="00D3760C" w:rsidRPr="002815F4">
        <w:rPr>
          <w:rFonts w:ascii="Calibri" w:hAnsi="Calibri"/>
          <w:bCs/>
        </w:rPr>
        <w:t xml:space="preserve"> </w:t>
      </w:r>
      <w:sdt>
        <w:sdtPr>
          <w:rPr>
            <w:rFonts w:ascii="Calibri" w:hAnsi="Calibri"/>
            <w:bCs/>
          </w:rPr>
          <w:id w:val="-53002623"/>
          <w:citation/>
        </w:sdtPr>
        <w:sdtEndPr/>
        <w:sdtContent>
          <w:r w:rsidR="00D3760C" w:rsidRPr="002815F4">
            <w:rPr>
              <w:rFonts w:ascii="Calibri" w:hAnsi="Calibri"/>
              <w:bCs/>
            </w:rPr>
            <w:fldChar w:fldCharType="begin"/>
          </w:r>
          <w:r w:rsidR="00D3760C" w:rsidRPr="002815F4">
            <w:rPr>
              <w:rFonts w:ascii="Calibri" w:hAnsi="Calibri"/>
              <w:bCs/>
            </w:rPr>
            <w:instrText xml:space="preserve"> CITATION ITI1414 \l 1033 </w:instrText>
          </w:r>
          <w:r w:rsidR="00D3760C" w:rsidRPr="002815F4">
            <w:rPr>
              <w:rFonts w:ascii="Calibri" w:hAnsi="Calibri"/>
              <w:bCs/>
            </w:rPr>
            <w:fldChar w:fldCharType="separate"/>
          </w:r>
          <w:r w:rsidR="003E626E" w:rsidRPr="002815F4">
            <w:rPr>
              <w:rFonts w:ascii="Calibri" w:hAnsi="Calibri"/>
              <w:noProof/>
            </w:rPr>
            <w:t>(ITIE Senegal, 2014)</w:t>
          </w:r>
          <w:r w:rsidR="00D3760C" w:rsidRPr="002815F4">
            <w:rPr>
              <w:rFonts w:ascii="Calibri" w:hAnsi="Calibri"/>
              <w:bCs/>
            </w:rPr>
            <w:fldChar w:fldCharType="end"/>
          </w:r>
        </w:sdtContent>
      </w:sdt>
      <w:r w:rsidR="00D3760C" w:rsidRPr="002815F4">
        <w:rPr>
          <w:rFonts w:ascii="Calibri" w:hAnsi="Calibri"/>
          <w:bCs/>
        </w:rPr>
        <w:t xml:space="preserve"> </w:t>
      </w:r>
      <w:sdt>
        <w:sdtPr>
          <w:rPr>
            <w:rFonts w:ascii="Calibri" w:hAnsi="Calibri"/>
            <w:bCs/>
          </w:rPr>
          <w:id w:val="2046792490"/>
          <w:citation/>
        </w:sdtPr>
        <w:sdtEndPr/>
        <w:sdtContent>
          <w:r w:rsidR="00D3760C" w:rsidRPr="002815F4">
            <w:rPr>
              <w:rFonts w:ascii="Calibri" w:hAnsi="Calibri"/>
              <w:bCs/>
            </w:rPr>
            <w:fldChar w:fldCharType="begin"/>
          </w:r>
          <w:r w:rsidR="00D3760C" w:rsidRPr="002815F4">
            <w:rPr>
              <w:rFonts w:ascii="Calibri" w:hAnsi="Calibri"/>
              <w:bCs/>
            </w:rPr>
            <w:instrText xml:space="preserve"> CITATION ITI1621 \l 1033 </w:instrText>
          </w:r>
          <w:r w:rsidR="00D3760C" w:rsidRPr="002815F4">
            <w:rPr>
              <w:rFonts w:ascii="Calibri" w:hAnsi="Calibri"/>
              <w:bCs/>
            </w:rPr>
            <w:fldChar w:fldCharType="separate"/>
          </w:r>
          <w:r w:rsidR="003E626E" w:rsidRPr="002815F4">
            <w:rPr>
              <w:rFonts w:ascii="Calibri" w:hAnsi="Calibri"/>
              <w:noProof/>
            </w:rPr>
            <w:t>(ITIE Senegal, 2016)</w:t>
          </w:r>
          <w:r w:rsidR="00D3760C" w:rsidRPr="002815F4">
            <w:rPr>
              <w:rFonts w:ascii="Calibri" w:hAnsi="Calibri"/>
              <w:bCs/>
            </w:rPr>
            <w:fldChar w:fldCharType="end"/>
          </w:r>
        </w:sdtContent>
      </w:sdt>
      <w:r w:rsidR="00D3760C" w:rsidRPr="002815F4">
        <w:rPr>
          <w:rFonts w:ascii="Calibri" w:hAnsi="Calibri"/>
          <w:bCs/>
        </w:rPr>
        <w:t>. Given the significant discrepancies in the 2013 EITI Report, the MSG made a concerted effort to follow up with non-reporting companies and supported the IA’s investigation of discrepancies, yielding far lower discrepancies in the 2014 EITI Report</w:t>
      </w:r>
      <w:sdt>
        <w:sdtPr>
          <w:rPr>
            <w:rFonts w:ascii="Calibri" w:hAnsi="Calibri"/>
            <w:bCs/>
          </w:rPr>
          <w:id w:val="-1978440072"/>
          <w:citation/>
        </w:sdtPr>
        <w:sdtEndPr/>
        <w:sdtContent>
          <w:r w:rsidR="00D3760C" w:rsidRPr="002815F4">
            <w:rPr>
              <w:rFonts w:ascii="Calibri" w:hAnsi="Calibri"/>
              <w:bCs/>
            </w:rPr>
            <w:fldChar w:fldCharType="begin"/>
          </w:r>
          <w:r w:rsidR="00D3760C" w:rsidRPr="002815F4">
            <w:rPr>
              <w:rFonts w:ascii="Calibri" w:hAnsi="Calibri"/>
              <w:bCs/>
            </w:rPr>
            <w:instrText xml:space="preserve"> CITATION ITI1610 \l 1033 </w:instrText>
          </w:r>
          <w:r w:rsidR="00D3760C" w:rsidRPr="002815F4">
            <w:rPr>
              <w:rFonts w:ascii="Calibri" w:hAnsi="Calibri"/>
              <w:bCs/>
            </w:rPr>
            <w:fldChar w:fldCharType="separate"/>
          </w:r>
          <w:r w:rsidR="003E626E" w:rsidRPr="002815F4">
            <w:rPr>
              <w:rFonts w:ascii="Calibri" w:hAnsi="Calibri"/>
              <w:bCs/>
              <w:noProof/>
            </w:rPr>
            <w:t xml:space="preserve"> </w:t>
          </w:r>
          <w:r w:rsidR="003E626E" w:rsidRPr="002815F4">
            <w:rPr>
              <w:rFonts w:ascii="Calibri" w:hAnsi="Calibri"/>
              <w:noProof/>
            </w:rPr>
            <w:t>(ITIE Senegal, 2016)</w:t>
          </w:r>
          <w:r w:rsidR="00D3760C" w:rsidRPr="002815F4">
            <w:rPr>
              <w:rFonts w:ascii="Calibri" w:hAnsi="Calibri"/>
              <w:bCs/>
            </w:rPr>
            <w:fldChar w:fldCharType="end"/>
          </w:r>
        </w:sdtContent>
      </w:sdt>
      <w:r w:rsidR="00D3760C" w:rsidRPr="002815F4">
        <w:rPr>
          <w:rFonts w:ascii="Calibri" w:hAnsi="Calibri"/>
          <w:bCs/>
        </w:rPr>
        <w:t xml:space="preserve"> </w:t>
      </w:r>
      <w:sdt>
        <w:sdtPr>
          <w:rPr>
            <w:rFonts w:ascii="Calibri" w:hAnsi="Calibri"/>
            <w:bCs/>
          </w:rPr>
          <w:id w:val="470105900"/>
          <w:citation/>
        </w:sdtPr>
        <w:sdtEndPr/>
        <w:sdtContent>
          <w:r w:rsidR="00D3760C" w:rsidRPr="002815F4">
            <w:rPr>
              <w:rFonts w:ascii="Calibri" w:hAnsi="Calibri"/>
              <w:bCs/>
            </w:rPr>
            <w:fldChar w:fldCharType="begin"/>
          </w:r>
          <w:r w:rsidR="00D3760C" w:rsidRPr="002815F4">
            <w:rPr>
              <w:rFonts w:ascii="Calibri" w:hAnsi="Calibri"/>
              <w:bCs/>
            </w:rPr>
            <w:instrText xml:space="preserve"> CITATION ITI1621 \l 1033 </w:instrText>
          </w:r>
          <w:r w:rsidR="00D3760C" w:rsidRPr="002815F4">
            <w:rPr>
              <w:rFonts w:ascii="Calibri" w:hAnsi="Calibri"/>
              <w:bCs/>
            </w:rPr>
            <w:fldChar w:fldCharType="separate"/>
          </w:r>
          <w:r w:rsidR="003E626E" w:rsidRPr="002815F4">
            <w:rPr>
              <w:rFonts w:ascii="Calibri" w:hAnsi="Calibri"/>
              <w:noProof/>
            </w:rPr>
            <w:t>(ITIE Senegal, 2016)</w:t>
          </w:r>
          <w:r w:rsidR="00D3760C" w:rsidRPr="002815F4">
            <w:rPr>
              <w:rFonts w:ascii="Calibri" w:hAnsi="Calibri"/>
              <w:bCs/>
            </w:rPr>
            <w:fldChar w:fldCharType="end"/>
          </w:r>
        </w:sdtContent>
      </w:sdt>
      <w:r w:rsidR="00D3760C" w:rsidRPr="002815F4">
        <w:rPr>
          <w:rFonts w:ascii="Calibri" w:hAnsi="Calibri"/>
          <w:bCs/>
        </w:rPr>
        <w:t>.</w:t>
      </w:r>
    </w:p>
    <w:p w14:paraId="0B01A0B2" w14:textId="20A7DA06" w:rsidR="00796C34" w:rsidRPr="002815F4" w:rsidRDefault="00500C7D" w:rsidP="00172180">
      <w:pPr>
        <w:spacing w:before="120"/>
        <w:rPr>
          <w:rFonts w:ascii="Calibri" w:hAnsi="Calibri"/>
          <w:bCs/>
        </w:rPr>
      </w:pPr>
      <w:r w:rsidRPr="002815F4">
        <w:rPr>
          <w:rFonts w:ascii="Calibri" w:hAnsi="Calibri"/>
          <w:bCs/>
          <w:i/>
          <w:u w:val="single"/>
        </w:rPr>
        <w:t>Reforms:</w:t>
      </w:r>
      <w:r w:rsidRPr="002815F4">
        <w:rPr>
          <w:rFonts w:ascii="Calibri" w:hAnsi="Calibri"/>
          <w:bCs/>
        </w:rPr>
        <w:t xml:space="preserve"> </w:t>
      </w:r>
      <w:r w:rsidR="00D026BD" w:rsidRPr="002815F4">
        <w:rPr>
          <w:rFonts w:ascii="Calibri" w:hAnsi="Calibri"/>
          <w:bCs/>
        </w:rPr>
        <w:t xml:space="preserve">Senior government officials have repeatedly highlighted the value of EITI reporting as annual diagnostics of extractives governance, a means of identifying weaknesses in government systems and recommending reforms </w:t>
      </w:r>
      <w:sdt>
        <w:sdtPr>
          <w:rPr>
            <w:rFonts w:ascii="Calibri" w:hAnsi="Calibri"/>
            <w:bCs/>
          </w:rPr>
          <w:id w:val="-1823888257"/>
          <w:citation/>
        </w:sdtPr>
        <w:sdtEndPr/>
        <w:sdtContent>
          <w:r w:rsidR="00D026BD" w:rsidRPr="002815F4">
            <w:rPr>
              <w:rFonts w:ascii="Calibri" w:hAnsi="Calibri"/>
              <w:bCs/>
            </w:rPr>
            <w:fldChar w:fldCharType="begin"/>
          </w:r>
          <w:r w:rsidR="00D026BD" w:rsidRPr="002815F4">
            <w:rPr>
              <w:rFonts w:ascii="Calibri" w:hAnsi="Calibri"/>
              <w:bCs/>
            </w:rPr>
            <w:instrText xml:space="preserve"> CITATION ITI1645 \l 1033 </w:instrText>
          </w:r>
          <w:r w:rsidR="00D026BD" w:rsidRPr="002815F4">
            <w:rPr>
              <w:rFonts w:ascii="Calibri" w:hAnsi="Calibri"/>
              <w:bCs/>
            </w:rPr>
            <w:fldChar w:fldCharType="separate"/>
          </w:r>
          <w:r w:rsidR="003E626E" w:rsidRPr="002815F4">
            <w:rPr>
              <w:rFonts w:ascii="Calibri" w:hAnsi="Calibri"/>
              <w:noProof/>
            </w:rPr>
            <w:t>(ITIE Senegal, 2016)</w:t>
          </w:r>
          <w:r w:rsidR="00D026BD" w:rsidRPr="002815F4">
            <w:rPr>
              <w:rFonts w:ascii="Calibri" w:hAnsi="Calibri"/>
              <w:bCs/>
            </w:rPr>
            <w:fldChar w:fldCharType="end"/>
          </w:r>
        </w:sdtContent>
      </w:sdt>
      <w:r w:rsidR="00D026BD" w:rsidRPr="002815F4">
        <w:rPr>
          <w:rFonts w:ascii="Calibri" w:hAnsi="Calibri"/>
        </w:rPr>
        <w:t xml:space="preserve"> </w:t>
      </w:r>
      <w:sdt>
        <w:sdtPr>
          <w:rPr>
            <w:rFonts w:ascii="Calibri" w:hAnsi="Calibri"/>
          </w:rPr>
          <w:id w:val="2134901678"/>
          <w:citation/>
        </w:sdtPr>
        <w:sdtEndPr/>
        <w:sdtContent>
          <w:r w:rsidR="00D026BD" w:rsidRPr="002815F4">
            <w:rPr>
              <w:rFonts w:ascii="Calibri" w:hAnsi="Calibri"/>
            </w:rPr>
            <w:fldChar w:fldCharType="begin"/>
          </w:r>
          <w:r w:rsidR="00D026BD" w:rsidRPr="002815F4">
            <w:rPr>
              <w:rFonts w:ascii="Calibri" w:hAnsi="Calibri"/>
            </w:rPr>
            <w:instrText xml:space="preserve"> CITATION ITI1629 \l 1033 </w:instrText>
          </w:r>
          <w:r w:rsidR="00D026BD" w:rsidRPr="002815F4">
            <w:rPr>
              <w:rFonts w:ascii="Calibri" w:hAnsi="Calibri"/>
            </w:rPr>
            <w:fldChar w:fldCharType="separate"/>
          </w:r>
          <w:r w:rsidR="003E626E" w:rsidRPr="002815F4">
            <w:rPr>
              <w:rFonts w:ascii="Calibri" w:hAnsi="Calibri"/>
              <w:noProof/>
            </w:rPr>
            <w:t>(ITIE Senegal, 2016)</w:t>
          </w:r>
          <w:r w:rsidR="00D026BD" w:rsidRPr="002815F4">
            <w:rPr>
              <w:rFonts w:ascii="Calibri" w:hAnsi="Calibri"/>
            </w:rPr>
            <w:fldChar w:fldCharType="end"/>
          </w:r>
        </w:sdtContent>
      </w:sdt>
      <w:r w:rsidR="00D026BD" w:rsidRPr="002815F4">
        <w:rPr>
          <w:rFonts w:ascii="Calibri" w:hAnsi="Calibri"/>
        </w:rPr>
        <w:t xml:space="preserve"> </w:t>
      </w:r>
      <w:sdt>
        <w:sdtPr>
          <w:rPr>
            <w:rFonts w:ascii="Calibri" w:hAnsi="Calibri"/>
            <w:bCs/>
          </w:rPr>
          <w:id w:val="1661577232"/>
          <w:citation/>
        </w:sdtPr>
        <w:sdtEndPr/>
        <w:sdtContent>
          <w:r w:rsidR="00D026BD" w:rsidRPr="002815F4">
            <w:rPr>
              <w:rFonts w:ascii="Calibri" w:hAnsi="Calibri"/>
              <w:bCs/>
            </w:rPr>
            <w:fldChar w:fldCharType="begin"/>
          </w:r>
          <w:r w:rsidR="00D026BD" w:rsidRPr="002815F4">
            <w:rPr>
              <w:rFonts w:ascii="Calibri" w:hAnsi="Calibri"/>
              <w:bCs/>
            </w:rPr>
            <w:instrText xml:space="preserve"> CITATION LeS16 \l 1033 </w:instrText>
          </w:r>
          <w:r w:rsidR="00D026BD" w:rsidRPr="002815F4">
            <w:rPr>
              <w:rFonts w:ascii="Calibri" w:hAnsi="Calibri"/>
              <w:bCs/>
            </w:rPr>
            <w:fldChar w:fldCharType="separate"/>
          </w:r>
          <w:r w:rsidR="003E626E" w:rsidRPr="002815F4">
            <w:rPr>
              <w:rFonts w:ascii="Calibri" w:hAnsi="Calibri"/>
              <w:noProof/>
            </w:rPr>
            <w:t>(Le Soleil, 2016)</w:t>
          </w:r>
          <w:r w:rsidR="00D026BD" w:rsidRPr="002815F4">
            <w:rPr>
              <w:rFonts w:ascii="Calibri" w:hAnsi="Calibri"/>
              <w:bCs/>
            </w:rPr>
            <w:fldChar w:fldCharType="end"/>
          </w:r>
        </w:sdtContent>
      </w:sdt>
      <w:r w:rsidR="00D026BD" w:rsidRPr="002815F4">
        <w:rPr>
          <w:rFonts w:ascii="Calibri" w:hAnsi="Calibri"/>
          <w:bCs/>
        </w:rPr>
        <w:t xml:space="preserve"> </w:t>
      </w:r>
      <w:sdt>
        <w:sdtPr>
          <w:rPr>
            <w:rFonts w:ascii="Calibri" w:hAnsi="Calibri"/>
          </w:rPr>
          <w:id w:val="-939291269"/>
          <w:citation/>
        </w:sdtPr>
        <w:sdtEndPr/>
        <w:sdtContent>
          <w:r w:rsidR="00D026BD" w:rsidRPr="002815F4">
            <w:rPr>
              <w:rFonts w:ascii="Calibri" w:hAnsi="Calibri"/>
            </w:rPr>
            <w:fldChar w:fldCharType="begin"/>
          </w:r>
          <w:r w:rsidR="00D026BD" w:rsidRPr="002815F4">
            <w:rPr>
              <w:rFonts w:ascii="Calibri" w:hAnsi="Calibri"/>
            </w:rPr>
            <w:instrText xml:space="preserve"> CITATION ITI1629 \l 1033 </w:instrText>
          </w:r>
          <w:r w:rsidR="00D026BD" w:rsidRPr="002815F4">
            <w:rPr>
              <w:rFonts w:ascii="Calibri" w:hAnsi="Calibri"/>
            </w:rPr>
            <w:fldChar w:fldCharType="separate"/>
          </w:r>
          <w:r w:rsidR="003E626E" w:rsidRPr="002815F4">
            <w:rPr>
              <w:rFonts w:ascii="Calibri" w:hAnsi="Calibri"/>
              <w:noProof/>
            </w:rPr>
            <w:t>(ITIE Senegal, 2016)</w:t>
          </w:r>
          <w:r w:rsidR="00D026BD" w:rsidRPr="002815F4">
            <w:rPr>
              <w:rFonts w:ascii="Calibri" w:hAnsi="Calibri"/>
            </w:rPr>
            <w:fldChar w:fldCharType="end"/>
          </w:r>
        </w:sdtContent>
      </w:sdt>
      <w:r w:rsidR="00D026BD" w:rsidRPr="002815F4">
        <w:rPr>
          <w:rFonts w:ascii="Calibri" w:hAnsi="Calibri"/>
        </w:rPr>
        <w:t xml:space="preserve"> </w:t>
      </w:r>
      <w:sdt>
        <w:sdtPr>
          <w:rPr>
            <w:rFonts w:ascii="Calibri" w:hAnsi="Calibri"/>
          </w:rPr>
          <w:id w:val="-194006054"/>
          <w:citation/>
        </w:sdtPr>
        <w:sdtEndPr/>
        <w:sdtContent>
          <w:r w:rsidR="00D026BD" w:rsidRPr="002815F4">
            <w:rPr>
              <w:rFonts w:ascii="Calibri" w:hAnsi="Calibri"/>
            </w:rPr>
            <w:fldChar w:fldCharType="begin"/>
          </w:r>
          <w:r w:rsidR="00D026BD" w:rsidRPr="002815F4">
            <w:rPr>
              <w:rFonts w:ascii="Calibri" w:hAnsi="Calibri"/>
            </w:rPr>
            <w:instrText xml:space="preserve"> CITATION ITI1525 \l 1033 </w:instrText>
          </w:r>
          <w:r w:rsidR="00D026BD" w:rsidRPr="002815F4">
            <w:rPr>
              <w:rFonts w:ascii="Calibri" w:hAnsi="Calibri"/>
            </w:rPr>
            <w:fldChar w:fldCharType="separate"/>
          </w:r>
          <w:r w:rsidR="003E626E" w:rsidRPr="002815F4">
            <w:rPr>
              <w:rFonts w:ascii="Calibri" w:hAnsi="Calibri"/>
              <w:noProof/>
            </w:rPr>
            <w:t>(ITIE Senegal, 2015)</w:t>
          </w:r>
          <w:r w:rsidR="00D026BD" w:rsidRPr="002815F4">
            <w:rPr>
              <w:rFonts w:ascii="Calibri" w:hAnsi="Calibri"/>
            </w:rPr>
            <w:fldChar w:fldCharType="end"/>
          </w:r>
        </w:sdtContent>
      </w:sdt>
      <w:r w:rsidR="00D026BD" w:rsidRPr="002815F4">
        <w:rPr>
          <w:rFonts w:ascii="Calibri" w:hAnsi="Calibri"/>
        </w:rPr>
        <w:t>.</w:t>
      </w:r>
      <w:r w:rsidR="0099121E" w:rsidRPr="002815F4">
        <w:rPr>
          <w:rFonts w:ascii="Calibri" w:hAnsi="Calibri"/>
          <w:bCs/>
        </w:rPr>
        <w:t xml:space="preserve"> </w:t>
      </w:r>
      <w:r w:rsidR="00D026BD" w:rsidRPr="002815F4">
        <w:rPr>
          <w:rFonts w:ascii="Calibri" w:hAnsi="Calibri"/>
          <w:bCs/>
        </w:rPr>
        <w:t>Government officials, the MSG and the Senegal EITI Secretariat have publicly linked several</w:t>
      </w:r>
      <w:r w:rsidR="00796C34" w:rsidRPr="002815F4">
        <w:rPr>
          <w:rFonts w:ascii="Calibri" w:hAnsi="Calibri"/>
          <w:bCs/>
        </w:rPr>
        <w:t xml:space="preserve"> government</w:t>
      </w:r>
      <w:r w:rsidR="00D026BD" w:rsidRPr="002815F4">
        <w:rPr>
          <w:rFonts w:ascii="Calibri" w:hAnsi="Calibri"/>
          <w:bCs/>
        </w:rPr>
        <w:t xml:space="preserve"> reforms to </w:t>
      </w:r>
      <w:r w:rsidR="00796C34" w:rsidRPr="002815F4">
        <w:rPr>
          <w:rFonts w:ascii="Calibri" w:hAnsi="Calibri"/>
          <w:bCs/>
        </w:rPr>
        <w:t>recommendations from EITI implementation</w:t>
      </w:r>
      <w:r w:rsidR="00D026BD" w:rsidRPr="002815F4">
        <w:rPr>
          <w:rFonts w:ascii="Calibri" w:hAnsi="Calibri"/>
          <w:bCs/>
        </w:rPr>
        <w:t xml:space="preserve"> </w:t>
      </w:r>
      <w:sdt>
        <w:sdtPr>
          <w:rPr>
            <w:rFonts w:ascii="Calibri" w:hAnsi="Calibri"/>
            <w:bCs/>
          </w:rPr>
          <w:id w:val="290170906"/>
          <w:citation/>
        </w:sdtPr>
        <w:sdtEndPr/>
        <w:sdtContent>
          <w:r w:rsidR="00D026BD" w:rsidRPr="002815F4">
            <w:rPr>
              <w:rFonts w:ascii="Calibri" w:hAnsi="Calibri"/>
              <w:bCs/>
            </w:rPr>
            <w:fldChar w:fldCharType="begin"/>
          </w:r>
          <w:r w:rsidR="00D026BD" w:rsidRPr="002815F4">
            <w:rPr>
              <w:rFonts w:ascii="Calibri" w:hAnsi="Calibri"/>
              <w:bCs/>
            </w:rPr>
            <w:instrText xml:space="preserve"> CITATION ITI1645 \l 1033 </w:instrText>
          </w:r>
          <w:r w:rsidR="00D026BD" w:rsidRPr="002815F4">
            <w:rPr>
              <w:rFonts w:ascii="Calibri" w:hAnsi="Calibri"/>
              <w:bCs/>
            </w:rPr>
            <w:fldChar w:fldCharType="separate"/>
          </w:r>
          <w:r w:rsidR="003E626E" w:rsidRPr="002815F4">
            <w:rPr>
              <w:rFonts w:ascii="Calibri" w:hAnsi="Calibri"/>
              <w:noProof/>
            </w:rPr>
            <w:t>(ITIE Senegal, 2016)</w:t>
          </w:r>
          <w:r w:rsidR="00D026BD" w:rsidRPr="002815F4">
            <w:rPr>
              <w:rFonts w:ascii="Calibri" w:hAnsi="Calibri"/>
              <w:bCs/>
            </w:rPr>
            <w:fldChar w:fldCharType="end"/>
          </w:r>
        </w:sdtContent>
      </w:sdt>
      <w:r w:rsidR="00D026BD" w:rsidRPr="002815F4">
        <w:rPr>
          <w:rFonts w:ascii="Calibri" w:hAnsi="Calibri"/>
          <w:bCs/>
        </w:rPr>
        <w:t xml:space="preserve"> </w:t>
      </w:r>
      <w:sdt>
        <w:sdtPr>
          <w:rPr>
            <w:rFonts w:ascii="Calibri" w:hAnsi="Calibri"/>
            <w:bCs/>
          </w:rPr>
          <w:id w:val="1462848283"/>
          <w:citation/>
        </w:sdtPr>
        <w:sdtEndPr/>
        <w:sdtContent>
          <w:r w:rsidR="00D026BD" w:rsidRPr="002815F4">
            <w:rPr>
              <w:rFonts w:ascii="Calibri" w:hAnsi="Calibri"/>
              <w:bCs/>
            </w:rPr>
            <w:fldChar w:fldCharType="begin"/>
          </w:r>
          <w:r w:rsidR="00D026BD" w:rsidRPr="002815F4">
            <w:rPr>
              <w:rFonts w:ascii="Calibri" w:hAnsi="Calibri"/>
              <w:bCs/>
            </w:rPr>
            <w:instrText xml:space="preserve"> CITATION ITI1626 \l 1033 </w:instrText>
          </w:r>
          <w:r w:rsidR="00D026BD" w:rsidRPr="002815F4">
            <w:rPr>
              <w:rFonts w:ascii="Calibri" w:hAnsi="Calibri"/>
              <w:bCs/>
            </w:rPr>
            <w:fldChar w:fldCharType="separate"/>
          </w:r>
          <w:r w:rsidR="003E626E" w:rsidRPr="002815F4">
            <w:rPr>
              <w:rFonts w:ascii="Calibri" w:hAnsi="Calibri"/>
              <w:noProof/>
            </w:rPr>
            <w:t>(ITIE Senegal, 2016)</w:t>
          </w:r>
          <w:r w:rsidR="00D026BD" w:rsidRPr="002815F4">
            <w:rPr>
              <w:rFonts w:ascii="Calibri" w:hAnsi="Calibri"/>
              <w:bCs/>
            </w:rPr>
            <w:fldChar w:fldCharType="end"/>
          </w:r>
        </w:sdtContent>
      </w:sdt>
      <w:r w:rsidR="00D026BD" w:rsidRPr="002815F4">
        <w:rPr>
          <w:rFonts w:ascii="Calibri" w:hAnsi="Calibri"/>
          <w:bCs/>
        </w:rPr>
        <w:t xml:space="preserve"> </w:t>
      </w:r>
      <w:sdt>
        <w:sdtPr>
          <w:rPr>
            <w:rFonts w:ascii="Calibri" w:hAnsi="Calibri"/>
            <w:bCs/>
          </w:rPr>
          <w:id w:val="843138860"/>
          <w:citation/>
        </w:sdtPr>
        <w:sdtEndPr/>
        <w:sdtContent>
          <w:r w:rsidR="00D026BD" w:rsidRPr="002815F4">
            <w:rPr>
              <w:rFonts w:ascii="Calibri" w:hAnsi="Calibri"/>
              <w:bCs/>
            </w:rPr>
            <w:fldChar w:fldCharType="begin"/>
          </w:r>
          <w:r w:rsidR="00D026BD" w:rsidRPr="002815F4">
            <w:rPr>
              <w:rFonts w:ascii="Calibri" w:hAnsi="Calibri"/>
              <w:bCs/>
            </w:rPr>
            <w:instrText xml:space="preserve"> CITATION Pre162 \l 1033 </w:instrText>
          </w:r>
          <w:r w:rsidR="00D026BD" w:rsidRPr="002815F4">
            <w:rPr>
              <w:rFonts w:ascii="Calibri" w:hAnsi="Calibri"/>
              <w:bCs/>
            </w:rPr>
            <w:fldChar w:fldCharType="separate"/>
          </w:r>
          <w:r w:rsidR="003E626E" w:rsidRPr="002815F4">
            <w:rPr>
              <w:rFonts w:ascii="Calibri" w:hAnsi="Calibri"/>
              <w:noProof/>
            </w:rPr>
            <w:t>(President de la Republique, 2016)</w:t>
          </w:r>
          <w:r w:rsidR="00D026BD" w:rsidRPr="002815F4">
            <w:rPr>
              <w:rFonts w:ascii="Calibri" w:hAnsi="Calibri"/>
              <w:bCs/>
            </w:rPr>
            <w:fldChar w:fldCharType="end"/>
          </w:r>
        </w:sdtContent>
      </w:sdt>
      <w:r w:rsidR="00D026BD" w:rsidRPr="002815F4">
        <w:rPr>
          <w:rFonts w:ascii="Calibri" w:hAnsi="Calibri"/>
          <w:bCs/>
        </w:rPr>
        <w:t xml:space="preserve"> </w:t>
      </w:r>
      <w:sdt>
        <w:sdtPr>
          <w:rPr>
            <w:rFonts w:ascii="Calibri" w:hAnsi="Calibri"/>
            <w:bCs/>
          </w:rPr>
          <w:id w:val="1516113173"/>
          <w:citation/>
        </w:sdtPr>
        <w:sdtEndPr/>
        <w:sdtContent>
          <w:r w:rsidR="00D026BD" w:rsidRPr="002815F4">
            <w:rPr>
              <w:rFonts w:ascii="Calibri" w:hAnsi="Calibri"/>
              <w:bCs/>
            </w:rPr>
            <w:fldChar w:fldCharType="begin"/>
          </w:r>
          <w:r w:rsidR="00D026BD" w:rsidRPr="002815F4">
            <w:rPr>
              <w:rFonts w:ascii="Calibri" w:hAnsi="Calibri"/>
              <w:bCs/>
            </w:rPr>
            <w:instrText xml:space="preserve"> CITATION Gou16 \l 1033 </w:instrText>
          </w:r>
          <w:r w:rsidR="00D026BD" w:rsidRPr="002815F4">
            <w:rPr>
              <w:rFonts w:ascii="Calibri" w:hAnsi="Calibri"/>
              <w:bCs/>
            </w:rPr>
            <w:fldChar w:fldCharType="separate"/>
          </w:r>
          <w:r w:rsidR="003E626E" w:rsidRPr="002815F4">
            <w:rPr>
              <w:rFonts w:ascii="Calibri" w:hAnsi="Calibri"/>
              <w:noProof/>
            </w:rPr>
            <w:t>(Gouvernement du Senegal, 2016)</w:t>
          </w:r>
          <w:r w:rsidR="00D026BD" w:rsidRPr="002815F4">
            <w:rPr>
              <w:rFonts w:ascii="Calibri" w:hAnsi="Calibri"/>
              <w:bCs/>
            </w:rPr>
            <w:fldChar w:fldCharType="end"/>
          </w:r>
        </w:sdtContent>
      </w:sdt>
      <w:r w:rsidR="005B0C8D" w:rsidRPr="002815F4">
        <w:rPr>
          <w:rFonts w:ascii="Calibri" w:hAnsi="Calibri"/>
          <w:bCs/>
        </w:rPr>
        <w:t xml:space="preserve"> </w:t>
      </w:r>
      <w:sdt>
        <w:sdtPr>
          <w:rPr>
            <w:rFonts w:ascii="Calibri" w:hAnsi="Calibri"/>
          </w:rPr>
          <w:id w:val="1717078143"/>
          <w:citation/>
        </w:sdtPr>
        <w:sdtEndPr/>
        <w:sdtContent>
          <w:r w:rsidR="005B0C8D" w:rsidRPr="002815F4">
            <w:rPr>
              <w:rFonts w:ascii="Calibri" w:hAnsi="Calibri"/>
            </w:rPr>
            <w:fldChar w:fldCharType="begin"/>
          </w:r>
          <w:r w:rsidR="005B0C8D" w:rsidRPr="002815F4">
            <w:rPr>
              <w:rFonts w:ascii="Calibri" w:hAnsi="Calibri"/>
            </w:rPr>
            <w:instrText xml:space="preserve"> CITATION ITI1629 \l 1033 </w:instrText>
          </w:r>
          <w:r w:rsidR="005B0C8D" w:rsidRPr="002815F4">
            <w:rPr>
              <w:rFonts w:ascii="Calibri" w:hAnsi="Calibri"/>
            </w:rPr>
            <w:fldChar w:fldCharType="separate"/>
          </w:r>
          <w:r w:rsidR="003E626E" w:rsidRPr="002815F4">
            <w:rPr>
              <w:rFonts w:ascii="Calibri" w:hAnsi="Calibri"/>
              <w:noProof/>
            </w:rPr>
            <w:t>(ITIE Senegal, 2016)</w:t>
          </w:r>
          <w:r w:rsidR="005B0C8D" w:rsidRPr="002815F4">
            <w:rPr>
              <w:rFonts w:ascii="Calibri" w:hAnsi="Calibri"/>
            </w:rPr>
            <w:fldChar w:fldCharType="end"/>
          </w:r>
        </w:sdtContent>
      </w:sdt>
      <w:r w:rsidR="00D026BD" w:rsidRPr="002815F4">
        <w:rPr>
          <w:rFonts w:ascii="Calibri" w:hAnsi="Calibri"/>
          <w:bCs/>
        </w:rPr>
        <w:t xml:space="preserve">. </w:t>
      </w:r>
      <w:r w:rsidR="0099121E" w:rsidRPr="002815F4">
        <w:rPr>
          <w:rFonts w:ascii="Calibri" w:hAnsi="Calibri"/>
          <w:bCs/>
        </w:rPr>
        <w:t xml:space="preserve">Concrete reforms initiated as a consequence of EITI implementation in Senegal include: </w:t>
      </w:r>
    </w:p>
    <w:p w14:paraId="6B43B08A" w14:textId="78D58725" w:rsidR="00564393" w:rsidRPr="002815F4" w:rsidRDefault="00564393" w:rsidP="00482C28">
      <w:pPr>
        <w:pStyle w:val="ListParagraph"/>
        <w:numPr>
          <w:ilvl w:val="0"/>
          <w:numId w:val="79"/>
        </w:numPr>
      </w:pPr>
      <w:r w:rsidRPr="002815F4">
        <w:t xml:space="preserve">Following up on President Sall’s announcements since 2013 of the government’s policy to </w:t>
      </w:r>
      <w:r w:rsidR="00B51475" w:rsidRPr="002815F4">
        <w:rPr>
          <w:i/>
        </w:rPr>
        <w:t>publish all extract</w:t>
      </w:r>
      <w:r w:rsidRPr="002815F4">
        <w:rPr>
          <w:i/>
        </w:rPr>
        <w:t>ives contracts</w:t>
      </w:r>
      <w:r w:rsidRPr="002815F4">
        <w:t xml:space="preserve"> and recommendations from the 2013 EITI Report, the MSG actively followed up with government entities like the Mines and Geology Department and the Hydrocarbons Department to publish all contracts in the mining, oil and gas sectors. As a result, the government unilaterally published an initial 23 contracts in mining</w:t>
      </w:r>
      <w:r w:rsidRPr="002815F4">
        <w:rPr>
          <w:vertAlign w:val="superscript"/>
        </w:rPr>
        <w:footnoteReference w:id="99"/>
      </w:r>
      <w:r w:rsidRPr="002815F4">
        <w:t xml:space="preserve"> and 7 in oil and gas</w:t>
      </w:r>
      <w:r w:rsidRPr="002815F4">
        <w:rPr>
          <w:vertAlign w:val="superscript"/>
        </w:rPr>
        <w:footnoteReference w:id="100"/>
      </w:r>
      <w:r w:rsidRPr="002815F4">
        <w:t xml:space="preserve"> on the main government website in October 2016. Working with contract-holders, this expanded to 34 published contracts in mining</w:t>
      </w:r>
      <w:r w:rsidRPr="002815F4">
        <w:rPr>
          <w:vertAlign w:val="superscript"/>
        </w:rPr>
        <w:footnoteReference w:id="101"/>
      </w:r>
      <w:r w:rsidRPr="002815F4">
        <w:t xml:space="preserve"> and 15 in oil and gas</w:t>
      </w:r>
      <w:r w:rsidRPr="002815F4">
        <w:rPr>
          <w:vertAlign w:val="superscript"/>
        </w:rPr>
        <w:footnoteReference w:id="102"/>
      </w:r>
      <w:r w:rsidRPr="002815F4">
        <w:t xml:space="preserve"> on the Senegal EITI website as of 2017</w:t>
      </w:r>
      <w:r w:rsidR="00517498" w:rsidRPr="002815F4">
        <w:t xml:space="preserve"> </w:t>
      </w:r>
      <w:sdt>
        <w:sdtPr>
          <w:rPr>
            <w:b/>
          </w:rPr>
          <w:id w:val="-1131096329"/>
          <w:citation/>
        </w:sdtPr>
        <w:sdtEndPr/>
        <w:sdtContent>
          <w:r w:rsidR="00517498" w:rsidRPr="002815F4">
            <w:fldChar w:fldCharType="begin"/>
          </w:r>
          <w:r w:rsidR="00517498" w:rsidRPr="002815F4">
            <w:instrText xml:space="preserve"> CITATION Gou161 \l 1033 </w:instrText>
          </w:r>
          <w:r w:rsidR="00517498" w:rsidRPr="002815F4">
            <w:fldChar w:fldCharType="separate"/>
          </w:r>
          <w:r w:rsidR="00517498" w:rsidRPr="002815F4">
            <w:rPr>
              <w:noProof/>
            </w:rPr>
            <w:t>(Gouvernement du Senegal, 2016)</w:t>
          </w:r>
          <w:r w:rsidR="00517498" w:rsidRPr="002815F4">
            <w:fldChar w:fldCharType="end"/>
          </w:r>
        </w:sdtContent>
      </w:sdt>
      <w:r w:rsidRPr="002815F4">
        <w:t xml:space="preserve">. </w:t>
      </w:r>
    </w:p>
    <w:p w14:paraId="26605D9A" w14:textId="12C3E667" w:rsidR="00517498" w:rsidRPr="002815F4" w:rsidRDefault="00517498">
      <w:pPr>
        <w:pStyle w:val="ListParagraph"/>
      </w:pPr>
      <w:r w:rsidRPr="002815F4">
        <w:t xml:space="preserve">Drawing on recommendations from the 2013 EITI Report and input from the MSG, the government drafted </w:t>
      </w:r>
      <w:r w:rsidRPr="002815F4">
        <w:rPr>
          <w:i/>
        </w:rPr>
        <w:t>revisions to the Mining Code</w:t>
      </w:r>
      <w:r w:rsidRPr="002815F4">
        <w:t xml:space="preserve"> in 2015-16 that were enacted by Parliament in November 2016, introducing fixed mandatory social expenditures and clarifying licensing </w:t>
      </w:r>
      <w:r w:rsidR="002815F4" w:rsidRPr="002815F4">
        <w:t>procedures</w:t>
      </w:r>
      <w:r w:rsidRPr="002815F4">
        <w:t xml:space="preserve">, drawing on input from EITI Senegal </w:t>
      </w:r>
      <w:sdt>
        <w:sdtPr>
          <w:rPr>
            <w:b/>
          </w:rPr>
          <w:id w:val="-1379625326"/>
          <w:citation/>
        </w:sdtPr>
        <w:sdtEndPr/>
        <w:sdtContent>
          <w:r w:rsidRPr="002815F4">
            <w:fldChar w:fldCharType="begin"/>
          </w:r>
          <w:r w:rsidRPr="002815F4">
            <w:instrText xml:space="preserve"> CITATION ITI1628 \l 1033 </w:instrText>
          </w:r>
          <w:r w:rsidRPr="002815F4">
            <w:fldChar w:fldCharType="separate"/>
          </w:r>
          <w:r w:rsidRPr="002815F4">
            <w:rPr>
              <w:noProof/>
            </w:rPr>
            <w:t>(ITIE Senegal, 2016)</w:t>
          </w:r>
          <w:r w:rsidRPr="002815F4">
            <w:fldChar w:fldCharType="end"/>
          </w:r>
        </w:sdtContent>
      </w:sdt>
      <w:sdt>
        <w:sdtPr>
          <w:rPr>
            <w:b/>
          </w:rPr>
          <w:id w:val="1994138413"/>
          <w:citation/>
        </w:sdtPr>
        <w:sdtEndPr/>
        <w:sdtContent>
          <w:r w:rsidRPr="002815F4">
            <w:fldChar w:fldCharType="begin"/>
          </w:r>
          <w:r w:rsidRPr="002815F4">
            <w:instrText xml:space="preserve"> CITATION ITI176 \l 1033 </w:instrText>
          </w:r>
          <w:r w:rsidRPr="002815F4">
            <w:fldChar w:fldCharType="separate"/>
          </w:r>
          <w:r w:rsidRPr="002815F4">
            <w:rPr>
              <w:noProof/>
            </w:rPr>
            <w:t xml:space="preserve"> (ITIE Senegal, 2017)</w:t>
          </w:r>
          <w:r w:rsidRPr="002815F4">
            <w:fldChar w:fldCharType="end"/>
          </w:r>
        </w:sdtContent>
      </w:sdt>
      <w:r w:rsidRPr="002815F4">
        <w:t xml:space="preserve">. </w:t>
      </w:r>
    </w:p>
    <w:p w14:paraId="3AF65169" w14:textId="2BF2ED64" w:rsidR="00796C34" w:rsidRPr="002815F4" w:rsidRDefault="00517498">
      <w:pPr>
        <w:pStyle w:val="ListParagraph"/>
      </w:pPr>
      <w:r w:rsidRPr="002815F4">
        <w:t>Drawing on recom</w:t>
      </w:r>
      <w:r w:rsidR="0067233E" w:rsidRPr="002815F4">
        <w:rPr>
          <w:b/>
        </w:rPr>
        <w:t>m</w:t>
      </w:r>
      <w:r w:rsidRPr="002815F4">
        <w:t xml:space="preserve">endations from the 2013 EITI Report highlighting ambiguities in the license allocation procedures, President Sall </w:t>
      </w:r>
      <w:r w:rsidRPr="002815F4">
        <w:rPr>
          <w:i/>
        </w:rPr>
        <w:t>established</w:t>
      </w:r>
      <w:r w:rsidR="00796C34" w:rsidRPr="002815F4">
        <w:rPr>
          <w:i/>
        </w:rPr>
        <w:t xml:space="preserve"> the high-level COS-PETROGAZ</w:t>
      </w:r>
      <w:r w:rsidRPr="002815F4">
        <w:t xml:space="preserve">, which </w:t>
      </w:r>
      <w:r w:rsidRPr="002815F4">
        <w:rPr>
          <w:rFonts w:ascii="Calibri" w:hAnsi="Calibri"/>
          <w:bCs/>
        </w:rPr>
        <w:t>includes several Senegal EITI MSG members and secretariat staff as members,</w:t>
      </w:r>
      <w:r w:rsidR="00796C34" w:rsidRPr="002815F4">
        <w:t xml:space="preserve"> </w:t>
      </w:r>
      <w:r w:rsidRPr="002815F4">
        <w:t xml:space="preserve">in October 2016 </w:t>
      </w:r>
      <w:r w:rsidR="00796C34" w:rsidRPr="002815F4">
        <w:t>to steer oil and gas reforms</w:t>
      </w:r>
      <w:r w:rsidRPr="002815F4">
        <w:t xml:space="preserve"> </w:t>
      </w:r>
      <w:sdt>
        <w:sdtPr>
          <w:rPr>
            <w:b/>
          </w:rPr>
          <w:id w:val="1419601307"/>
          <w:citation/>
        </w:sdtPr>
        <w:sdtEndPr/>
        <w:sdtContent>
          <w:r w:rsidR="00796C34" w:rsidRPr="002815F4">
            <w:rPr>
              <w:rFonts w:ascii="Calibri" w:hAnsi="Calibri"/>
              <w:bCs/>
            </w:rPr>
            <w:fldChar w:fldCharType="begin"/>
          </w:r>
          <w:r w:rsidR="00796C34" w:rsidRPr="002815F4">
            <w:rPr>
              <w:rFonts w:ascii="Calibri" w:hAnsi="Calibri"/>
              <w:bCs/>
            </w:rPr>
            <w:instrText xml:space="preserve">CITATION EIT161 \l 1033 </w:instrText>
          </w:r>
          <w:r w:rsidR="00796C34" w:rsidRPr="002815F4">
            <w:rPr>
              <w:rFonts w:ascii="Calibri" w:hAnsi="Calibri"/>
              <w:bCs/>
            </w:rPr>
            <w:fldChar w:fldCharType="separate"/>
          </w:r>
          <w:r w:rsidR="003E626E" w:rsidRPr="002815F4">
            <w:rPr>
              <w:rFonts w:ascii="Calibri" w:hAnsi="Calibri"/>
              <w:noProof/>
            </w:rPr>
            <w:t>(ITIE Senegal, 2016)</w:t>
          </w:r>
          <w:r w:rsidR="00796C34" w:rsidRPr="002815F4">
            <w:rPr>
              <w:rFonts w:ascii="Calibri" w:hAnsi="Calibri"/>
              <w:bCs/>
            </w:rPr>
            <w:fldChar w:fldCharType="end"/>
          </w:r>
        </w:sdtContent>
      </w:sdt>
      <w:r w:rsidR="00796C34" w:rsidRPr="002815F4">
        <w:rPr>
          <w:rFonts w:ascii="Calibri" w:hAnsi="Calibri"/>
          <w:bCs/>
        </w:rPr>
        <w:t>.</w:t>
      </w:r>
      <w:r w:rsidR="00796C34" w:rsidRPr="002815F4">
        <w:t xml:space="preserve"> </w:t>
      </w:r>
      <w:r w:rsidRPr="002815F4">
        <w:t xml:space="preserve">In particular, the high-level committee is mandated to steer reforms to the 1998 Petroleum Code and improve oversight of license allocations and transfers </w:t>
      </w:r>
      <w:sdt>
        <w:sdtPr>
          <w:rPr>
            <w:b/>
          </w:rPr>
          <w:id w:val="-365217748"/>
          <w:citation/>
        </w:sdtPr>
        <w:sdtEndPr/>
        <w:sdtContent>
          <w:r w:rsidRPr="002815F4">
            <w:fldChar w:fldCharType="begin"/>
          </w:r>
          <w:r w:rsidRPr="002815F4">
            <w:instrText xml:space="preserve"> CITATION ITI1626 \l 1033 </w:instrText>
          </w:r>
          <w:r w:rsidRPr="002815F4">
            <w:fldChar w:fldCharType="separate"/>
          </w:r>
          <w:r w:rsidRPr="002815F4">
            <w:rPr>
              <w:noProof/>
            </w:rPr>
            <w:t>(ITIE Senegal, 2016)</w:t>
          </w:r>
          <w:r w:rsidRPr="002815F4">
            <w:fldChar w:fldCharType="end"/>
          </w:r>
        </w:sdtContent>
      </w:sdt>
      <w:r w:rsidRPr="002815F4">
        <w:t xml:space="preserve"> </w:t>
      </w:r>
      <w:sdt>
        <w:sdtPr>
          <w:rPr>
            <w:b/>
          </w:rPr>
          <w:id w:val="2053488826"/>
          <w:citation/>
        </w:sdtPr>
        <w:sdtEndPr/>
        <w:sdtContent>
          <w:r w:rsidRPr="002815F4">
            <w:fldChar w:fldCharType="begin"/>
          </w:r>
          <w:r w:rsidRPr="002815F4">
            <w:instrText xml:space="preserve"> CITATION Gou16 \l 1033 </w:instrText>
          </w:r>
          <w:r w:rsidRPr="002815F4">
            <w:fldChar w:fldCharType="separate"/>
          </w:r>
          <w:r w:rsidRPr="002815F4">
            <w:rPr>
              <w:noProof/>
            </w:rPr>
            <w:t>(Gouvernement du Senegal, 2016)</w:t>
          </w:r>
          <w:r w:rsidRPr="002815F4">
            <w:fldChar w:fldCharType="end"/>
          </w:r>
        </w:sdtContent>
      </w:sdt>
      <w:r w:rsidR="00C87399" w:rsidRPr="002815F4">
        <w:t xml:space="preserve">. The MSG expects proposed revisions to </w:t>
      </w:r>
      <w:r w:rsidR="00C87399" w:rsidRPr="002815F4">
        <w:lastRenderedPageBreak/>
        <w:t>the 1998 Petroleum Code to be proposed in October 2017</w:t>
      </w:r>
      <w:r w:rsidR="0005350F" w:rsidRPr="002815F4">
        <w:t>, which will address past EITI recommendations to clearly include exceptional revenue flows identified in EITI reporting, such as signature bonuses, in provisions of the law</w:t>
      </w:r>
      <w:sdt>
        <w:sdtPr>
          <w:rPr>
            <w:b/>
          </w:rPr>
          <w:id w:val="457534238"/>
          <w:citation/>
        </w:sdtPr>
        <w:sdtEndPr/>
        <w:sdtContent>
          <w:r w:rsidR="00C87399" w:rsidRPr="002815F4">
            <w:fldChar w:fldCharType="begin"/>
          </w:r>
          <w:r w:rsidR="00C87399" w:rsidRPr="002815F4">
            <w:instrText xml:space="preserve"> CITATION ITI1727 \l 1033 </w:instrText>
          </w:r>
          <w:r w:rsidR="00C87399" w:rsidRPr="002815F4">
            <w:fldChar w:fldCharType="separate"/>
          </w:r>
          <w:r w:rsidR="00C87399" w:rsidRPr="002815F4">
            <w:rPr>
              <w:noProof/>
            </w:rPr>
            <w:t xml:space="preserve"> (ITIE Senegal, 2017)</w:t>
          </w:r>
          <w:r w:rsidR="00C87399" w:rsidRPr="002815F4">
            <w:fldChar w:fldCharType="end"/>
          </w:r>
        </w:sdtContent>
      </w:sdt>
      <w:r w:rsidRPr="002815F4">
        <w:t xml:space="preserve">. </w:t>
      </w:r>
    </w:p>
    <w:p w14:paraId="7DD8DA13" w14:textId="016EABC0" w:rsidR="0021155F" w:rsidRPr="002815F4" w:rsidRDefault="0021155F">
      <w:pPr>
        <w:pStyle w:val="ListParagraph"/>
      </w:pPr>
      <w:r w:rsidRPr="002815F4">
        <w:t xml:space="preserve">Following up on a recommendation from the 2014 EITI Report, the MSG is participating in the COS-PETROGAZ committee meetings to provide legislative proposals to President Sall on operationalising the </w:t>
      </w:r>
      <w:r w:rsidRPr="002815F4">
        <w:rPr>
          <w:i/>
        </w:rPr>
        <w:t>sovereign wealth fund</w:t>
      </w:r>
      <w:r w:rsidRPr="002815F4">
        <w:t xml:space="preserve">, the FONSIS, drawing on international best practice </w:t>
      </w:r>
      <w:sdt>
        <w:sdtPr>
          <w:rPr>
            <w:b/>
          </w:rPr>
          <w:id w:val="306284490"/>
          <w:citation/>
        </w:sdtPr>
        <w:sdtEndPr/>
        <w:sdtContent>
          <w:r w:rsidRPr="002815F4">
            <w:fldChar w:fldCharType="begin"/>
          </w:r>
          <w:r w:rsidRPr="002815F4">
            <w:instrText xml:space="preserve"> CITATION ITI175 \l 1033 </w:instrText>
          </w:r>
          <w:r w:rsidRPr="002815F4">
            <w:fldChar w:fldCharType="separate"/>
          </w:r>
          <w:r w:rsidRPr="002815F4">
            <w:rPr>
              <w:noProof/>
            </w:rPr>
            <w:t>(ITIE Senegal, 2017)</w:t>
          </w:r>
          <w:r w:rsidRPr="002815F4">
            <w:fldChar w:fldCharType="end"/>
          </w:r>
        </w:sdtContent>
      </w:sdt>
      <w:r w:rsidRPr="002815F4">
        <w:t xml:space="preserve">. </w:t>
      </w:r>
    </w:p>
    <w:p w14:paraId="4C1E7398" w14:textId="16AE53EE" w:rsidR="007943CD" w:rsidRPr="002815F4" w:rsidRDefault="00517498">
      <w:pPr>
        <w:pStyle w:val="ListParagraph"/>
      </w:pPr>
      <w:r w:rsidRPr="002815F4">
        <w:t xml:space="preserve">Drawing on findings of the 2013 EITI Report, the MSG followed up with the Ministry of Mines and the Ministry of Economy and Finance on the need for a joint ministerial circular to implement statutory </w:t>
      </w:r>
      <w:r w:rsidRPr="002815F4">
        <w:rPr>
          <w:i/>
        </w:rPr>
        <w:t>subnational transfers</w:t>
      </w:r>
      <w:r w:rsidRPr="002815F4">
        <w:t xml:space="preserve"> of mining revenues </w:t>
      </w:r>
      <w:sdt>
        <w:sdtPr>
          <w:rPr>
            <w:b/>
          </w:rPr>
          <w:id w:val="1461532984"/>
          <w:citation/>
        </w:sdtPr>
        <w:sdtEndPr/>
        <w:sdtContent>
          <w:r w:rsidRPr="002815F4">
            <w:fldChar w:fldCharType="begin"/>
          </w:r>
          <w:r w:rsidRPr="002815F4">
            <w:instrText xml:space="preserve"> CITATION ITI1727 \l 1033 </w:instrText>
          </w:r>
          <w:r w:rsidRPr="002815F4">
            <w:fldChar w:fldCharType="separate"/>
          </w:r>
          <w:r w:rsidRPr="002815F4">
            <w:rPr>
              <w:noProof/>
            </w:rPr>
            <w:t>(ITIE Senegal, 2017)</w:t>
          </w:r>
          <w:r w:rsidRPr="002815F4">
            <w:fldChar w:fldCharType="end"/>
          </w:r>
        </w:sdtContent>
      </w:sdt>
      <w:r w:rsidRPr="002815F4">
        <w:t xml:space="preserve">. The MSG expects the supplementary 2017 national budget in the summer of 2017 to set the 2017 budgeted subnational transfers in order to clear arrears in subnational transfers up to 2015 </w:t>
      </w:r>
      <w:sdt>
        <w:sdtPr>
          <w:rPr>
            <w:b/>
          </w:rPr>
          <w:id w:val="629292253"/>
          <w:citation/>
        </w:sdtPr>
        <w:sdtEndPr/>
        <w:sdtContent>
          <w:r w:rsidRPr="002815F4">
            <w:fldChar w:fldCharType="begin"/>
          </w:r>
          <w:r w:rsidRPr="002815F4">
            <w:instrText xml:space="preserve"> CITATION ITI1727 \l 1033 </w:instrText>
          </w:r>
          <w:r w:rsidRPr="002815F4">
            <w:fldChar w:fldCharType="separate"/>
          </w:r>
          <w:r w:rsidRPr="002815F4">
            <w:rPr>
              <w:noProof/>
            </w:rPr>
            <w:t>(ITIE Senegal, 2017)</w:t>
          </w:r>
          <w:r w:rsidRPr="002815F4">
            <w:fldChar w:fldCharType="end"/>
          </w:r>
        </w:sdtContent>
      </w:sdt>
      <w:r w:rsidRPr="002815F4">
        <w:t xml:space="preserve">. </w:t>
      </w:r>
      <w:r w:rsidR="00E5485B" w:rsidRPr="002815F4">
        <w:t xml:space="preserve">The MSG has also been working with the Ministry of Finance to develop an online reporting tool for monitoring subnational transfers. </w:t>
      </w:r>
    </w:p>
    <w:p w14:paraId="244D1E8B" w14:textId="02FB4D80" w:rsidR="00CE01AB" w:rsidRPr="002815F4" w:rsidRDefault="007943CD">
      <w:pPr>
        <w:pStyle w:val="ListParagraph"/>
      </w:pPr>
      <w:r w:rsidRPr="002815F4">
        <w:t xml:space="preserve">Following up on </w:t>
      </w:r>
      <w:r w:rsidR="002C3124" w:rsidRPr="002815F4">
        <w:t>recommendations from the 2013</w:t>
      </w:r>
      <w:r w:rsidR="00C87399" w:rsidRPr="002815F4">
        <w:t xml:space="preserve"> and 2014</w:t>
      </w:r>
      <w:r w:rsidR="002C3124" w:rsidRPr="002815F4">
        <w:t xml:space="preserve"> EITI Report</w:t>
      </w:r>
      <w:r w:rsidR="00C87399" w:rsidRPr="002815F4">
        <w:t>s</w:t>
      </w:r>
      <w:r w:rsidR="002C3124" w:rsidRPr="002815F4">
        <w:t xml:space="preserve">, the MSG held a joint meeting in February 2017 with the Treasury and DGD to start work on </w:t>
      </w:r>
      <w:r w:rsidR="002C3124" w:rsidRPr="002815F4">
        <w:rPr>
          <w:i/>
        </w:rPr>
        <w:t>integrating the two agencies’ databases</w:t>
      </w:r>
      <w:r w:rsidR="002C3124" w:rsidRPr="002815F4">
        <w:t xml:space="preserve"> on customs levies, which is ongoing </w:t>
      </w:r>
      <w:sdt>
        <w:sdtPr>
          <w:rPr>
            <w:b/>
          </w:rPr>
          <w:id w:val="988296520"/>
          <w:citation/>
        </w:sdtPr>
        <w:sdtEndPr/>
        <w:sdtContent>
          <w:r w:rsidR="002C3124" w:rsidRPr="002815F4">
            <w:fldChar w:fldCharType="begin"/>
          </w:r>
          <w:r w:rsidR="002C3124" w:rsidRPr="002815F4">
            <w:instrText xml:space="preserve"> CITATION ITI1727 \l 1033 </w:instrText>
          </w:r>
          <w:r w:rsidR="002C3124" w:rsidRPr="002815F4">
            <w:fldChar w:fldCharType="separate"/>
          </w:r>
          <w:r w:rsidR="002C3124" w:rsidRPr="002815F4">
            <w:rPr>
              <w:noProof/>
            </w:rPr>
            <w:t>(ITIE Senegal, 2017)</w:t>
          </w:r>
          <w:r w:rsidR="002C3124" w:rsidRPr="002815F4">
            <w:fldChar w:fldCharType="end"/>
          </w:r>
        </w:sdtContent>
      </w:sdt>
      <w:r w:rsidR="002C3124" w:rsidRPr="002815F4">
        <w:t xml:space="preserve">. </w:t>
      </w:r>
    </w:p>
    <w:p w14:paraId="2AC36B67" w14:textId="77777777" w:rsidR="00FB24F3" w:rsidRPr="002815F4" w:rsidRDefault="00CE01AB">
      <w:pPr>
        <w:pStyle w:val="ListParagraph"/>
      </w:pPr>
      <w:r w:rsidRPr="002815F4">
        <w:t xml:space="preserve">Following up on the two EITI Reports’ recommendations regarding </w:t>
      </w:r>
      <w:r w:rsidRPr="002815F4">
        <w:rPr>
          <w:i/>
        </w:rPr>
        <w:t>tracking mandatory social expenditures</w:t>
      </w:r>
      <w:r w:rsidRPr="002815F4">
        <w:t xml:space="preserve">, the MSG has actively followed up on social expenditures related provisions of the new 2016 Mining Code with the DGPEE to ensure the creation of the Local Community Development Fund in 2017 and a platform for tracking companies’ payments of social expenditures </w:t>
      </w:r>
      <w:sdt>
        <w:sdtPr>
          <w:rPr>
            <w:b/>
          </w:rPr>
          <w:id w:val="404337986"/>
          <w:citation/>
        </w:sdtPr>
        <w:sdtEndPr/>
        <w:sdtContent>
          <w:r w:rsidRPr="002815F4">
            <w:fldChar w:fldCharType="begin"/>
          </w:r>
          <w:r w:rsidRPr="002815F4">
            <w:instrText xml:space="preserve"> CITATION ITI1727 \l 1033 </w:instrText>
          </w:r>
          <w:r w:rsidRPr="002815F4">
            <w:fldChar w:fldCharType="separate"/>
          </w:r>
          <w:r w:rsidRPr="002815F4">
            <w:rPr>
              <w:noProof/>
            </w:rPr>
            <w:t>(ITIE Senegal, 2017)</w:t>
          </w:r>
          <w:r w:rsidRPr="002815F4">
            <w:fldChar w:fldCharType="end"/>
          </w:r>
        </w:sdtContent>
      </w:sdt>
      <w:r w:rsidRPr="002815F4">
        <w:t xml:space="preserve">. </w:t>
      </w:r>
    </w:p>
    <w:p w14:paraId="0DBFA3FE" w14:textId="2A5A9BC9" w:rsidR="0021155F" w:rsidRPr="002815F4" w:rsidRDefault="00FB24F3">
      <w:pPr>
        <w:pStyle w:val="ListParagraph"/>
      </w:pPr>
      <w:r w:rsidRPr="002815F4">
        <w:t>Following up on both EITI Reports’ recommendation to establish an online database on the extractive industries, the MSG has submitted a proposal to IT contractor Development Gateway, with support from OSIWA, to develop an online Open Data Portal for extractives data</w:t>
      </w:r>
      <w:r w:rsidR="0021155F" w:rsidRPr="002815F4">
        <w:t xml:space="preserve"> by December 2017</w:t>
      </w:r>
      <w:r w:rsidRPr="002815F4">
        <w:t xml:space="preserve"> </w:t>
      </w:r>
      <w:sdt>
        <w:sdtPr>
          <w:rPr>
            <w:b/>
          </w:rPr>
          <w:id w:val="-731540707"/>
          <w:citation/>
        </w:sdtPr>
        <w:sdtEndPr/>
        <w:sdtContent>
          <w:r w:rsidRPr="002815F4">
            <w:fldChar w:fldCharType="begin"/>
          </w:r>
          <w:r w:rsidRPr="002815F4">
            <w:instrText xml:space="preserve"> CITATION ITI1727 \l 1033 </w:instrText>
          </w:r>
          <w:r w:rsidRPr="002815F4">
            <w:fldChar w:fldCharType="separate"/>
          </w:r>
          <w:r w:rsidRPr="002815F4">
            <w:rPr>
              <w:noProof/>
            </w:rPr>
            <w:t>(ITIE Senegal, 2017)</w:t>
          </w:r>
          <w:r w:rsidRPr="002815F4">
            <w:fldChar w:fldCharType="end"/>
          </w:r>
        </w:sdtContent>
      </w:sdt>
      <w:r w:rsidR="0021155F" w:rsidRPr="002815F4">
        <w:t xml:space="preserve"> </w:t>
      </w:r>
      <w:sdt>
        <w:sdtPr>
          <w:rPr>
            <w:b/>
          </w:rPr>
          <w:id w:val="699047331"/>
          <w:citation/>
        </w:sdtPr>
        <w:sdtEndPr/>
        <w:sdtContent>
          <w:r w:rsidR="0021155F" w:rsidRPr="002815F4">
            <w:fldChar w:fldCharType="begin"/>
          </w:r>
          <w:r w:rsidR="0021155F" w:rsidRPr="002815F4">
            <w:instrText xml:space="preserve"> CITATION Dev17 \l 1033 </w:instrText>
          </w:r>
          <w:r w:rsidR="0021155F" w:rsidRPr="002815F4">
            <w:fldChar w:fldCharType="separate"/>
          </w:r>
          <w:r w:rsidR="0021155F" w:rsidRPr="002815F4">
            <w:rPr>
              <w:noProof/>
            </w:rPr>
            <w:t>(Development Gateway, 2017)</w:t>
          </w:r>
          <w:r w:rsidR="0021155F" w:rsidRPr="002815F4">
            <w:fldChar w:fldCharType="end"/>
          </w:r>
        </w:sdtContent>
      </w:sdt>
      <w:r w:rsidRPr="002815F4">
        <w:t xml:space="preserve">. </w:t>
      </w:r>
    </w:p>
    <w:p w14:paraId="7FB3CE8C" w14:textId="265F7AC2" w:rsidR="004246F0" w:rsidRPr="002815F4" w:rsidRDefault="0021155F">
      <w:pPr>
        <w:pStyle w:val="ListParagraph"/>
      </w:pPr>
      <w:r w:rsidRPr="002815F4">
        <w:t xml:space="preserve">A consistent recommendation of EITI Reports, the MSG has also followed up on </w:t>
      </w:r>
      <w:r w:rsidRPr="002815F4">
        <w:rPr>
          <w:i/>
        </w:rPr>
        <w:t>harmonising the national revenue classification system</w:t>
      </w:r>
      <w:r w:rsidRPr="002815F4">
        <w:t xml:space="preserve"> to international standards, </w:t>
      </w:r>
      <w:r w:rsidR="004C59AD" w:rsidRPr="002815F4">
        <w:t xml:space="preserve">and disaggregating extractives-specific GFS classification, linking to ongoing efforts to implement Senegal’s 2009 roll-out of the UEMOA directive on budget revenue classifications, which is in line with the IMF’s GFS classification system </w:t>
      </w:r>
      <w:sdt>
        <w:sdtPr>
          <w:rPr>
            <w:b/>
          </w:rPr>
          <w:id w:val="1056053585"/>
          <w:citation/>
        </w:sdtPr>
        <w:sdtEndPr/>
        <w:sdtContent>
          <w:r w:rsidR="004C59AD" w:rsidRPr="002815F4">
            <w:fldChar w:fldCharType="begin"/>
          </w:r>
          <w:r w:rsidR="004C59AD" w:rsidRPr="002815F4">
            <w:instrText xml:space="preserve"> CITATION ITI175 \l 1033 </w:instrText>
          </w:r>
          <w:r w:rsidR="004C59AD" w:rsidRPr="002815F4">
            <w:fldChar w:fldCharType="separate"/>
          </w:r>
          <w:r w:rsidR="004C59AD" w:rsidRPr="002815F4">
            <w:rPr>
              <w:noProof/>
            </w:rPr>
            <w:t>(ITIE Senegal, 2017)</w:t>
          </w:r>
          <w:r w:rsidR="004C59AD" w:rsidRPr="002815F4">
            <w:fldChar w:fldCharType="end"/>
          </w:r>
        </w:sdtContent>
      </w:sdt>
      <w:r w:rsidR="004C59AD" w:rsidRPr="002815F4">
        <w:t>.</w:t>
      </w:r>
      <w:r w:rsidR="004C59AD" w:rsidRPr="002815F4" w:rsidDel="00FB247C">
        <w:rPr>
          <w:rFonts w:ascii="Calibri" w:hAnsi="Calibri"/>
          <w:bCs/>
        </w:rPr>
        <w:t xml:space="preserve"> </w:t>
      </w:r>
    </w:p>
    <w:p w14:paraId="4B55886A" w14:textId="20AB8773" w:rsidR="008745C5" w:rsidRPr="002815F4" w:rsidRDefault="00B51475" w:rsidP="00E02D8A">
      <w:r w:rsidRPr="002815F4">
        <w:rPr>
          <w:i/>
          <w:u w:val="single"/>
        </w:rPr>
        <w:t>Other recommendations</w:t>
      </w:r>
      <w:r w:rsidRPr="002815F4">
        <w:t xml:space="preserve">: </w:t>
      </w:r>
      <w:r w:rsidR="008745C5" w:rsidRPr="002815F4">
        <w:t>The MSG has also followed up and implemented several past EITI recommendations that were more narrowly linked to EITI reporting. These included:</w:t>
      </w:r>
    </w:p>
    <w:p w14:paraId="6E713BB8" w14:textId="31ABC5AF" w:rsidR="008745C5" w:rsidRPr="002815F4" w:rsidRDefault="008745C5" w:rsidP="00482C28">
      <w:pPr>
        <w:pStyle w:val="ListParagraph"/>
        <w:numPr>
          <w:ilvl w:val="0"/>
          <w:numId w:val="80"/>
        </w:numPr>
      </w:pPr>
      <w:r w:rsidRPr="002815F4">
        <w:t xml:space="preserve">Better company </w:t>
      </w:r>
      <w:r w:rsidRPr="002815F4">
        <w:rPr>
          <w:i/>
        </w:rPr>
        <w:t>record-keeping of payments to Customs</w:t>
      </w:r>
      <w:r w:rsidRPr="002815F4">
        <w:t xml:space="preserve"> (DGD), which was implemented in March 2017 to ensure companies track the receipt numbers for all payments to Customs </w:t>
      </w:r>
      <w:sdt>
        <w:sdtPr>
          <w:rPr>
            <w:b/>
          </w:rPr>
          <w:id w:val="-1241484521"/>
          <w:citation/>
        </w:sdtPr>
        <w:sdtEndPr/>
        <w:sdtContent>
          <w:r w:rsidRPr="002815F4">
            <w:fldChar w:fldCharType="begin"/>
          </w:r>
          <w:r w:rsidRPr="002815F4">
            <w:instrText xml:space="preserve"> CITATION ITI1727 \l 1033 </w:instrText>
          </w:r>
          <w:r w:rsidRPr="002815F4">
            <w:fldChar w:fldCharType="separate"/>
          </w:r>
          <w:r w:rsidRPr="002815F4">
            <w:rPr>
              <w:noProof/>
            </w:rPr>
            <w:t>(ITIE Senegal, 2017)</w:t>
          </w:r>
          <w:r w:rsidRPr="002815F4">
            <w:fldChar w:fldCharType="end"/>
          </w:r>
        </w:sdtContent>
      </w:sdt>
      <w:r w:rsidRPr="002815F4">
        <w:t xml:space="preserve">. </w:t>
      </w:r>
    </w:p>
    <w:p w14:paraId="65A9ADEF" w14:textId="7129E06E" w:rsidR="003F442F" w:rsidRPr="002815F4" w:rsidRDefault="003F442F">
      <w:pPr>
        <w:pStyle w:val="ListParagraph"/>
      </w:pPr>
      <w:r w:rsidRPr="002815F4">
        <w:t xml:space="preserve">Following up on recommendations from the 2013 EITI Report, the MSG implemented a MoU with the Court of Counts to </w:t>
      </w:r>
      <w:r w:rsidRPr="002815F4">
        <w:rPr>
          <w:i/>
        </w:rPr>
        <w:t>strengthen certification and tracking of government extractives revenues</w:t>
      </w:r>
      <w:r w:rsidRPr="002815F4">
        <w:t xml:space="preserve"> </w:t>
      </w:r>
      <w:sdt>
        <w:sdtPr>
          <w:rPr>
            <w:b/>
          </w:rPr>
          <w:id w:val="-302011412"/>
          <w:citation/>
        </w:sdtPr>
        <w:sdtEndPr/>
        <w:sdtContent>
          <w:r w:rsidRPr="002815F4">
            <w:fldChar w:fldCharType="begin"/>
          </w:r>
          <w:r w:rsidRPr="002815F4">
            <w:instrText xml:space="preserve"> CITATION ITI1652 \l 1033 </w:instrText>
          </w:r>
          <w:r w:rsidRPr="002815F4">
            <w:fldChar w:fldCharType="separate"/>
          </w:r>
          <w:r w:rsidRPr="002815F4">
            <w:rPr>
              <w:noProof/>
            </w:rPr>
            <w:t>(ITIE Senegal, 2016)</w:t>
          </w:r>
          <w:r w:rsidRPr="002815F4">
            <w:fldChar w:fldCharType="end"/>
          </w:r>
        </w:sdtContent>
      </w:sdt>
      <w:r w:rsidRPr="002815F4">
        <w:t xml:space="preserve"> </w:t>
      </w:r>
      <w:sdt>
        <w:sdtPr>
          <w:rPr>
            <w:b/>
          </w:rPr>
          <w:id w:val="777462328"/>
          <w:citation/>
        </w:sdtPr>
        <w:sdtEndPr/>
        <w:sdtContent>
          <w:r w:rsidRPr="002815F4">
            <w:fldChar w:fldCharType="begin"/>
          </w:r>
          <w:r w:rsidRPr="002815F4">
            <w:instrText xml:space="preserve"> CITATION Cou16 \l 1033 </w:instrText>
          </w:r>
          <w:r w:rsidRPr="002815F4">
            <w:fldChar w:fldCharType="separate"/>
          </w:r>
          <w:r w:rsidRPr="002815F4">
            <w:rPr>
              <w:noProof/>
            </w:rPr>
            <w:t>(Cour des Comptes, 2016)</w:t>
          </w:r>
          <w:r w:rsidRPr="002815F4">
            <w:fldChar w:fldCharType="end"/>
          </w:r>
        </w:sdtContent>
      </w:sdt>
      <w:r w:rsidRPr="002815F4">
        <w:t xml:space="preserve">. While this provided some certification of government reporting in the 2014 EITI Report, the MSG is still following up on CdC recommendations in the 2014 EITI Report related to renewing the MoU with the CdC and reforms of Treasury systems to include the identification of taxpayers, rather than simply the nature of payments </w:t>
      </w:r>
      <w:sdt>
        <w:sdtPr>
          <w:rPr>
            <w:b/>
          </w:rPr>
          <w:id w:val="277231698"/>
          <w:citation/>
        </w:sdtPr>
        <w:sdtEndPr/>
        <w:sdtContent>
          <w:r w:rsidRPr="002815F4">
            <w:fldChar w:fldCharType="begin"/>
          </w:r>
          <w:r w:rsidRPr="002815F4">
            <w:instrText xml:space="preserve"> CITATION ITI1727 \l 1033 </w:instrText>
          </w:r>
          <w:r w:rsidRPr="002815F4">
            <w:fldChar w:fldCharType="separate"/>
          </w:r>
          <w:r w:rsidRPr="002815F4">
            <w:rPr>
              <w:noProof/>
            </w:rPr>
            <w:t>(ITIE Senegal, 2017)</w:t>
          </w:r>
          <w:r w:rsidRPr="002815F4">
            <w:fldChar w:fldCharType="end"/>
          </w:r>
        </w:sdtContent>
      </w:sdt>
      <w:r w:rsidRPr="002815F4">
        <w:t xml:space="preserve">. </w:t>
      </w:r>
    </w:p>
    <w:p w14:paraId="014E3DF6" w14:textId="451CA516" w:rsidR="008745C5" w:rsidRPr="002815F4" w:rsidRDefault="00C87399">
      <w:pPr>
        <w:pStyle w:val="ListParagraph"/>
      </w:pPr>
      <w:r w:rsidRPr="002815F4">
        <w:t xml:space="preserve">Integration of “other significant payments” of over XOF 25m reported in the 2013 and 2014 EITI Reports in the normal EITI reporting templates, which was done in the 2015-16 EITI reporting </w:t>
      </w:r>
      <w:r w:rsidRPr="002815F4">
        <w:lastRenderedPageBreak/>
        <w:t xml:space="preserve">templates </w:t>
      </w:r>
      <w:sdt>
        <w:sdtPr>
          <w:rPr>
            <w:b/>
          </w:rPr>
          <w:id w:val="1250316609"/>
          <w:citation/>
        </w:sdtPr>
        <w:sdtEndPr/>
        <w:sdtContent>
          <w:r w:rsidRPr="002815F4">
            <w:fldChar w:fldCharType="begin"/>
          </w:r>
          <w:r w:rsidRPr="002815F4">
            <w:instrText xml:space="preserve"> CITATION ITI1727 \l 1033 </w:instrText>
          </w:r>
          <w:r w:rsidRPr="002815F4">
            <w:fldChar w:fldCharType="separate"/>
          </w:r>
          <w:r w:rsidRPr="002815F4">
            <w:rPr>
              <w:noProof/>
            </w:rPr>
            <w:t>(ITIE Senegal, 2017)</w:t>
          </w:r>
          <w:r w:rsidRPr="002815F4">
            <w:fldChar w:fldCharType="end"/>
          </w:r>
        </w:sdtContent>
      </w:sdt>
      <w:r w:rsidRPr="002815F4">
        <w:t xml:space="preserve">. </w:t>
      </w:r>
    </w:p>
    <w:p w14:paraId="6D3B6287" w14:textId="7D272ACF" w:rsidR="008745C5" w:rsidRPr="002815F4" w:rsidRDefault="004C59AD" w:rsidP="00E02D8A">
      <w:r w:rsidRPr="002815F4">
        <w:t xml:space="preserve">One of the </w:t>
      </w:r>
      <w:r w:rsidR="00EF1927" w:rsidRPr="002815F4">
        <w:t>recommendations from the 2014 EITI Report</w:t>
      </w:r>
      <w:r w:rsidRPr="002815F4">
        <w:t xml:space="preserve"> that </w:t>
      </w:r>
      <w:r w:rsidR="00EF1927" w:rsidRPr="002815F4">
        <w:t xml:space="preserve">remained outstanding at the start of Validation (1 July </w:t>
      </w:r>
      <w:r w:rsidRPr="002815F4">
        <w:t xml:space="preserve">2017) related to </w:t>
      </w:r>
      <w:r w:rsidR="00EF1927" w:rsidRPr="002815F4">
        <w:t xml:space="preserve">weaknesses in official mineral production and export statistics, </w:t>
      </w:r>
      <w:r w:rsidRPr="002815F4">
        <w:t xml:space="preserve">although there is evidence of MSG plans for follow-up in </w:t>
      </w:r>
      <w:r w:rsidR="00EF1927" w:rsidRPr="002815F4">
        <w:t xml:space="preserve">second half of 2017 </w:t>
      </w:r>
      <w:sdt>
        <w:sdtPr>
          <w:id w:val="266280425"/>
          <w:citation/>
        </w:sdtPr>
        <w:sdtEndPr/>
        <w:sdtContent>
          <w:r w:rsidR="00EF1927" w:rsidRPr="002815F4">
            <w:fldChar w:fldCharType="begin"/>
          </w:r>
          <w:r w:rsidR="00EF1927" w:rsidRPr="002815F4">
            <w:instrText xml:space="preserve"> CITATION ITI1727 \l 1033 </w:instrText>
          </w:r>
          <w:r w:rsidR="00EF1927" w:rsidRPr="002815F4">
            <w:fldChar w:fldCharType="separate"/>
          </w:r>
          <w:r w:rsidR="00EF1927" w:rsidRPr="002815F4">
            <w:rPr>
              <w:noProof/>
            </w:rPr>
            <w:t>(ITIE Senegal, 2017)</w:t>
          </w:r>
          <w:r w:rsidR="00EF1927" w:rsidRPr="002815F4">
            <w:fldChar w:fldCharType="end"/>
          </w:r>
        </w:sdtContent>
      </w:sdt>
      <w:r w:rsidRPr="002815F4">
        <w:t xml:space="preserve">. </w:t>
      </w:r>
    </w:p>
    <w:p w14:paraId="1AD354E7" w14:textId="77777777" w:rsidR="00EC1FBA" w:rsidRPr="002815F4" w:rsidRDefault="00D41A8E" w:rsidP="009B3E66">
      <w:pPr>
        <w:pStyle w:val="Heading3"/>
      </w:pPr>
      <w:r w:rsidRPr="002815F4">
        <w:t>Stakeholder views</w:t>
      </w:r>
      <w:r w:rsidR="00EB28CA" w:rsidRPr="002815F4">
        <w:t xml:space="preserve"> </w:t>
      </w:r>
    </w:p>
    <w:p w14:paraId="3AB6A478" w14:textId="18788E36" w:rsidR="00FD07DD" w:rsidRPr="002815F4" w:rsidRDefault="00182093" w:rsidP="00F008AE">
      <w:pPr>
        <w:spacing w:before="120"/>
        <w:rPr>
          <w:rFonts w:ascii="Calibri" w:hAnsi="Calibri"/>
          <w:bCs/>
        </w:rPr>
      </w:pPr>
      <w:r w:rsidRPr="002815F4">
        <w:rPr>
          <w:rFonts w:ascii="Calibri" w:hAnsi="Calibri"/>
          <w:bCs/>
        </w:rPr>
        <w:t xml:space="preserve">Secretariat staff and MSG members explained that the initial idea of establishing an Inter-Ministerial Committee to follow up on EITI recommendations was abandoned in 2016, as the MSG considered that this could create an additional level of bureaucracy that might unnecessarily slow the efficiency of follow-up. Rather, the MSG considered that bilateral follow-up was more efficient and just as effective. Stakeholders explained that the MSG had a dedicated plan of action for following up on EITI recommendations, which was monitored on a weekly basis by the </w:t>
      </w:r>
      <w:r w:rsidR="002815F4" w:rsidRPr="002815F4">
        <w:rPr>
          <w:rFonts w:ascii="Calibri" w:hAnsi="Calibri"/>
          <w:bCs/>
        </w:rPr>
        <w:t>secretariat</w:t>
      </w:r>
      <w:r w:rsidRPr="002815F4">
        <w:rPr>
          <w:rFonts w:ascii="Calibri" w:hAnsi="Calibri"/>
          <w:bCs/>
        </w:rPr>
        <w:t xml:space="preserve"> through its monitoring and evaluation department. All stakeholders consulted highlighted the effectiveness of this approach, pointing to concrete reforms both related to improving the efficiency of EITI reporting and broader sector reforms, such as input to drafting the new Mining Code in 2015-16. </w:t>
      </w:r>
      <w:r w:rsidR="00FD07DD" w:rsidRPr="002815F4">
        <w:rPr>
          <w:rFonts w:ascii="Calibri" w:hAnsi="Calibri"/>
          <w:bCs/>
        </w:rPr>
        <w:t xml:space="preserve">Secretariat staff also highlighted the importance of press briefings and dissemination events in building public support for implementing reforms recommended through EITI Reports. </w:t>
      </w:r>
    </w:p>
    <w:p w14:paraId="141F9BC1" w14:textId="63F465BD" w:rsidR="002437A8" w:rsidRPr="002815F4" w:rsidRDefault="00F008AE" w:rsidP="00805B01">
      <w:pPr>
        <w:spacing w:before="120"/>
        <w:rPr>
          <w:rFonts w:ascii="Calibri" w:hAnsi="Calibri"/>
          <w:bCs/>
        </w:rPr>
      </w:pPr>
      <w:r w:rsidRPr="002815F4">
        <w:rPr>
          <w:rFonts w:ascii="Calibri" w:hAnsi="Calibri"/>
          <w:bCs/>
        </w:rPr>
        <w:t xml:space="preserve">Civil society noted </w:t>
      </w:r>
      <w:r w:rsidR="00182093" w:rsidRPr="002815F4">
        <w:rPr>
          <w:rFonts w:ascii="Calibri" w:hAnsi="Calibri"/>
          <w:bCs/>
        </w:rPr>
        <w:t xml:space="preserve">the important </w:t>
      </w:r>
      <w:r w:rsidRPr="002815F4">
        <w:rPr>
          <w:rFonts w:ascii="Calibri" w:hAnsi="Calibri"/>
          <w:bCs/>
        </w:rPr>
        <w:t xml:space="preserve">progress </w:t>
      </w:r>
      <w:r w:rsidR="00182093" w:rsidRPr="002815F4">
        <w:rPr>
          <w:rFonts w:ascii="Calibri" w:hAnsi="Calibri"/>
          <w:bCs/>
        </w:rPr>
        <w:t xml:space="preserve">achieved </w:t>
      </w:r>
      <w:r w:rsidRPr="002815F4">
        <w:rPr>
          <w:rFonts w:ascii="Calibri" w:hAnsi="Calibri"/>
          <w:bCs/>
        </w:rPr>
        <w:t xml:space="preserve">in </w:t>
      </w:r>
      <w:r w:rsidR="00182093" w:rsidRPr="002815F4">
        <w:rPr>
          <w:rFonts w:ascii="Calibri" w:hAnsi="Calibri"/>
          <w:bCs/>
        </w:rPr>
        <w:t>implementing</w:t>
      </w:r>
      <w:r w:rsidRPr="002815F4">
        <w:rPr>
          <w:rFonts w:ascii="Calibri" w:hAnsi="Calibri"/>
          <w:bCs/>
        </w:rPr>
        <w:t xml:space="preserve"> </w:t>
      </w:r>
      <w:r w:rsidR="00182093" w:rsidRPr="002815F4">
        <w:rPr>
          <w:rFonts w:ascii="Calibri" w:hAnsi="Calibri"/>
          <w:bCs/>
        </w:rPr>
        <w:t xml:space="preserve">EITI </w:t>
      </w:r>
      <w:r w:rsidRPr="002815F4">
        <w:rPr>
          <w:rFonts w:ascii="Calibri" w:hAnsi="Calibri"/>
          <w:bCs/>
        </w:rPr>
        <w:t xml:space="preserve">recommendations </w:t>
      </w:r>
      <w:r w:rsidR="00182093" w:rsidRPr="002815F4">
        <w:rPr>
          <w:rFonts w:ascii="Calibri" w:hAnsi="Calibri"/>
          <w:bCs/>
        </w:rPr>
        <w:t xml:space="preserve">and highlighted the </w:t>
      </w:r>
      <w:r w:rsidRPr="002815F4">
        <w:rPr>
          <w:rFonts w:ascii="Calibri" w:hAnsi="Calibri"/>
          <w:bCs/>
        </w:rPr>
        <w:t xml:space="preserve">participation of government agencies in </w:t>
      </w:r>
      <w:r w:rsidR="00182093" w:rsidRPr="002815F4">
        <w:rPr>
          <w:rFonts w:ascii="Calibri" w:hAnsi="Calibri"/>
          <w:bCs/>
        </w:rPr>
        <w:t>implementing reforms</w:t>
      </w:r>
      <w:r w:rsidRPr="002815F4">
        <w:rPr>
          <w:rFonts w:ascii="Calibri" w:hAnsi="Calibri"/>
          <w:bCs/>
        </w:rPr>
        <w:t xml:space="preserve">. </w:t>
      </w:r>
      <w:r w:rsidR="00182093" w:rsidRPr="002815F4">
        <w:rPr>
          <w:rFonts w:ascii="Calibri" w:hAnsi="Calibri"/>
          <w:bCs/>
        </w:rPr>
        <w:t>Several company representatives</w:t>
      </w:r>
      <w:r w:rsidRPr="002815F4">
        <w:rPr>
          <w:rFonts w:ascii="Calibri" w:hAnsi="Calibri"/>
          <w:bCs/>
        </w:rPr>
        <w:t xml:space="preserve"> </w:t>
      </w:r>
      <w:r w:rsidR="00182093" w:rsidRPr="002815F4">
        <w:rPr>
          <w:rFonts w:ascii="Calibri" w:hAnsi="Calibri"/>
          <w:bCs/>
        </w:rPr>
        <w:t xml:space="preserve">explained that </w:t>
      </w:r>
      <w:r w:rsidRPr="002815F4">
        <w:rPr>
          <w:rFonts w:ascii="Calibri" w:hAnsi="Calibri"/>
          <w:bCs/>
        </w:rPr>
        <w:t xml:space="preserve">they were quite passive in the formulation </w:t>
      </w:r>
      <w:r w:rsidR="00182093" w:rsidRPr="002815F4">
        <w:rPr>
          <w:rFonts w:ascii="Calibri" w:hAnsi="Calibri"/>
          <w:bCs/>
        </w:rPr>
        <w:t xml:space="preserve">of </w:t>
      </w:r>
      <w:r w:rsidRPr="002815F4">
        <w:rPr>
          <w:rFonts w:ascii="Calibri" w:hAnsi="Calibri"/>
          <w:bCs/>
        </w:rPr>
        <w:t xml:space="preserve">and </w:t>
      </w:r>
      <w:r w:rsidR="00182093" w:rsidRPr="002815F4">
        <w:rPr>
          <w:rFonts w:ascii="Calibri" w:hAnsi="Calibri"/>
          <w:bCs/>
        </w:rPr>
        <w:t>follow-up on EITI recommendations and considered this a reflection of industry’s outlook in Senegal, which consisted of wanting to comply with the relevant regulations rather than lobby for reforms</w:t>
      </w:r>
      <w:r w:rsidRPr="002815F4">
        <w:rPr>
          <w:rFonts w:ascii="Calibri" w:hAnsi="Calibri"/>
          <w:bCs/>
        </w:rPr>
        <w:t xml:space="preserve">. </w:t>
      </w:r>
      <w:r w:rsidR="00FD07DD" w:rsidRPr="002815F4">
        <w:rPr>
          <w:rFonts w:ascii="Calibri" w:hAnsi="Calibri"/>
          <w:bCs/>
        </w:rPr>
        <w:t xml:space="preserve">However, industry representatives noted the pertinence of certain past EITI recommendations to industry’s concerns, such as those related to improving the traceability of customs fees paid by transport companies. </w:t>
      </w:r>
      <w:r w:rsidRPr="002815F4">
        <w:rPr>
          <w:rFonts w:ascii="Calibri" w:hAnsi="Calibri"/>
          <w:bCs/>
        </w:rPr>
        <w:t xml:space="preserve">Parliamentarians </w:t>
      </w:r>
      <w:r w:rsidR="00D579C8" w:rsidRPr="002815F4">
        <w:rPr>
          <w:rFonts w:ascii="Calibri" w:hAnsi="Calibri"/>
          <w:bCs/>
        </w:rPr>
        <w:t xml:space="preserve">consulted </w:t>
      </w:r>
      <w:r w:rsidRPr="002815F4">
        <w:rPr>
          <w:rFonts w:ascii="Calibri" w:hAnsi="Calibri"/>
          <w:bCs/>
        </w:rPr>
        <w:t>noted that they were not involved in the formulation or follow-up o</w:t>
      </w:r>
      <w:r w:rsidR="00D579C8" w:rsidRPr="002815F4">
        <w:rPr>
          <w:rFonts w:ascii="Calibri" w:hAnsi="Calibri"/>
          <w:bCs/>
        </w:rPr>
        <w:t>f recommendations in EITI Reports</w:t>
      </w:r>
      <w:r w:rsidRPr="002815F4">
        <w:rPr>
          <w:rFonts w:ascii="Calibri" w:hAnsi="Calibri"/>
          <w:bCs/>
        </w:rPr>
        <w:t xml:space="preserve"> </w:t>
      </w:r>
      <w:r w:rsidR="00D579C8" w:rsidRPr="002815F4">
        <w:rPr>
          <w:rFonts w:ascii="Calibri" w:hAnsi="Calibri"/>
          <w:bCs/>
        </w:rPr>
        <w:t xml:space="preserve">but that </w:t>
      </w:r>
      <w:r w:rsidRPr="002815F4">
        <w:rPr>
          <w:rFonts w:ascii="Calibri" w:hAnsi="Calibri"/>
          <w:bCs/>
        </w:rPr>
        <w:t xml:space="preserve">they </w:t>
      </w:r>
      <w:r w:rsidR="00D579C8" w:rsidRPr="002815F4">
        <w:rPr>
          <w:rFonts w:ascii="Calibri" w:hAnsi="Calibri"/>
          <w:bCs/>
        </w:rPr>
        <w:t xml:space="preserve">provided </w:t>
      </w:r>
      <w:r w:rsidRPr="002815F4">
        <w:rPr>
          <w:rFonts w:ascii="Calibri" w:hAnsi="Calibri"/>
          <w:bCs/>
        </w:rPr>
        <w:t xml:space="preserve">their opinion on </w:t>
      </w:r>
      <w:r w:rsidR="00D579C8" w:rsidRPr="002815F4">
        <w:rPr>
          <w:rFonts w:ascii="Calibri" w:hAnsi="Calibri"/>
          <w:bCs/>
        </w:rPr>
        <w:t xml:space="preserve">recommendations at EITI </w:t>
      </w:r>
      <w:r w:rsidRPr="002815F4">
        <w:rPr>
          <w:rFonts w:ascii="Calibri" w:hAnsi="Calibri"/>
          <w:bCs/>
        </w:rPr>
        <w:t xml:space="preserve">workshops. </w:t>
      </w:r>
      <w:r w:rsidR="00FD07DD" w:rsidRPr="002815F4">
        <w:rPr>
          <w:rFonts w:ascii="Calibri" w:hAnsi="Calibri"/>
          <w:bCs/>
        </w:rPr>
        <w:t xml:space="preserve">All MSG members consulted highlighted the pertinence of EITI recommendations to national reform priorities and the public’s priorities. </w:t>
      </w:r>
    </w:p>
    <w:p w14:paraId="4026BA96" w14:textId="77777777" w:rsidR="00EC1FBA" w:rsidRPr="002815F4" w:rsidRDefault="0073607A" w:rsidP="009B3E66">
      <w:pPr>
        <w:pStyle w:val="Heading3"/>
      </w:pPr>
      <w:r w:rsidRPr="002815F4">
        <w:t>Initial a</w:t>
      </w:r>
      <w:r w:rsidR="00D41A8E" w:rsidRPr="002815F4">
        <w:t>ssessment</w:t>
      </w:r>
      <w:r w:rsidR="004E70A8" w:rsidRPr="002815F4">
        <w:t xml:space="preserve"> </w:t>
      </w:r>
    </w:p>
    <w:p w14:paraId="7AFB59A4" w14:textId="69F0ABF5" w:rsidR="00D41A8E" w:rsidRPr="002815F4" w:rsidRDefault="004E70A8" w:rsidP="001C0B31">
      <w:pPr>
        <w:spacing w:before="120"/>
        <w:rPr>
          <w:rFonts w:ascii="Calibri" w:hAnsi="Calibri"/>
          <w:color w:val="000000" w:themeColor="text1"/>
          <w:lang w:eastAsia="x-none"/>
        </w:rPr>
      </w:pPr>
      <w:r w:rsidRPr="002815F4">
        <w:rPr>
          <w:rFonts w:ascii="Calibri" w:hAnsi="Calibri"/>
          <w:color w:val="000000" w:themeColor="text1"/>
          <w:lang w:eastAsia="x-none"/>
        </w:rPr>
        <w:t xml:space="preserve">The International Secretariat’s initial assessment is that </w:t>
      </w:r>
      <w:r w:rsidR="001C0B31" w:rsidRPr="002815F4">
        <w:rPr>
          <w:rFonts w:ascii="Calibri" w:hAnsi="Calibri"/>
          <w:bCs/>
        </w:rPr>
        <w:t>Senegal</w:t>
      </w:r>
      <w:r w:rsidR="001C0B31" w:rsidRPr="002815F4">
        <w:rPr>
          <w:rFonts w:ascii="Calibri" w:hAnsi="Calibri"/>
          <w:color w:val="000000" w:themeColor="text1"/>
          <w:lang w:eastAsia="x-none"/>
        </w:rPr>
        <w:t xml:space="preserve"> </w:t>
      </w:r>
      <w:r w:rsidRPr="002815F4">
        <w:rPr>
          <w:rFonts w:ascii="Calibri" w:hAnsi="Calibri"/>
          <w:color w:val="000000" w:themeColor="text1"/>
          <w:lang w:eastAsia="x-none"/>
        </w:rPr>
        <w:t xml:space="preserve">has made </w:t>
      </w:r>
      <w:r w:rsidR="001C0B31" w:rsidRPr="002815F4">
        <w:rPr>
          <w:rFonts w:ascii="Calibri" w:hAnsi="Calibri"/>
          <w:bCs/>
        </w:rPr>
        <w:t>satisfactory</w:t>
      </w:r>
      <w:r w:rsidR="001C0B31" w:rsidRPr="002815F4">
        <w:rPr>
          <w:rFonts w:ascii="Calibri" w:hAnsi="Calibri"/>
          <w:b/>
          <w:bCs/>
        </w:rPr>
        <w:t xml:space="preserve"> </w:t>
      </w:r>
      <w:r w:rsidRPr="002815F4">
        <w:rPr>
          <w:rFonts w:ascii="Calibri" w:hAnsi="Calibri"/>
          <w:color w:val="000000" w:themeColor="text1"/>
          <w:lang w:eastAsia="x-none"/>
        </w:rPr>
        <w:t xml:space="preserve">progress in meeting this </w:t>
      </w:r>
      <w:commentRangeStart w:id="446"/>
      <w:r w:rsidRPr="002815F4">
        <w:rPr>
          <w:rFonts w:ascii="Calibri" w:hAnsi="Calibri"/>
          <w:color w:val="000000" w:themeColor="text1"/>
          <w:lang w:eastAsia="x-none"/>
        </w:rPr>
        <w:t>requirement</w:t>
      </w:r>
      <w:commentRangeEnd w:id="446"/>
      <w:r w:rsidR="006A3A0E">
        <w:rPr>
          <w:rStyle w:val="CommentReference"/>
          <w:szCs w:val="20"/>
        </w:rPr>
        <w:commentReference w:id="446"/>
      </w:r>
      <w:r w:rsidRPr="002815F4">
        <w:rPr>
          <w:rFonts w:ascii="Calibri" w:hAnsi="Calibri"/>
          <w:color w:val="000000" w:themeColor="text1"/>
          <w:lang w:eastAsia="x-none"/>
        </w:rPr>
        <w:t xml:space="preserve">. </w:t>
      </w:r>
      <w:r w:rsidR="001C0B31" w:rsidRPr="002815F4">
        <w:rPr>
          <w:rFonts w:ascii="Calibri" w:hAnsi="Calibri"/>
          <w:color w:val="000000" w:themeColor="text1"/>
          <w:lang w:eastAsia="x-none"/>
        </w:rPr>
        <w:t>The MSG and the government have taken steps to act upon lessons learnt, to identify, investigate and address the causes of any discrepancies and weaknesses of the EITI process and to consider the recommendations for improvements from the IA.</w:t>
      </w:r>
      <w:r w:rsidR="00FD07DD" w:rsidRPr="002815F4">
        <w:rPr>
          <w:rFonts w:ascii="Calibri" w:hAnsi="Calibri"/>
          <w:color w:val="000000" w:themeColor="text1"/>
          <w:lang w:eastAsia="x-none"/>
        </w:rPr>
        <w:t xml:space="preserve"> </w:t>
      </w:r>
      <w:r w:rsidR="002A76CF" w:rsidRPr="002815F4">
        <w:rPr>
          <w:rFonts w:ascii="Calibri" w:hAnsi="Calibri"/>
          <w:color w:val="000000" w:themeColor="text1"/>
          <w:lang w:eastAsia="x-none"/>
        </w:rPr>
        <w:t>In the International Secretariat’s view, Senegal has gone beyond the minimum requirements given the MSG’s proactive role in formulating recommendations of EITI Reports, assessing and following up on the IA’s findings and recommendations and implementation of reforms starting with Senegal’s first EITI Report.</w:t>
      </w:r>
    </w:p>
    <w:p w14:paraId="24CF11C0" w14:textId="139EA363" w:rsidR="001C0B31" w:rsidRPr="002815F4" w:rsidRDefault="001C0B31" w:rsidP="00DD152D">
      <w:pPr>
        <w:spacing w:before="120"/>
        <w:rPr>
          <w:rFonts w:ascii="Calibri" w:hAnsi="Calibri"/>
        </w:rPr>
      </w:pPr>
      <w:r w:rsidRPr="002815F4">
        <w:rPr>
          <w:rFonts w:ascii="Calibri" w:hAnsi="Calibri"/>
        </w:rPr>
        <w:t xml:space="preserve">To strengthen implementation, the MSG may wish to </w:t>
      </w:r>
      <w:r w:rsidR="00FF6FD1" w:rsidRPr="002815F4">
        <w:rPr>
          <w:rFonts w:ascii="Calibri" w:hAnsi="Calibri"/>
        </w:rPr>
        <w:t xml:space="preserve">consider formalising government mechanisms for following up on recommendations from past EITI Reports and Validation as a means of ensuring the sustainability and continued effectiveness of follow-up channels. </w:t>
      </w:r>
    </w:p>
    <w:p w14:paraId="0DACFA7F" w14:textId="77777777" w:rsidR="00D17336" w:rsidRPr="002815F4" w:rsidRDefault="00D17336" w:rsidP="009B3E66">
      <w:pPr>
        <w:pStyle w:val="Heading2"/>
      </w:pPr>
      <w:bookmarkStart w:id="447" w:name="_Toc461796703"/>
      <w:bookmarkStart w:id="448" w:name="_Toc458773265"/>
      <w:bookmarkStart w:id="449" w:name="_Toc458780362"/>
      <w:bookmarkStart w:id="450" w:name="_Toc461803156"/>
      <w:bookmarkStart w:id="451" w:name="_Toc461787367"/>
      <w:bookmarkStart w:id="452" w:name="_Toc461795879"/>
      <w:bookmarkStart w:id="453" w:name="_Toc462149211"/>
      <w:bookmarkStart w:id="454" w:name="_Toc459133207"/>
      <w:bookmarkEnd w:id="447"/>
      <w:r w:rsidRPr="002815F4">
        <w:lastRenderedPageBreak/>
        <w:t>Outcomes and impact of implementation (#7.4)</w:t>
      </w:r>
      <w:bookmarkEnd w:id="448"/>
      <w:bookmarkEnd w:id="449"/>
      <w:bookmarkEnd w:id="450"/>
      <w:bookmarkEnd w:id="451"/>
      <w:bookmarkEnd w:id="452"/>
      <w:bookmarkEnd w:id="453"/>
    </w:p>
    <w:bookmarkEnd w:id="454"/>
    <w:p w14:paraId="7C32DE43" w14:textId="77777777" w:rsidR="00EC1FBA" w:rsidRPr="002815F4" w:rsidRDefault="00423839" w:rsidP="009B3E66">
      <w:pPr>
        <w:pStyle w:val="Heading3"/>
      </w:pPr>
      <w:r w:rsidRPr="002815F4">
        <w:t>Documentation of progress</w:t>
      </w:r>
      <w:r w:rsidR="00A140F1" w:rsidRPr="002815F4">
        <w:t xml:space="preserve"> </w:t>
      </w:r>
    </w:p>
    <w:p w14:paraId="497D671D" w14:textId="4E52FDAE" w:rsidR="00437804" w:rsidRPr="002815F4" w:rsidRDefault="00437804" w:rsidP="00E02D8A">
      <w:r w:rsidRPr="002815F4">
        <w:t xml:space="preserve">There is extensive evidence of the MSG using the annual progress report as a means of benchmarking its strategic decisions to its record of achievements, identify shortcoming and barriers to implementation and provide a solid assessment of implementation as a basis for formulating future work plans </w:t>
      </w:r>
      <w:sdt>
        <w:sdtPr>
          <w:id w:val="597910243"/>
          <w:citation/>
        </w:sdtPr>
        <w:sdtEndPr/>
        <w:sdtContent>
          <w:r w:rsidRPr="002815F4">
            <w:fldChar w:fldCharType="begin"/>
          </w:r>
          <w:r w:rsidRPr="002815F4">
            <w:instrText xml:space="preserve"> CITATION ITI1543 \l 1033 </w:instrText>
          </w:r>
          <w:r w:rsidRPr="002815F4">
            <w:fldChar w:fldCharType="separate"/>
          </w:r>
          <w:r w:rsidR="003E626E" w:rsidRPr="002815F4">
            <w:rPr>
              <w:noProof/>
            </w:rPr>
            <w:t>(ITIE Senegal, 2015)</w:t>
          </w:r>
          <w:r w:rsidRPr="002815F4">
            <w:fldChar w:fldCharType="end"/>
          </w:r>
        </w:sdtContent>
      </w:sdt>
      <w:r w:rsidRPr="002815F4">
        <w:t xml:space="preserve"> </w:t>
      </w:r>
      <w:sdt>
        <w:sdtPr>
          <w:id w:val="1112242255"/>
          <w:citation/>
        </w:sdtPr>
        <w:sdtEndPr/>
        <w:sdtContent>
          <w:r w:rsidRPr="002815F4">
            <w:fldChar w:fldCharType="begin"/>
          </w:r>
          <w:r w:rsidRPr="002815F4">
            <w:instrText xml:space="preserve"> CITATION ITI1625 \l 1033 </w:instrText>
          </w:r>
          <w:r w:rsidRPr="002815F4">
            <w:fldChar w:fldCharType="separate"/>
          </w:r>
          <w:r w:rsidR="003E626E" w:rsidRPr="002815F4">
            <w:rPr>
              <w:noProof/>
            </w:rPr>
            <w:t>(ITIE Senegal, 2016)</w:t>
          </w:r>
          <w:r w:rsidRPr="002815F4">
            <w:fldChar w:fldCharType="end"/>
          </w:r>
        </w:sdtContent>
      </w:sdt>
      <w:r w:rsidRPr="002815F4">
        <w:t xml:space="preserve"> </w:t>
      </w:r>
      <w:sdt>
        <w:sdtPr>
          <w:id w:val="-1546746522"/>
          <w:citation/>
        </w:sdtPr>
        <w:sdtEndPr/>
        <w:sdtContent>
          <w:r w:rsidRPr="002815F4">
            <w:fldChar w:fldCharType="begin"/>
          </w:r>
          <w:r w:rsidRPr="002815F4">
            <w:instrText xml:space="preserve"> CITATION ITI1725 \l 1033 </w:instrText>
          </w:r>
          <w:r w:rsidRPr="002815F4">
            <w:fldChar w:fldCharType="separate"/>
          </w:r>
          <w:r w:rsidR="003E626E" w:rsidRPr="002815F4">
            <w:rPr>
              <w:noProof/>
            </w:rPr>
            <w:t>(ITIE Senegal, 2017)</w:t>
          </w:r>
          <w:r w:rsidRPr="002815F4">
            <w:fldChar w:fldCharType="end"/>
          </w:r>
        </w:sdtContent>
      </w:sdt>
      <w:r w:rsidRPr="002815F4">
        <w:t xml:space="preserve">. The MSG has tended to publish its annual activity reports up to 2016 with some delay, publishing the </w:t>
      </w:r>
      <w:r w:rsidR="00012041" w:rsidRPr="002815F4">
        <w:rPr>
          <w:bCs/>
        </w:rPr>
        <w:t>2013/14 annual activity report in December 2015</w:t>
      </w:r>
      <w:r w:rsidR="009D0D0B" w:rsidRPr="002815F4">
        <w:rPr>
          <w:bCs/>
        </w:rPr>
        <w:t xml:space="preserve"> </w:t>
      </w:r>
      <w:r w:rsidRPr="002815F4">
        <w:rPr>
          <w:bCs/>
        </w:rPr>
        <w:t xml:space="preserve">and the </w:t>
      </w:r>
      <w:r w:rsidR="008D1F4B" w:rsidRPr="002815F4">
        <w:t xml:space="preserve">2015/16 annual progress report in November 2016 </w:t>
      </w:r>
      <w:sdt>
        <w:sdtPr>
          <w:rPr>
            <w:bCs/>
          </w:rPr>
          <w:id w:val="-1290667450"/>
          <w:citation/>
        </w:sdtPr>
        <w:sdtEndPr/>
        <w:sdtContent>
          <w:r w:rsidRPr="002815F4">
            <w:rPr>
              <w:bCs/>
            </w:rPr>
            <w:fldChar w:fldCharType="begin"/>
          </w:r>
          <w:r w:rsidRPr="002815F4">
            <w:rPr>
              <w:bCs/>
            </w:rPr>
            <w:instrText xml:space="preserve"> CITATION ITI1541 \l 1033 </w:instrText>
          </w:r>
          <w:r w:rsidRPr="002815F4">
            <w:rPr>
              <w:bCs/>
            </w:rPr>
            <w:fldChar w:fldCharType="separate"/>
          </w:r>
          <w:r w:rsidR="003E626E" w:rsidRPr="002815F4">
            <w:rPr>
              <w:noProof/>
            </w:rPr>
            <w:t>(ITIE Senegal, 2015)</w:t>
          </w:r>
          <w:r w:rsidRPr="002815F4">
            <w:rPr>
              <w:bCs/>
            </w:rPr>
            <w:fldChar w:fldCharType="end"/>
          </w:r>
        </w:sdtContent>
      </w:sdt>
      <w:r w:rsidRPr="002815F4">
        <w:rPr>
          <w:bCs/>
        </w:rPr>
        <w:t xml:space="preserve"> </w:t>
      </w:r>
      <w:sdt>
        <w:sdtPr>
          <w:id w:val="1662125265"/>
          <w:citation/>
        </w:sdtPr>
        <w:sdtEndPr/>
        <w:sdtContent>
          <w:r w:rsidR="008D1F4B" w:rsidRPr="002815F4">
            <w:fldChar w:fldCharType="begin"/>
          </w:r>
          <w:r w:rsidR="00330E25" w:rsidRPr="002815F4">
            <w:instrText xml:space="preserve">CITATION ITI1625 \l 1033 </w:instrText>
          </w:r>
          <w:r w:rsidR="008D1F4B" w:rsidRPr="002815F4">
            <w:fldChar w:fldCharType="separate"/>
          </w:r>
          <w:r w:rsidR="003E626E" w:rsidRPr="002815F4">
            <w:rPr>
              <w:noProof/>
            </w:rPr>
            <w:t>(ITIE Senegal, 2016)</w:t>
          </w:r>
          <w:r w:rsidR="008D1F4B" w:rsidRPr="002815F4">
            <w:fldChar w:fldCharType="end"/>
          </w:r>
        </w:sdtContent>
      </w:sdt>
      <w:r w:rsidR="008D1F4B" w:rsidRPr="002815F4">
        <w:t xml:space="preserve">. </w:t>
      </w:r>
      <w:r w:rsidRPr="002815F4">
        <w:t xml:space="preserve">However, the MSG discussed the 2016 annual progress report at its 28 March 2017 meeting and approved it via circular in June 2017 </w:t>
      </w:r>
      <w:sdt>
        <w:sdtPr>
          <w:id w:val="-1516771940"/>
          <w:citation/>
        </w:sdtPr>
        <w:sdtEndPr/>
        <w:sdtContent>
          <w:r w:rsidRPr="002815F4">
            <w:fldChar w:fldCharType="begin"/>
          </w:r>
          <w:r w:rsidRPr="002815F4">
            <w:instrText xml:space="preserve"> CITATION ITI1725 \l 1033 </w:instrText>
          </w:r>
          <w:r w:rsidRPr="002815F4">
            <w:fldChar w:fldCharType="separate"/>
          </w:r>
          <w:r w:rsidR="003E626E" w:rsidRPr="002815F4">
            <w:rPr>
              <w:noProof/>
            </w:rPr>
            <w:t>(ITIE Senegal, 2017)</w:t>
          </w:r>
          <w:r w:rsidRPr="002815F4">
            <w:fldChar w:fldCharType="end"/>
          </w:r>
        </w:sdtContent>
      </w:sdt>
      <w:r w:rsidRPr="002815F4">
        <w:t xml:space="preserve">. </w:t>
      </w:r>
      <w:r w:rsidR="00D73606" w:rsidRPr="002815F4">
        <w:t xml:space="preserve">Some of the main achievements highlighted in the summary of activities include drafting the five-year 2017-2021 EITI Senegal strategic plan, launch of subnational implementation in Kédougou and </w:t>
      </w:r>
      <w:r w:rsidR="005545E0" w:rsidRPr="002815F4">
        <w:t>producing the EITI Report</w:t>
      </w:r>
      <w:r w:rsidR="00D73606" w:rsidRPr="002815F4">
        <w:t xml:space="preserve"> </w:t>
      </w:r>
      <w:r w:rsidR="005545E0" w:rsidRPr="002815F4">
        <w:t xml:space="preserve">and its simplified version </w:t>
      </w:r>
      <w:sdt>
        <w:sdtPr>
          <w:id w:val="2091418380"/>
          <w:citation/>
        </w:sdtPr>
        <w:sdtEndPr/>
        <w:sdtContent>
          <w:r w:rsidR="00D73606" w:rsidRPr="002815F4">
            <w:fldChar w:fldCharType="begin"/>
          </w:r>
          <w:r w:rsidR="00B47FE0" w:rsidRPr="002815F4">
            <w:instrText xml:space="preserve">CITATION ITI1725 \p 8 \t  \l 1033 </w:instrText>
          </w:r>
          <w:r w:rsidR="00D73606" w:rsidRPr="002815F4">
            <w:fldChar w:fldCharType="separate"/>
          </w:r>
          <w:r w:rsidR="003E626E" w:rsidRPr="002815F4">
            <w:rPr>
              <w:noProof/>
            </w:rPr>
            <w:t>(ITIE Senegal, 2017, p. 8)</w:t>
          </w:r>
          <w:r w:rsidR="00D73606" w:rsidRPr="002815F4">
            <w:fldChar w:fldCharType="end"/>
          </w:r>
        </w:sdtContent>
      </w:sdt>
      <w:r w:rsidR="005545E0" w:rsidRPr="002815F4">
        <w:t xml:space="preserve">. </w:t>
      </w:r>
      <w:r w:rsidR="00C47CA9" w:rsidRPr="002815F4">
        <w:t>The report innovated by including an overview of activities undertaken independently by the civil society constituency</w:t>
      </w:r>
      <w:r w:rsidR="000D3BCD" w:rsidRPr="002815F4">
        <w:t xml:space="preserve"> </w:t>
      </w:r>
      <w:sdt>
        <w:sdtPr>
          <w:id w:val="643235396"/>
          <w:citation/>
        </w:sdtPr>
        <w:sdtEndPr/>
        <w:sdtContent>
          <w:r w:rsidR="000D3BCD" w:rsidRPr="002815F4">
            <w:fldChar w:fldCharType="begin"/>
          </w:r>
          <w:r w:rsidR="000D3BCD" w:rsidRPr="002815F4">
            <w:instrText xml:space="preserve">CITATION ITI1725 \p 11 \t  \l 1033 </w:instrText>
          </w:r>
          <w:r w:rsidR="000D3BCD" w:rsidRPr="002815F4">
            <w:fldChar w:fldCharType="separate"/>
          </w:r>
          <w:r w:rsidR="003E626E" w:rsidRPr="002815F4">
            <w:rPr>
              <w:noProof/>
            </w:rPr>
            <w:t>(ITIE Senegal, 2017, p. 11)</w:t>
          </w:r>
          <w:r w:rsidR="000D3BCD" w:rsidRPr="002815F4">
            <w:fldChar w:fldCharType="end"/>
          </w:r>
        </w:sdtContent>
      </w:sdt>
      <w:r w:rsidR="000D3BCD" w:rsidRPr="002815F4">
        <w:t>.</w:t>
      </w:r>
    </w:p>
    <w:p w14:paraId="06A7A3AA" w14:textId="34C6A777" w:rsidR="00437804" w:rsidRPr="002815F4" w:rsidRDefault="00595FDF" w:rsidP="00E02D8A">
      <w:r w:rsidRPr="002815F4">
        <w:t>The 2016 report included an assessment of progress in meeting i</w:t>
      </w:r>
      <w:r w:rsidR="00FC13CD" w:rsidRPr="002815F4">
        <w:t xml:space="preserve">ndividual EITI requirements </w:t>
      </w:r>
      <w:sdt>
        <w:sdtPr>
          <w:id w:val="154040850"/>
          <w:citation/>
        </w:sdtPr>
        <w:sdtEndPr/>
        <w:sdtContent>
          <w:r w:rsidR="00FC13CD" w:rsidRPr="002815F4">
            <w:fldChar w:fldCharType="begin"/>
          </w:r>
          <w:r w:rsidR="00FC13CD" w:rsidRPr="002815F4">
            <w:instrText xml:space="preserve">CITATION ITI1725 \p 20-22 \l 1033 </w:instrText>
          </w:r>
          <w:r w:rsidR="00FC13CD" w:rsidRPr="002815F4">
            <w:fldChar w:fldCharType="separate"/>
          </w:r>
          <w:r w:rsidR="00FC13CD" w:rsidRPr="002815F4">
            <w:rPr>
              <w:noProof/>
            </w:rPr>
            <w:t>(ITIE Senegal, 2017, pp. 20-22)</w:t>
          </w:r>
          <w:r w:rsidR="00FC13CD" w:rsidRPr="002815F4">
            <w:fldChar w:fldCharType="end"/>
          </w:r>
        </w:sdtContent>
      </w:sdt>
      <w:r w:rsidRPr="002815F4">
        <w:t xml:space="preserve">, although it does not provide specific references to the latest EITI Report (2014) to meet each requirement. While there is </w:t>
      </w:r>
      <w:r w:rsidR="009F76F2" w:rsidRPr="002815F4">
        <w:t xml:space="preserve">limited </w:t>
      </w:r>
      <w:r w:rsidRPr="002815F4">
        <w:t xml:space="preserve">detail of the outcomes and impact of implementation </w:t>
      </w:r>
      <w:sdt>
        <w:sdtPr>
          <w:id w:val="-2082747753"/>
          <w:citation/>
        </w:sdtPr>
        <w:sdtEndPr/>
        <w:sdtContent>
          <w:r w:rsidR="009F76F2" w:rsidRPr="002815F4">
            <w:fldChar w:fldCharType="begin"/>
          </w:r>
          <w:r w:rsidR="009F76F2" w:rsidRPr="002815F4">
            <w:instrText xml:space="preserve">CITATION ITI1725 \p 23 \l 1033 </w:instrText>
          </w:r>
          <w:r w:rsidR="009F76F2" w:rsidRPr="002815F4">
            <w:fldChar w:fldCharType="separate"/>
          </w:r>
          <w:r w:rsidR="003E626E" w:rsidRPr="002815F4">
            <w:rPr>
              <w:noProof/>
            </w:rPr>
            <w:t>(ITIE Senegal, 2017, p. 23)</w:t>
          </w:r>
          <w:r w:rsidR="009F76F2" w:rsidRPr="002815F4">
            <w:fldChar w:fldCharType="end"/>
          </w:r>
        </w:sdtContent>
      </w:sdt>
      <w:r w:rsidRPr="002815F4">
        <w:t>, the role of forums and roadshows as platforms for discussion of extractives issues</w:t>
      </w:r>
      <w:r w:rsidR="002815F4" w:rsidRPr="002815F4">
        <w:t>, particularly in Ké</w:t>
      </w:r>
      <w:r w:rsidR="009F76F2" w:rsidRPr="002815F4">
        <w:t>dougou where subnational implementation has been piloted,</w:t>
      </w:r>
      <w:r w:rsidRPr="002815F4">
        <w:t xml:space="preserve"> is highlighted</w:t>
      </w:r>
      <w:sdt>
        <w:sdtPr>
          <w:id w:val="533619369"/>
          <w:citation/>
        </w:sdtPr>
        <w:sdtEndPr/>
        <w:sdtContent>
          <w:r w:rsidR="009F76F2" w:rsidRPr="002815F4">
            <w:fldChar w:fldCharType="begin"/>
          </w:r>
          <w:r w:rsidR="009F76F2" w:rsidRPr="002815F4">
            <w:instrText xml:space="preserve">CITATION ITI1725 \p 8,17-18,25 \l 1033 </w:instrText>
          </w:r>
          <w:r w:rsidR="009F76F2" w:rsidRPr="002815F4">
            <w:fldChar w:fldCharType="separate"/>
          </w:r>
          <w:r w:rsidR="003E626E" w:rsidRPr="002815F4">
            <w:rPr>
              <w:noProof/>
            </w:rPr>
            <w:t xml:space="preserve"> (ITIE Senegal, 2017, pp. 8,17-18,25)</w:t>
          </w:r>
          <w:r w:rsidR="009F76F2" w:rsidRPr="002815F4">
            <w:fldChar w:fldCharType="end"/>
          </w:r>
        </w:sdtContent>
      </w:sdt>
      <w:r w:rsidRPr="002815F4">
        <w:t>. Actions to address encouraged aspects under Requirement 7.4</w:t>
      </w:r>
      <w:r w:rsidR="009F76F2" w:rsidRPr="002815F4">
        <w:t xml:space="preserve"> ii are also covered in the 2016</w:t>
      </w:r>
      <w:r w:rsidRPr="002815F4">
        <w:t xml:space="preserve"> annual progress report. </w:t>
      </w:r>
      <w:r w:rsidR="009F76F2" w:rsidRPr="002815F4">
        <w:t xml:space="preserve">The report tracks key activities of the 2016 </w:t>
      </w:r>
      <w:r w:rsidR="002815F4" w:rsidRPr="002815F4">
        <w:t>work plan</w:t>
      </w:r>
      <w:r w:rsidR="009F76F2" w:rsidRPr="002815F4">
        <w:t xml:space="preserve">, including in mainstreaming, strengthening certification of government EITI reporting, translating summaries into local languages and undertaking active outreach and dissemination </w:t>
      </w:r>
      <w:sdt>
        <w:sdtPr>
          <w:id w:val="1805420387"/>
          <w:citation/>
        </w:sdtPr>
        <w:sdtEndPr/>
        <w:sdtContent>
          <w:r w:rsidR="009F76F2" w:rsidRPr="002815F4">
            <w:fldChar w:fldCharType="begin"/>
          </w:r>
          <w:r w:rsidR="009F76F2" w:rsidRPr="002815F4">
            <w:instrText xml:space="preserve">CITATION ITI1725 \p 12-19 \l 1033 </w:instrText>
          </w:r>
          <w:r w:rsidR="009F76F2" w:rsidRPr="002815F4">
            <w:fldChar w:fldCharType="separate"/>
          </w:r>
          <w:r w:rsidR="003E626E" w:rsidRPr="002815F4">
            <w:rPr>
              <w:noProof/>
            </w:rPr>
            <w:t>(ITIE Senegal, 2017, pp. 12-19)</w:t>
          </w:r>
          <w:r w:rsidR="009F76F2" w:rsidRPr="002815F4">
            <w:fldChar w:fldCharType="end"/>
          </w:r>
        </w:sdtContent>
      </w:sdt>
      <w:r w:rsidR="009F76F2" w:rsidRPr="002815F4">
        <w:t>. However, t</w:t>
      </w:r>
      <w:r w:rsidRPr="002815F4">
        <w:t xml:space="preserve">he report </w:t>
      </w:r>
      <w:r w:rsidR="009F76F2" w:rsidRPr="002815F4">
        <w:t xml:space="preserve">only </w:t>
      </w:r>
      <w:r w:rsidRPr="002815F4">
        <w:t xml:space="preserve">referred to </w:t>
      </w:r>
      <w:r w:rsidR="009F76F2" w:rsidRPr="002815F4">
        <w:t xml:space="preserve">Senegal </w:t>
      </w:r>
      <w:r w:rsidRPr="002815F4">
        <w:t>EITI</w:t>
      </w:r>
      <w:r w:rsidR="009F76F2" w:rsidRPr="002815F4">
        <w:t>’s</w:t>
      </w:r>
      <w:r w:rsidRPr="002815F4">
        <w:t xml:space="preserve"> </w:t>
      </w:r>
      <w:r w:rsidR="009F76F2" w:rsidRPr="002815F4">
        <w:t>work on</w:t>
      </w:r>
      <w:r w:rsidRPr="002815F4">
        <w:t xml:space="preserve"> beneficial ownership </w:t>
      </w:r>
      <w:r w:rsidR="009F76F2" w:rsidRPr="002815F4">
        <w:t xml:space="preserve">in the context of its 2017-2021 strategic plan, rather than work currently being done </w:t>
      </w:r>
      <w:sdt>
        <w:sdtPr>
          <w:id w:val="-1711716670"/>
          <w:citation/>
        </w:sdtPr>
        <w:sdtEndPr/>
        <w:sdtContent>
          <w:r w:rsidR="009F76F2" w:rsidRPr="002815F4">
            <w:fldChar w:fldCharType="begin"/>
          </w:r>
          <w:r w:rsidR="009F76F2" w:rsidRPr="002815F4">
            <w:instrText xml:space="preserve">CITATION ITI1725 \p 25 \l 1033 </w:instrText>
          </w:r>
          <w:r w:rsidR="009F76F2" w:rsidRPr="002815F4">
            <w:fldChar w:fldCharType="separate"/>
          </w:r>
          <w:r w:rsidR="003E626E" w:rsidRPr="002815F4">
            <w:rPr>
              <w:noProof/>
            </w:rPr>
            <w:t>(ITIE Senegal, 2017, p. 25)</w:t>
          </w:r>
          <w:r w:rsidR="009F76F2" w:rsidRPr="002815F4">
            <w:fldChar w:fldCharType="end"/>
          </w:r>
        </w:sdtContent>
      </w:sdt>
      <w:r w:rsidR="009F76F2" w:rsidRPr="002815F4">
        <w:t xml:space="preserve">. </w:t>
      </w:r>
    </w:p>
    <w:p w14:paraId="0D1990AD" w14:textId="317C83DD" w:rsidR="00773BBD" w:rsidRPr="002815F4" w:rsidRDefault="00773BBD" w:rsidP="00224BFE">
      <w:r w:rsidRPr="002815F4">
        <w:t xml:space="preserve">The 2016 report provided a matrix tracking follow up on recommendations from past EITI Reports, describing in detail the recommendations from the first and second EITI Reports, the actions taken </w:t>
      </w:r>
      <w:r w:rsidR="00224BFE" w:rsidRPr="002815F4">
        <w:t xml:space="preserve">and the MSG’s updated response to each </w:t>
      </w:r>
      <w:sdt>
        <w:sdtPr>
          <w:id w:val="343373983"/>
          <w:citation/>
        </w:sdtPr>
        <w:sdtEndPr/>
        <w:sdtContent>
          <w:r w:rsidR="00224BFE" w:rsidRPr="002815F4">
            <w:fldChar w:fldCharType="begin"/>
          </w:r>
          <w:r w:rsidR="00224BFE" w:rsidRPr="002815F4">
            <w:instrText xml:space="preserve">CITATION ITI1725 \p 23-24 \l 1033 </w:instrText>
          </w:r>
          <w:r w:rsidR="00224BFE" w:rsidRPr="002815F4">
            <w:fldChar w:fldCharType="separate"/>
          </w:r>
          <w:r w:rsidR="003E626E" w:rsidRPr="002815F4">
            <w:rPr>
              <w:noProof/>
            </w:rPr>
            <w:t>(ITIE Senegal, 2017, pp. 23-24)</w:t>
          </w:r>
          <w:r w:rsidR="00224BFE" w:rsidRPr="002815F4">
            <w:fldChar w:fldCharType="end"/>
          </w:r>
        </w:sdtContent>
      </w:sdt>
      <w:r w:rsidR="00224BFE" w:rsidRPr="002815F4">
        <w:t xml:space="preserve">. An assessment of progress in meeting work plan objectives was also included in the 2016 report alongside the scorecard matrix </w:t>
      </w:r>
      <w:sdt>
        <w:sdtPr>
          <w:id w:val="631215261"/>
          <w:citation/>
        </w:sdtPr>
        <w:sdtEndPr/>
        <w:sdtContent>
          <w:r w:rsidR="00224BFE" w:rsidRPr="002815F4">
            <w:fldChar w:fldCharType="begin"/>
          </w:r>
          <w:r w:rsidR="00224BFE" w:rsidRPr="002815F4">
            <w:instrText xml:space="preserve">CITATION ITI1725 \p 12-22 \l 1033 </w:instrText>
          </w:r>
          <w:r w:rsidR="00224BFE" w:rsidRPr="002815F4">
            <w:fldChar w:fldCharType="separate"/>
          </w:r>
          <w:r w:rsidR="003E626E" w:rsidRPr="002815F4">
            <w:rPr>
              <w:noProof/>
            </w:rPr>
            <w:t>(ITIE Senegal, 2017, pp. 12-22)</w:t>
          </w:r>
          <w:r w:rsidR="00224BFE" w:rsidRPr="002815F4">
            <w:fldChar w:fldCharType="end"/>
          </w:r>
        </w:sdtContent>
      </w:sdt>
      <w:r w:rsidR="00224BFE" w:rsidRPr="002815F4">
        <w:t xml:space="preserve">. </w:t>
      </w:r>
      <w:r w:rsidR="006E2450" w:rsidRPr="002815F4">
        <w:t xml:space="preserve">Outcomes and impacts highlighted included </w:t>
      </w:r>
      <w:r w:rsidR="002815F4" w:rsidRPr="002815F4">
        <w:t>improvements</w:t>
      </w:r>
      <w:r w:rsidR="006E2450" w:rsidRPr="002815F4">
        <w:t xml:space="preserve"> in government entities’ IT systems, establishment of COS-PETROGAZ, better communications between stakeholders (e.g. through subnational implementation in Kédougou) and in stakeholders’ own capacities </w:t>
      </w:r>
      <w:sdt>
        <w:sdtPr>
          <w:id w:val="352690830"/>
          <w:citation/>
        </w:sdtPr>
        <w:sdtEndPr/>
        <w:sdtContent>
          <w:r w:rsidR="006E2450" w:rsidRPr="002815F4">
            <w:fldChar w:fldCharType="begin"/>
          </w:r>
          <w:r w:rsidR="006E2450" w:rsidRPr="002815F4">
            <w:instrText xml:space="preserve">CITATION ITI1725 \p 25 \l 1033 </w:instrText>
          </w:r>
          <w:r w:rsidR="006E2450" w:rsidRPr="002815F4">
            <w:fldChar w:fldCharType="separate"/>
          </w:r>
          <w:r w:rsidR="003E626E" w:rsidRPr="002815F4">
            <w:rPr>
              <w:noProof/>
            </w:rPr>
            <w:t>(ITIE Senegal, 2017, p. 25)</w:t>
          </w:r>
          <w:r w:rsidR="006E2450" w:rsidRPr="002815F4">
            <w:fldChar w:fldCharType="end"/>
          </w:r>
        </w:sdtContent>
      </w:sdt>
      <w:r w:rsidR="006E2450" w:rsidRPr="002815F4">
        <w:t xml:space="preserve">. </w:t>
      </w:r>
    </w:p>
    <w:p w14:paraId="6DA7A4DE" w14:textId="59B9DA2D" w:rsidR="00E641C2" w:rsidRPr="002815F4" w:rsidRDefault="00E641C2" w:rsidP="00224BFE">
      <w:r w:rsidRPr="002815F4">
        <w:t>Senegal EITI also published an independent impact assessment just after the start of Validation, in July 2017, which highlighted concrete achievements</w:t>
      </w:r>
      <w:r w:rsidR="001A6D46" w:rsidRPr="002815F4">
        <w:t xml:space="preserve"> and impacts</w:t>
      </w:r>
      <w:r w:rsidRPr="002815F4">
        <w:t xml:space="preserve"> linked to EITI in the 2012-2015 period</w:t>
      </w:r>
      <w:r w:rsidR="001A6D46" w:rsidRPr="002815F4">
        <w:t>, albeit ending with a call</w:t>
      </w:r>
      <w:r w:rsidRPr="002815F4">
        <w:t xml:space="preserve"> for a </w:t>
      </w:r>
      <w:r w:rsidR="001A6D46" w:rsidRPr="002815F4">
        <w:t xml:space="preserve">broader </w:t>
      </w:r>
      <w:r w:rsidRPr="002815F4">
        <w:t xml:space="preserve">impact assessment </w:t>
      </w:r>
      <w:sdt>
        <w:sdtPr>
          <w:id w:val="-729847382"/>
          <w:citation/>
        </w:sdtPr>
        <w:sdtEndPr/>
        <w:sdtContent>
          <w:r w:rsidRPr="002815F4">
            <w:fldChar w:fldCharType="begin"/>
          </w:r>
          <w:r w:rsidRPr="002815F4">
            <w:instrText xml:space="preserve"> CITATION ITI1726 \l 1033 </w:instrText>
          </w:r>
          <w:r w:rsidRPr="002815F4">
            <w:fldChar w:fldCharType="separate"/>
          </w:r>
          <w:r w:rsidR="003E626E" w:rsidRPr="002815F4">
            <w:rPr>
              <w:noProof/>
            </w:rPr>
            <w:t>(ITIE Senegal, 2017)</w:t>
          </w:r>
          <w:r w:rsidRPr="002815F4">
            <w:fldChar w:fldCharType="end"/>
          </w:r>
        </w:sdtContent>
      </w:sdt>
      <w:r w:rsidRPr="002815F4">
        <w:t xml:space="preserve">. </w:t>
      </w:r>
    </w:p>
    <w:p w14:paraId="37D72A38" w14:textId="77777777" w:rsidR="00857149" w:rsidRPr="002815F4" w:rsidRDefault="00423839" w:rsidP="009B3E66">
      <w:pPr>
        <w:pStyle w:val="Heading3"/>
      </w:pPr>
      <w:r w:rsidRPr="002815F4">
        <w:t>Stakeholder views</w:t>
      </w:r>
      <w:r w:rsidR="00251A6C" w:rsidRPr="002815F4">
        <w:t xml:space="preserve"> </w:t>
      </w:r>
    </w:p>
    <w:p w14:paraId="1EF9641A" w14:textId="055AACDF" w:rsidR="00EC2F6C" w:rsidRPr="002815F4" w:rsidRDefault="003A4DAB" w:rsidP="007474FE">
      <w:r w:rsidRPr="002815F4">
        <w:rPr>
          <w:rFonts w:ascii="Calibri" w:hAnsi="Calibri"/>
          <w:bCs/>
        </w:rPr>
        <w:t xml:space="preserve">All stakeholders consulted consistently highlighted the significant and diverse impact of EITI implementation in Senegal, ranging from more constructive engagement between stakeholders and improved coordination amongst government and industry constituencies to tangible reforms in </w:t>
      </w:r>
      <w:r w:rsidRPr="002815F4">
        <w:rPr>
          <w:rFonts w:ascii="Calibri" w:hAnsi="Calibri"/>
          <w:bCs/>
        </w:rPr>
        <w:lastRenderedPageBreak/>
        <w:t>government systems (</w:t>
      </w:r>
      <w:r w:rsidRPr="002815F4">
        <w:rPr>
          <w:rFonts w:ascii="Calibri" w:hAnsi="Calibri"/>
          <w:bCs/>
          <w:i/>
        </w:rPr>
        <w:t>see impact analysis below</w:t>
      </w:r>
      <w:r w:rsidRPr="002815F4">
        <w:rPr>
          <w:rFonts w:ascii="Calibri" w:hAnsi="Calibri"/>
          <w:bCs/>
        </w:rPr>
        <w:t xml:space="preserve">). </w:t>
      </w:r>
      <w:r w:rsidR="00730054" w:rsidRPr="002815F4">
        <w:rPr>
          <w:rFonts w:ascii="Calibri" w:hAnsi="Calibri"/>
          <w:bCs/>
        </w:rPr>
        <w:t>There was ample evidence of MSG members regularly assessing the outcomes and impact of EITI implementation through various channels. Stakeholders highlighted the use of the annual progress report in this regard, alongside the MSG’s regular discussions of progress in implementing the annual work plan</w:t>
      </w:r>
      <w:r w:rsidR="00F238C2" w:rsidRPr="002815F4">
        <w:rPr>
          <w:rFonts w:ascii="Calibri" w:hAnsi="Calibri"/>
          <w:bCs/>
        </w:rPr>
        <w:t xml:space="preserve"> and dedicated impact assessments like the one concluded in July 2017. </w:t>
      </w:r>
      <w:r w:rsidR="006E1C11" w:rsidRPr="002815F4">
        <w:rPr>
          <w:rFonts w:ascii="Calibri" w:hAnsi="Calibri"/>
          <w:bCs/>
        </w:rPr>
        <w:t xml:space="preserve">Members of the MSG also confirmed that they regularly discussed the causes of discrepancies in preparing EITI Reports and followed up on discrepancies after publication of the annual EITI Reports, as was evident in the MSG’s follow-up with non-reporting companies and government entities after publication of the 2013 EITI Report. </w:t>
      </w:r>
      <w:r w:rsidR="00452B60" w:rsidRPr="002815F4">
        <w:rPr>
          <w:rFonts w:ascii="Calibri" w:hAnsi="Calibri"/>
          <w:bCs/>
        </w:rPr>
        <w:t xml:space="preserve">However, stakeholders from all three constituencies also called for more comprehensive assessments of the impact of EITI and highlighted the MSG’s plans to undertake a more comprehensive impact assessment in future. </w:t>
      </w:r>
      <w:r w:rsidR="00AB5379" w:rsidRPr="002815F4">
        <w:rPr>
          <w:rFonts w:ascii="Calibri" w:hAnsi="Calibri"/>
          <w:bCs/>
        </w:rPr>
        <w:t xml:space="preserve">Several CSOs noted that it was too early to have a comprehensive view on the impact of EITI implementation in Senegal, as this would depend on stakeholders’ (and in particular civil society’s) use of EITI information to hold government and companies accountable. </w:t>
      </w:r>
    </w:p>
    <w:p w14:paraId="700BB2A1" w14:textId="345EF24C" w:rsidR="00EC2F6C" w:rsidRPr="002815F4" w:rsidRDefault="007C2F7B" w:rsidP="007474FE">
      <w:r w:rsidRPr="002815F4">
        <w:t xml:space="preserve">Several government and civil society representatives highlighted </w:t>
      </w:r>
      <w:r w:rsidR="000163A5" w:rsidRPr="002815F4">
        <w:t xml:space="preserve">the use of the annual progress reports in tracking progress in achieving work plan objectives. </w:t>
      </w:r>
      <w:r w:rsidR="00A164D9" w:rsidRPr="002815F4">
        <w:t xml:space="preserve">Secretariat staff and civil society representatives also highlighted the value of the annual progress report in ensuring the accountability of MSG members to their constituencies and the broader public. </w:t>
      </w:r>
      <w:r w:rsidR="000163A5" w:rsidRPr="002815F4">
        <w:t xml:space="preserve">Secretariat staff </w:t>
      </w:r>
      <w:r w:rsidR="00AB5379" w:rsidRPr="002815F4">
        <w:t xml:space="preserve">explained that the June timing for preparing annual progress reports had been challenging for the MSG, given that it coincided with the busiest time of data collection for the EITI Report. This had caused delays in producing the first two annual progress reports. MSG members explained that they had produced the 2016 annual progress report in June 2017 given the advent of Validation, but that they planned to produce future annual progress reports at the start of the year (in January) to coincide with the MSG’s annual work planning. Secretariat staff and MSG members explained that the secretariat normally prepared a first draft of the annual progress report, circulated it to the MSG for comments before final approval by the MSG. Stakeholders confirmed MSG members always provided input and substantive comments, most recently by civil society, the Chamber of Mines and the Ministry of Good Governance and African Integration (among others) for instance. Civil society and industry MSG members confirmed that they usually circulated the draft annual progress report to their constituencies for input. </w:t>
      </w:r>
    </w:p>
    <w:p w14:paraId="2930DA7F" w14:textId="75633592" w:rsidR="00423839" w:rsidRPr="002815F4" w:rsidRDefault="0073607A" w:rsidP="009B3E66">
      <w:pPr>
        <w:pStyle w:val="Heading3"/>
      </w:pPr>
      <w:r w:rsidRPr="002815F4">
        <w:t>Initial a</w:t>
      </w:r>
      <w:r w:rsidR="00423839" w:rsidRPr="002815F4">
        <w:t>ssessment</w:t>
      </w:r>
    </w:p>
    <w:p w14:paraId="169C99C9" w14:textId="79AFAFE6" w:rsidR="000E3947" w:rsidRPr="002815F4" w:rsidRDefault="008A585F" w:rsidP="00C216A2">
      <w:pPr>
        <w:spacing w:before="120"/>
        <w:rPr>
          <w:rFonts w:ascii="Calibri" w:hAnsi="Calibri"/>
          <w:color w:val="000000" w:themeColor="text1"/>
          <w:lang w:eastAsia="x-none"/>
        </w:rPr>
      </w:pPr>
      <w:r w:rsidRPr="002815F4">
        <w:rPr>
          <w:rFonts w:ascii="Calibri" w:hAnsi="Calibri"/>
          <w:color w:val="000000" w:themeColor="text1"/>
          <w:lang w:eastAsia="x-none"/>
        </w:rPr>
        <w:t xml:space="preserve">The International Secretariat’s initial assessment is that </w:t>
      </w:r>
      <w:r w:rsidR="005A4703" w:rsidRPr="002815F4">
        <w:rPr>
          <w:rFonts w:ascii="Calibri" w:hAnsi="Calibri"/>
          <w:bCs/>
        </w:rPr>
        <w:t>Senegal</w:t>
      </w:r>
      <w:r w:rsidR="005A4703" w:rsidRPr="002815F4">
        <w:rPr>
          <w:rFonts w:ascii="Calibri" w:hAnsi="Calibri"/>
          <w:color w:val="000000" w:themeColor="text1"/>
          <w:lang w:eastAsia="x-none"/>
        </w:rPr>
        <w:t xml:space="preserve"> </w:t>
      </w:r>
      <w:r w:rsidRPr="002815F4">
        <w:rPr>
          <w:rFonts w:ascii="Calibri" w:hAnsi="Calibri"/>
          <w:color w:val="000000" w:themeColor="text1"/>
          <w:lang w:eastAsia="x-none"/>
        </w:rPr>
        <w:t xml:space="preserve">has made </w:t>
      </w:r>
      <w:r w:rsidR="005A4703" w:rsidRPr="002815F4">
        <w:rPr>
          <w:rFonts w:ascii="Calibri" w:hAnsi="Calibri"/>
          <w:bCs/>
        </w:rPr>
        <w:t>satisfactory</w:t>
      </w:r>
      <w:r w:rsidR="005A4703" w:rsidRPr="002815F4">
        <w:rPr>
          <w:rFonts w:ascii="Calibri" w:hAnsi="Calibri"/>
          <w:b/>
          <w:bCs/>
        </w:rPr>
        <w:t xml:space="preserve"> </w:t>
      </w:r>
      <w:r w:rsidRPr="002815F4">
        <w:rPr>
          <w:rFonts w:ascii="Calibri" w:hAnsi="Calibri"/>
          <w:color w:val="000000" w:themeColor="text1"/>
          <w:lang w:eastAsia="x-none"/>
        </w:rPr>
        <w:t xml:space="preserve">progress in meeting this </w:t>
      </w:r>
      <w:commentRangeStart w:id="455"/>
      <w:r w:rsidRPr="002815F4">
        <w:rPr>
          <w:rFonts w:ascii="Calibri" w:hAnsi="Calibri"/>
          <w:color w:val="000000" w:themeColor="text1"/>
          <w:lang w:eastAsia="x-none"/>
        </w:rPr>
        <w:t>requirement</w:t>
      </w:r>
      <w:commentRangeEnd w:id="455"/>
      <w:r w:rsidR="006A3A0E">
        <w:rPr>
          <w:rStyle w:val="CommentReference"/>
          <w:szCs w:val="20"/>
        </w:rPr>
        <w:commentReference w:id="455"/>
      </w:r>
      <w:r w:rsidRPr="002815F4">
        <w:rPr>
          <w:rFonts w:ascii="Calibri" w:hAnsi="Calibri"/>
          <w:color w:val="000000" w:themeColor="text1"/>
          <w:lang w:eastAsia="x-none"/>
        </w:rPr>
        <w:t xml:space="preserve">. </w:t>
      </w:r>
      <w:r w:rsidR="00C216A2" w:rsidRPr="002815F4">
        <w:rPr>
          <w:rFonts w:ascii="Calibri" w:hAnsi="Calibri"/>
          <w:color w:val="000000" w:themeColor="text1"/>
          <w:lang w:eastAsia="x-none"/>
        </w:rPr>
        <w:t xml:space="preserve">The MSG has reviewed progress and outcomes of implementation on a regular basis, including by publishing annual progress reports over the past three years. Senegal’s 2016 EITI annual progress report provided an assessment of impact of EITI implementation and was the product of consultations within each of the three constituencies. </w:t>
      </w:r>
    </w:p>
    <w:p w14:paraId="17856127" w14:textId="16BCE831" w:rsidR="0089081E" w:rsidRPr="002815F4" w:rsidRDefault="0089081E" w:rsidP="00C216A2">
      <w:pPr>
        <w:spacing w:before="120"/>
        <w:rPr>
          <w:rFonts w:ascii="Calibri" w:hAnsi="Calibri"/>
          <w:color w:val="000000" w:themeColor="text1"/>
          <w:lang w:eastAsia="x-none"/>
        </w:rPr>
      </w:pPr>
      <w:r w:rsidRPr="002815F4">
        <w:rPr>
          <w:rFonts w:ascii="Calibri" w:hAnsi="Calibri"/>
          <w:color w:val="000000" w:themeColor="text1"/>
          <w:lang w:eastAsia="x-none"/>
        </w:rPr>
        <w:t xml:space="preserve">To strengthen implementation, the MSG may wish to </w:t>
      </w:r>
      <w:r w:rsidR="008F7942" w:rsidRPr="002815F4">
        <w:rPr>
          <w:rFonts w:ascii="Calibri" w:hAnsi="Calibri"/>
          <w:color w:val="000000" w:themeColor="text1"/>
          <w:lang w:eastAsia="x-none"/>
        </w:rPr>
        <w:t>undertak</w:t>
      </w:r>
      <w:r w:rsidR="00A305D2">
        <w:rPr>
          <w:rFonts w:ascii="Calibri" w:hAnsi="Calibri"/>
          <w:color w:val="000000" w:themeColor="text1"/>
          <w:lang w:eastAsia="x-none"/>
        </w:rPr>
        <w:t>e</w:t>
      </w:r>
      <w:r w:rsidR="008F7942" w:rsidRPr="002815F4">
        <w:rPr>
          <w:rFonts w:ascii="Calibri" w:hAnsi="Calibri"/>
          <w:color w:val="000000" w:themeColor="text1"/>
          <w:lang w:eastAsia="x-none"/>
        </w:rPr>
        <w:t xml:space="preserve"> a comprehensive impact assessment, with a view to identifying tangible impacts to local communities and other stakeholders in order to determine the extent to which the EITI has contributed to improving public financial management and governance of the mining, oil and gas sectors.</w:t>
      </w:r>
    </w:p>
    <w:p w14:paraId="19D4337D" w14:textId="77777777" w:rsidR="00A33A13" w:rsidRPr="002815F4" w:rsidRDefault="00A33A13">
      <w:pPr>
        <w:widowControl/>
        <w:suppressAutoHyphens w:val="0"/>
        <w:spacing w:after="0" w:line="240" w:lineRule="auto"/>
        <w:rPr>
          <w:rFonts w:ascii="Calibri" w:hAnsi="Calibri" w:cs="Times New Roman"/>
          <w:b/>
          <w:bCs/>
          <w:color w:val="1F497D" w:themeColor="text2"/>
          <w:szCs w:val="18"/>
          <w:lang w:bidi="en-US"/>
        </w:rPr>
      </w:pPr>
      <w:r w:rsidRPr="002815F4">
        <w:rPr>
          <w:rFonts w:ascii="Calibri" w:hAnsi="Calibri"/>
        </w:rPr>
        <w:br w:type="page"/>
      </w:r>
    </w:p>
    <w:p w14:paraId="05F44415" w14:textId="6BD4BF99" w:rsidR="00AE51FA" w:rsidRPr="002815F4" w:rsidRDefault="00A33A13" w:rsidP="00F97CA1">
      <w:pPr>
        <w:pStyle w:val="Caption"/>
        <w:rPr>
          <w:color w:val="000000"/>
        </w:rPr>
      </w:pPr>
      <w:bookmarkStart w:id="456" w:name="_Toc463537780"/>
      <w:bookmarkStart w:id="457" w:name="_Toc485385508"/>
      <w:r w:rsidRPr="002815F4">
        <w:lastRenderedPageBreak/>
        <w:t xml:space="preserve">Table </w:t>
      </w:r>
      <w:r w:rsidR="0002611B">
        <w:fldChar w:fldCharType="begin"/>
      </w:r>
      <w:r w:rsidR="0002611B">
        <w:instrText xml:space="preserve"> SEQ Table \* ARABIC </w:instrText>
      </w:r>
      <w:r w:rsidR="0002611B">
        <w:fldChar w:fldCharType="separate"/>
      </w:r>
      <w:r w:rsidR="0083320D" w:rsidRPr="002815F4">
        <w:rPr>
          <w:noProof/>
        </w:rPr>
        <w:t>7</w:t>
      </w:r>
      <w:r w:rsidR="0002611B">
        <w:rPr>
          <w:noProof/>
        </w:rPr>
        <w:fldChar w:fldCharType="end"/>
      </w:r>
      <w:r w:rsidR="00AE51FA" w:rsidRPr="002815F4">
        <w:rPr>
          <w:color w:val="000000"/>
        </w:rPr>
        <w:t xml:space="preserve"> - </w:t>
      </w:r>
      <w:r w:rsidR="00AE51FA" w:rsidRPr="002815F4">
        <w:rPr>
          <w:rFonts w:eastAsia="Calibri"/>
        </w:rPr>
        <w:t xml:space="preserve">Summary </w:t>
      </w:r>
      <w:r w:rsidR="00BD3160" w:rsidRPr="002815F4">
        <w:rPr>
          <w:rFonts w:eastAsia="Calibri"/>
        </w:rPr>
        <w:t xml:space="preserve">initial </w:t>
      </w:r>
      <w:r w:rsidR="00AE51FA" w:rsidRPr="002815F4">
        <w:rPr>
          <w:rFonts w:eastAsia="Calibri"/>
        </w:rPr>
        <w:t>assessment table: Outcomes and impact</w:t>
      </w:r>
      <w:bookmarkEnd w:id="456"/>
      <w:bookmarkEnd w:id="457"/>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5115"/>
        <w:gridCol w:w="2621"/>
      </w:tblGrid>
      <w:tr w:rsidR="008F7942" w:rsidRPr="002815F4" w14:paraId="02DDCF6C" w14:textId="77777777" w:rsidTr="008F7942">
        <w:trPr>
          <w:trHeight w:val="675"/>
        </w:trPr>
        <w:tc>
          <w:tcPr>
            <w:tcW w:w="1867" w:type="dxa"/>
            <w:shd w:val="clear" w:color="auto" w:fill="D9D9D9"/>
            <w:vAlign w:val="center"/>
          </w:tcPr>
          <w:p w14:paraId="7331F4F7" w14:textId="77777777" w:rsidR="00D47A3F" w:rsidRPr="002815F4" w:rsidRDefault="00D47A3F" w:rsidP="00E217A9">
            <w:pPr>
              <w:pStyle w:val="Tabletext"/>
              <w:rPr>
                <w:lang w:val="en-GB"/>
              </w:rPr>
            </w:pPr>
            <w:r w:rsidRPr="002815F4">
              <w:rPr>
                <w:lang w:val="en-GB"/>
              </w:rPr>
              <w:t>EITI provisions</w:t>
            </w:r>
          </w:p>
        </w:tc>
        <w:tc>
          <w:tcPr>
            <w:tcW w:w="5115" w:type="dxa"/>
            <w:shd w:val="clear" w:color="auto" w:fill="D9D9D9"/>
            <w:vAlign w:val="center"/>
          </w:tcPr>
          <w:p w14:paraId="5E8F914E" w14:textId="77777777" w:rsidR="00D47A3F" w:rsidRPr="002815F4" w:rsidRDefault="00D47A3F" w:rsidP="00E217A9">
            <w:pPr>
              <w:pStyle w:val="Tabletext"/>
              <w:rPr>
                <w:lang w:val="en-GB"/>
              </w:rPr>
            </w:pPr>
            <w:r w:rsidRPr="002815F4">
              <w:rPr>
                <w:lang w:val="en-GB"/>
              </w:rPr>
              <w:t>Summary of main findings</w:t>
            </w:r>
          </w:p>
        </w:tc>
        <w:tc>
          <w:tcPr>
            <w:tcW w:w="2621" w:type="dxa"/>
            <w:shd w:val="clear" w:color="auto" w:fill="D9D9D9"/>
            <w:vAlign w:val="center"/>
          </w:tcPr>
          <w:p w14:paraId="44C634A1" w14:textId="4BFD4508" w:rsidR="00D47A3F" w:rsidRPr="002815F4" w:rsidRDefault="00D47A3F" w:rsidP="00E217A9">
            <w:pPr>
              <w:pStyle w:val="Tabletext"/>
              <w:rPr>
                <w:lang w:val="en-GB"/>
              </w:rPr>
            </w:pPr>
            <w:r w:rsidRPr="002815F4">
              <w:rPr>
                <w:lang w:val="en-GB"/>
              </w:rPr>
              <w:t xml:space="preserve">Validator’s recommendation on compliance with the EITI provisions </w:t>
            </w:r>
          </w:p>
        </w:tc>
      </w:tr>
      <w:tr w:rsidR="008F7942" w:rsidRPr="002815F4" w14:paraId="457230E1" w14:textId="77777777" w:rsidTr="008F7942">
        <w:tc>
          <w:tcPr>
            <w:tcW w:w="1867" w:type="dxa"/>
            <w:shd w:val="clear" w:color="auto" w:fill="auto"/>
            <w:vAlign w:val="center"/>
          </w:tcPr>
          <w:p w14:paraId="7B5CBD70" w14:textId="2F2D8E9E" w:rsidR="0068339D" w:rsidRPr="002815F4" w:rsidRDefault="0068339D" w:rsidP="00E217A9">
            <w:pPr>
              <w:pStyle w:val="Tabletext"/>
              <w:rPr>
                <w:lang w:val="en-GB"/>
              </w:rPr>
            </w:pPr>
            <w:r w:rsidRPr="002815F4">
              <w:rPr>
                <w:lang w:val="en-GB"/>
              </w:rPr>
              <w:t>Public debate (#</w:t>
            </w:r>
            <w:r w:rsidR="00436407" w:rsidRPr="002815F4">
              <w:rPr>
                <w:lang w:val="en-GB"/>
              </w:rPr>
              <w:t>7</w:t>
            </w:r>
            <w:r w:rsidRPr="002815F4">
              <w:rPr>
                <w:lang w:val="en-GB"/>
              </w:rPr>
              <w:t>.1)</w:t>
            </w:r>
          </w:p>
        </w:tc>
        <w:tc>
          <w:tcPr>
            <w:tcW w:w="5115" w:type="dxa"/>
            <w:shd w:val="clear" w:color="auto" w:fill="auto"/>
            <w:vAlign w:val="center"/>
          </w:tcPr>
          <w:p w14:paraId="591DF1E4" w14:textId="4ECF156E" w:rsidR="0068339D" w:rsidRPr="002815F4" w:rsidRDefault="008F7942" w:rsidP="00E217A9">
            <w:pPr>
              <w:pStyle w:val="Tabletext"/>
              <w:rPr>
                <w:lang w:val="en-GB"/>
              </w:rPr>
            </w:pPr>
            <w:r w:rsidRPr="002815F4">
              <w:rPr>
                <w:lang w:val="en-GB"/>
              </w:rPr>
              <w:t>The Senegal EITI Reports are comprehensible, actively promoted through varied channels (including print, online and through active outreach), publicly accessible and have tangibly contributed to public debate on the extractive industries in Senegal. In the Secretariat’s view, Senegal has made some efforts to go beyond the minimum requirements by developing visualisations of EITI information actively disseminated through online and physical channels, including regular subnational outreach and dissemination. The three stakeholder groups have also actively contributed to dissemination of EITI information in their bilateral interactions.</w:t>
            </w:r>
          </w:p>
        </w:tc>
        <w:tc>
          <w:tcPr>
            <w:tcW w:w="2621" w:type="dxa"/>
            <w:vAlign w:val="center"/>
          </w:tcPr>
          <w:p w14:paraId="7128CDF5" w14:textId="295229A5" w:rsidR="0068339D" w:rsidRPr="002815F4" w:rsidRDefault="00F97CA1" w:rsidP="00E217A9">
            <w:pPr>
              <w:pStyle w:val="Tabletext"/>
              <w:rPr>
                <w:lang w:val="en-GB"/>
              </w:rPr>
            </w:pPr>
            <w:r>
              <w:rPr>
                <w:lang w:val="en-GB"/>
              </w:rPr>
              <w:t>Satisfactory progress (</w:t>
            </w:r>
            <w:r w:rsidR="008F7942" w:rsidRPr="002815F4">
              <w:rPr>
                <w:lang w:val="en-GB"/>
              </w:rPr>
              <w:t>Beyond</w:t>
            </w:r>
            <w:r>
              <w:rPr>
                <w:lang w:val="en-GB"/>
              </w:rPr>
              <w:t>)</w:t>
            </w:r>
          </w:p>
        </w:tc>
      </w:tr>
      <w:tr w:rsidR="008F7942" w:rsidRPr="002815F4" w14:paraId="18BA8F4B" w14:textId="77777777" w:rsidTr="008F7942">
        <w:tc>
          <w:tcPr>
            <w:tcW w:w="1867" w:type="dxa"/>
            <w:shd w:val="clear" w:color="auto" w:fill="auto"/>
            <w:vAlign w:val="center"/>
          </w:tcPr>
          <w:p w14:paraId="48CA11C3" w14:textId="70C68C6E" w:rsidR="0068339D" w:rsidRPr="002815F4" w:rsidRDefault="0068339D" w:rsidP="00E217A9">
            <w:pPr>
              <w:pStyle w:val="Tabletext"/>
              <w:rPr>
                <w:lang w:val="en-GB"/>
              </w:rPr>
            </w:pPr>
            <w:r w:rsidRPr="002815F4">
              <w:rPr>
                <w:lang w:val="en-GB"/>
              </w:rPr>
              <w:t>Data accessibility (#</w:t>
            </w:r>
            <w:r w:rsidR="00436407" w:rsidRPr="002815F4">
              <w:rPr>
                <w:lang w:val="en-GB"/>
              </w:rPr>
              <w:t>7</w:t>
            </w:r>
            <w:r w:rsidRPr="002815F4">
              <w:rPr>
                <w:lang w:val="en-GB"/>
              </w:rPr>
              <w:t>.2)</w:t>
            </w:r>
          </w:p>
        </w:tc>
        <w:tc>
          <w:tcPr>
            <w:tcW w:w="5115" w:type="dxa"/>
            <w:shd w:val="clear" w:color="auto" w:fill="auto"/>
            <w:vAlign w:val="center"/>
          </w:tcPr>
          <w:p w14:paraId="0B184082" w14:textId="68AD7FDA" w:rsidR="005E6D9B" w:rsidRPr="002815F4" w:rsidRDefault="008F7942" w:rsidP="00E217A9">
            <w:pPr>
              <w:pStyle w:val="Tabletext"/>
              <w:rPr>
                <w:lang w:val="en-GB"/>
              </w:rPr>
            </w:pPr>
            <w:r w:rsidRPr="002815F4">
              <w:rPr>
                <w:lang w:val="en-GB"/>
              </w:rPr>
              <w:t>Senegal’s EITI data is available in machine readable format through the Senegal EITI website and the EITI global website, drawing on summary data tables completed by the national secretariat. Senegal EITI has also published summaries of EITI Reports in accessible infographic format for the first two EITI Reports. The MSG is exploring options for ensuring even timelier reporting through online disclosures.</w:t>
            </w:r>
          </w:p>
        </w:tc>
        <w:tc>
          <w:tcPr>
            <w:tcW w:w="2621" w:type="dxa"/>
            <w:shd w:val="clear" w:color="auto" w:fill="D9D9D9"/>
            <w:vAlign w:val="center"/>
          </w:tcPr>
          <w:p w14:paraId="3C6F6676" w14:textId="6D62EB21" w:rsidR="0068339D" w:rsidRPr="002815F4" w:rsidRDefault="0068339D" w:rsidP="00E217A9">
            <w:pPr>
              <w:pStyle w:val="Tabletext"/>
              <w:rPr>
                <w:lang w:val="en-GB"/>
              </w:rPr>
            </w:pPr>
          </w:p>
        </w:tc>
      </w:tr>
      <w:tr w:rsidR="008F7942" w:rsidRPr="002815F4" w14:paraId="7C38E1EF" w14:textId="77777777" w:rsidTr="008F7942">
        <w:tc>
          <w:tcPr>
            <w:tcW w:w="1867" w:type="dxa"/>
            <w:shd w:val="clear" w:color="auto" w:fill="auto"/>
            <w:vAlign w:val="center"/>
          </w:tcPr>
          <w:p w14:paraId="4817DC3B" w14:textId="0C064BA7" w:rsidR="0068339D" w:rsidRPr="002815F4" w:rsidRDefault="0068339D" w:rsidP="00E217A9">
            <w:pPr>
              <w:pStyle w:val="Tabletext"/>
              <w:rPr>
                <w:lang w:val="en-GB"/>
              </w:rPr>
            </w:pPr>
            <w:r w:rsidRPr="002815F4">
              <w:rPr>
                <w:lang w:val="en-GB"/>
              </w:rPr>
              <w:t>Lessons learned and follow up on recommendations (7.</w:t>
            </w:r>
            <w:r w:rsidR="00436407" w:rsidRPr="002815F4">
              <w:rPr>
                <w:lang w:val="en-GB"/>
              </w:rPr>
              <w:t>3</w:t>
            </w:r>
            <w:r w:rsidRPr="002815F4">
              <w:rPr>
                <w:lang w:val="en-GB"/>
              </w:rPr>
              <w:t>)</w:t>
            </w:r>
          </w:p>
        </w:tc>
        <w:tc>
          <w:tcPr>
            <w:tcW w:w="5115" w:type="dxa"/>
            <w:shd w:val="clear" w:color="auto" w:fill="auto"/>
            <w:vAlign w:val="center"/>
          </w:tcPr>
          <w:p w14:paraId="56688ECF" w14:textId="257095B8" w:rsidR="0068339D" w:rsidRPr="002815F4" w:rsidRDefault="008F7942" w:rsidP="00E217A9">
            <w:pPr>
              <w:pStyle w:val="Tabletext"/>
              <w:rPr>
                <w:lang w:val="en-GB"/>
              </w:rPr>
            </w:pPr>
            <w:r w:rsidRPr="002815F4">
              <w:rPr>
                <w:lang w:val="en-GB"/>
              </w:rPr>
              <w:t>The MSG and the government have taken steps to act upon lessons learnt, to identify, investigate and address the causes of any discrepancies and weaknesses of the EITI process and to consider the recommendations for improvements from the IA. In the International Secretariat’s view, Senegal has gone beyond the minimum requirements given the MSG’s proactive role in formulating recommendations of EITI Reports, assessing and following up on the IA’s findings and recommendations and implementation of reforms starting with Senegal’s first EITI Report.</w:t>
            </w:r>
          </w:p>
        </w:tc>
        <w:tc>
          <w:tcPr>
            <w:tcW w:w="2621" w:type="dxa"/>
            <w:shd w:val="clear" w:color="auto" w:fill="FFFFFF"/>
            <w:vAlign w:val="center"/>
          </w:tcPr>
          <w:p w14:paraId="2FDC72DD" w14:textId="68C19FA8" w:rsidR="003868C1" w:rsidRPr="002815F4" w:rsidDel="00F96D88" w:rsidRDefault="00F97CA1" w:rsidP="00E217A9">
            <w:pPr>
              <w:pStyle w:val="Tabletext"/>
              <w:rPr>
                <w:lang w:val="en-GB"/>
              </w:rPr>
            </w:pPr>
            <w:r>
              <w:rPr>
                <w:lang w:val="en-GB"/>
              </w:rPr>
              <w:t>Satisfactory progress (</w:t>
            </w:r>
            <w:r w:rsidRPr="002815F4">
              <w:rPr>
                <w:lang w:val="en-GB"/>
              </w:rPr>
              <w:t>Beyond</w:t>
            </w:r>
            <w:r>
              <w:rPr>
                <w:lang w:val="en-GB"/>
              </w:rPr>
              <w:t>)</w:t>
            </w:r>
          </w:p>
        </w:tc>
      </w:tr>
      <w:tr w:rsidR="008F7942" w:rsidRPr="002815F4" w14:paraId="3CD2D02A" w14:textId="77777777" w:rsidTr="008F7942">
        <w:tc>
          <w:tcPr>
            <w:tcW w:w="1867" w:type="dxa"/>
            <w:shd w:val="clear" w:color="auto" w:fill="auto"/>
            <w:vAlign w:val="center"/>
          </w:tcPr>
          <w:p w14:paraId="2D4086D6" w14:textId="68910A86" w:rsidR="0068339D" w:rsidRPr="002815F4" w:rsidRDefault="0068339D" w:rsidP="00E217A9">
            <w:pPr>
              <w:pStyle w:val="Tabletext"/>
              <w:rPr>
                <w:lang w:val="en-GB"/>
              </w:rPr>
            </w:pPr>
            <w:r w:rsidRPr="002815F4">
              <w:rPr>
                <w:lang w:val="en-GB"/>
              </w:rPr>
              <w:t>Outcomes and impact of implementation (#7.</w:t>
            </w:r>
            <w:r w:rsidR="00436407" w:rsidRPr="002815F4">
              <w:rPr>
                <w:lang w:val="en-GB"/>
              </w:rPr>
              <w:t>4</w:t>
            </w:r>
            <w:r w:rsidRPr="002815F4">
              <w:rPr>
                <w:lang w:val="en-GB"/>
              </w:rPr>
              <w:t>)</w:t>
            </w:r>
          </w:p>
        </w:tc>
        <w:tc>
          <w:tcPr>
            <w:tcW w:w="5115" w:type="dxa"/>
            <w:shd w:val="clear" w:color="auto" w:fill="auto"/>
            <w:vAlign w:val="center"/>
          </w:tcPr>
          <w:p w14:paraId="1F8180B5" w14:textId="63240B46" w:rsidR="00E876C7" w:rsidRPr="002815F4" w:rsidRDefault="008F7942" w:rsidP="00E217A9">
            <w:pPr>
              <w:pStyle w:val="Tabletext"/>
              <w:rPr>
                <w:lang w:val="en-GB"/>
              </w:rPr>
            </w:pPr>
            <w:r w:rsidRPr="002815F4">
              <w:rPr>
                <w:lang w:val="en-GB"/>
              </w:rPr>
              <w:t>The MSG has reviewed progress and outcomes of implementation on a regular basis, including by publishing annual progress reports over the past three years. Senegal’s 2016 EITI annual progress report provided an assessment of impact of EITI implementation and was the product of consultations within each of the three constituencies.</w:t>
            </w:r>
          </w:p>
        </w:tc>
        <w:tc>
          <w:tcPr>
            <w:tcW w:w="2621" w:type="dxa"/>
            <w:shd w:val="clear" w:color="auto" w:fill="FFFFFF"/>
            <w:vAlign w:val="center"/>
          </w:tcPr>
          <w:p w14:paraId="463365BD" w14:textId="64AD33FD" w:rsidR="0068339D" w:rsidRPr="002815F4" w:rsidRDefault="00ED06B1" w:rsidP="00E217A9">
            <w:pPr>
              <w:pStyle w:val="Tabletext"/>
              <w:rPr>
                <w:lang w:val="en-GB"/>
              </w:rPr>
            </w:pPr>
            <w:r w:rsidRPr="002815F4">
              <w:rPr>
                <w:lang w:val="en-GB"/>
              </w:rPr>
              <w:t>Satisfactory</w:t>
            </w:r>
            <w:r w:rsidR="00152CE4">
              <w:rPr>
                <w:lang w:val="en-GB"/>
              </w:rPr>
              <w:t xml:space="preserve"> progress</w:t>
            </w:r>
          </w:p>
        </w:tc>
      </w:tr>
      <w:tr w:rsidR="00EC1FBA" w:rsidRPr="002815F4" w14:paraId="6120F6B5" w14:textId="77777777" w:rsidTr="007B124A">
        <w:tc>
          <w:tcPr>
            <w:tcW w:w="9603" w:type="dxa"/>
            <w:gridSpan w:val="3"/>
            <w:shd w:val="clear" w:color="auto" w:fill="FFFFFF"/>
            <w:vAlign w:val="center"/>
          </w:tcPr>
          <w:p w14:paraId="553DE71B" w14:textId="6F043FE8" w:rsidR="00EC1FBA" w:rsidRPr="00E2507C" w:rsidRDefault="00EC1FBA" w:rsidP="00E217A9">
            <w:pPr>
              <w:pStyle w:val="Tabletext"/>
              <w:rPr>
                <w:b/>
                <w:lang w:val="en-GB"/>
              </w:rPr>
            </w:pPr>
            <w:r w:rsidRPr="00E2507C">
              <w:rPr>
                <w:b/>
                <w:lang w:val="en-GB"/>
              </w:rPr>
              <w:lastRenderedPageBreak/>
              <w:t>Secretariat’s recommendations:</w:t>
            </w:r>
          </w:p>
          <w:p w14:paraId="42D7EB06" w14:textId="2513BD77" w:rsidR="00EC1FBA" w:rsidRPr="004158A2" w:rsidRDefault="008F7942" w:rsidP="00482C28">
            <w:pPr>
              <w:pStyle w:val="ListParagraph"/>
              <w:numPr>
                <w:ilvl w:val="0"/>
                <w:numId w:val="81"/>
              </w:numPr>
              <w:rPr>
                <w:rFonts w:eastAsia="Calibri"/>
              </w:rPr>
            </w:pPr>
            <w:r w:rsidRPr="002815F4">
              <w:t>To strengthen implementation, the MSG may wish to consider formalising government mechanisms for following up on recommendations from past EITI Reports and Validation as a means of ensuring the sustainability and continued effectiveness of follow-up channels.</w:t>
            </w:r>
            <w:r w:rsidRPr="002815F4" w:rsidDel="008F7942">
              <w:t xml:space="preserve"> </w:t>
            </w:r>
          </w:p>
          <w:p w14:paraId="7F5453D4" w14:textId="68245034" w:rsidR="00EC1FBA" w:rsidRPr="004158A2" w:rsidRDefault="008F7942" w:rsidP="00FF1374">
            <w:pPr>
              <w:pStyle w:val="ListParagraph"/>
              <w:rPr>
                <w:rFonts w:eastAsia="Calibri"/>
              </w:rPr>
            </w:pPr>
            <w:r w:rsidRPr="002815F4">
              <w:t>To strengthen implementation, the MSG may wish to consider undertak</w:t>
            </w:r>
            <w:r w:rsidR="00A305D2">
              <w:t>e</w:t>
            </w:r>
            <w:r w:rsidRPr="002815F4">
              <w:t xml:space="preserve"> a comprehensive impact assessment, with a view to identifying tangible impacts to local communities and other stakeholders in order to determine the extent to which the EITI has contributed to improving public financial management and governance of the mining, oil and gas sectors.</w:t>
            </w:r>
            <w:r w:rsidRPr="002815F4" w:rsidDel="008F7942">
              <w:t xml:space="preserve"> </w:t>
            </w:r>
          </w:p>
        </w:tc>
      </w:tr>
    </w:tbl>
    <w:p w14:paraId="48A55FFC" w14:textId="77777777" w:rsidR="00D47A3F" w:rsidRPr="002815F4" w:rsidRDefault="00D47A3F" w:rsidP="00D47A3F">
      <w:pPr>
        <w:spacing w:after="0"/>
        <w:rPr>
          <w:rFonts w:ascii="Calibri" w:hAnsi="Calibri"/>
        </w:rPr>
      </w:pPr>
    </w:p>
    <w:p w14:paraId="587A24F5" w14:textId="77777777" w:rsidR="001D1EF2" w:rsidRPr="002815F4" w:rsidRDefault="001D1EF2" w:rsidP="009B3E66">
      <w:pPr>
        <w:pStyle w:val="Heading2"/>
        <w:sectPr w:rsidR="001D1EF2" w:rsidRPr="002815F4" w:rsidSect="00505DFB">
          <w:headerReference w:type="first" r:id="rId26"/>
          <w:pgSz w:w="11905" w:h="16837"/>
          <w:pgMar w:top="1175" w:right="1276" w:bottom="1418" w:left="1134" w:header="567" w:footer="0" w:gutter="0"/>
          <w:cols w:space="708"/>
          <w:titlePg/>
          <w:docGrid w:linePitch="326"/>
        </w:sectPr>
      </w:pPr>
      <w:bookmarkStart w:id="458" w:name="_Toc458773266"/>
      <w:bookmarkStart w:id="459" w:name="_Toc458780363"/>
      <w:bookmarkStart w:id="460" w:name="_Toc461803157"/>
      <w:bookmarkStart w:id="461" w:name="_Toc461787368"/>
      <w:bookmarkStart w:id="462" w:name="_Toc461795880"/>
      <w:bookmarkStart w:id="463" w:name="_Toc462149212"/>
      <w:bookmarkStart w:id="464" w:name="_Toc459133208"/>
    </w:p>
    <w:p w14:paraId="15841F4C" w14:textId="77777777" w:rsidR="00366C5A" w:rsidRPr="002815F4" w:rsidRDefault="000C662A" w:rsidP="009B3E66">
      <w:pPr>
        <w:pStyle w:val="Heading2"/>
      </w:pPr>
      <w:r w:rsidRPr="002815F4">
        <w:lastRenderedPageBreak/>
        <w:t xml:space="preserve">8. </w:t>
      </w:r>
      <w:r w:rsidR="005047CF" w:rsidRPr="002815F4">
        <w:t xml:space="preserve">Impact analysis </w:t>
      </w:r>
    </w:p>
    <w:p w14:paraId="095BE6A2" w14:textId="08B171C4" w:rsidR="005047CF" w:rsidRPr="002815F4" w:rsidRDefault="005047CF" w:rsidP="009B3E66">
      <w:pPr>
        <w:pStyle w:val="Heading3"/>
      </w:pPr>
      <w:r w:rsidRPr="002815F4">
        <w:t>(not to be considered in assessing compliance with the EITI provisions)</w:t>
      </w:r>
      <w:bookmarkEnd w:id="458"/>
      <w:bookmarkEnd w:id="459"/>
      <w:bookmarkEnd w:id="460"/>
      <w:bookmarkEnd w:id="461"/>
      <w:bookmarkEnd w:id="462"/>
      <w:bookmarkEnd w:id="463"/>
    </w:p>
    <w:bookmarkEnd w:id="464"/>
    <w:p w14:paraId="037B66CD" w14:textId="77777777" w:rsidR="0069039D" w:rsidRPr="002815F4" w:rsidRDefault="0069039D" w:rsidP="009B3E66">
      <w:pPr>
        <w:pStyle w:val="Heading3"/>
      </w:pPr>
      <w:r w:rsidRPr="002815F4">
        <w:t>Impact</w:t>
      </w:r>
    </w:p>
    <w:p w14:paraId="7EB3A6B1" w14:textId="733F8BE5" w:rsidR="00140856" w:rsidRPr="002815F4" w:rsidRDefault="00F042BF" w:rsidP="00E02D8A">
      <w:pPr>
        <w:spacing w:before="120"/>
        <w:rPr>
          <w:rFonts w:ascii="Calibri" w:hAnsi="Calibri"/>
        </w:rPr>
      </w:pPr>
      <w:r w:rsidRPr="002815F4">
        <w:rPr>
          <w:rFonts w:ascii="Calibri" w:hAnsi="Calibri"/>
        </w:rPr>
        <w:t xml:space="preserve">Based on Senegal EITI’s own metrics for assessing its impact, Senegal’s EITI implementation has been particularly effective in a short </w:t>
      </w:r>
      <w:r w:rsidR="002815F4" w:rsidRPr="002815F4">
        <w:rPr>
          <w:rFonts w:ascii="Calibri" w:hAnsi="Calibri"/>
        </w:rPr>
        <w:t>time span</w:t>
      </w:r>
      <w:r w:rsidRPr="002815F4">
        <w:rPr>
          <w:rFonts w:ascii="Calibri" w:hAnsi="Calibri"/>
        </w:rPr>
        <w:t xml:space="preserve">. MSG meeting minutes </w:t>
      </w:r>
      <w:r w:rsidR="000A3827" w:rsidRPr="002815F4">
        <w:rPr>
          <w:rFonts w:ascii="Calibri" w:hAnsi="Calibri"/>
        </w:rPr>
        <w:t>show</w:t>
      </w:r>
      <w:r w:rsidRPr="002815F4">
        <w:rPr>
          <w:rFonts w:ascii="Calibri" w:hAnsi="Calibri"/>
        </w:rPr>
        <w:t xml:space="preserve"> active MSG input and follow-up on recommendations, progress against the work plan and impact. The MSG has repeatedly discussed tracking impact of EITI implementation based on factors ranging from public awareness to sector reforms, although its use of the annual progress report to do so has been limited. Rather, the MSG has undertaken </w:t>
      </w:r>
      <w:r w:rsidR="00B052B4" w:rsidRPr="002815F4">
        <w:rPr>
          <w:rFonts w:ascii="Calibri" w:hAnsi="Calibri"/>
        </w:rPr>
        <w:t>an</w:t>
      </w:r>
      <w:r w:rsidRPr="002815F4">
        <w:rPr>
          <w:rFonts w:ascii="Calibri" w:hAnsi="Calibri"/>
        </w:rPr>
        <w:t xml:space="preserve"> assessment of the overall impact of EITI implementation in preparing its five-year EITI 2017-2021 strategic plan in early 2017 and as a standalone assessment published in July 2017 </w:t>
      </w:r>
      <w:sdt>
        <w:sdtPr>
          <w:rPr>
            <w:rFonts w:ascii="Calibri" w:hAnsi="Calibri"/>
          </w:rPr>
          <w:id w:val="-726998183"/>
          <w:citation/>
        </w:sdtPr>
        <w:sdtEndPr/>
        <w:sdtContent>
          <w:r w:rsidRPr="002815F4">
            <w:rPr>
              <w:rFonts w:ascii="Calibri" w:hAnsi="Calibri"/>
            </w:rPr>
            <w:fldChar w:fldCharType="begin"/>
          </w:r>
          <w:r w:rsidRPr="002815F4">
            <w:rPr>
              <w:rFonts w:ascii="Calibri" w:hAnsi="Calibri"/>
            </w:rPr>
            <w:instrText xml:space="preserve"> CITATION ITI1711 \l 1033 </w:instrText>
          </w:r>
          <w:r w:rsidRPr="002815F4">
            <w:rPr>
              <w:rFonts w:ascii="Calibri" w:hAnsi="Calibri"/>
            </w:rPr>
            <w:fldChar w:fldCharType="separate"/>
          </w:r>
          <w:r w:rsidRPr="002815F4">
            <w:rPr>
              <w:rFonts w:ascii="Calibri" w:hAnsi="Calibri"/>
              <w:noProof/>
            </w:rPr>
            <w:t>(ITIE Senegal, 2017)</w:t>
          </w:r>
          <w:r w:rsidRPr="002815F4">
            <w:rPr>
              <w:rFonts w:ascii="Calibri" w:hAnsi="Calibri"/>
            </w:rPr>
            <w:fldChar w:fldCharType="end"/>
          </w:r>
        </w:sdtContent>
      </w:sdt>
      <w:r w:rsidRPr="002815F4">
        <w:rPr>
          <w:rFonts w:ascii="Calibri" w:hAnsi="Calibri"/>
        </w:rPr>
        <w:t xml:space="preserve"> </w:t>
      </w:r>
      <w:sdt>
        <w:sdtPr>
          <w:rPr>
            <w:rFonts w:ascii="Calibri" w:hAnsi="Calibri"/>
          </w:rPr>
          <w:id w:val="1849836004"/>
          <w:citation/>
        </w:sdtPr>
        <w:sdtEndPr/>
        <w:sdtContent>
          <w:r w:rsidRPr="002815F4">
            <w:rPr>
              <w:rFonts w:ascii="Calibri" w:hAnsi="Calibri"/>
            </w:rPr>
            <w:fldChar w:fldCharType="begin"/>
          </w:r>
          <w:r w:rsidRPr="002815F4">
            <w:rPr>
              <w:rFonts w:ascii="Calibri" w:hAnsi="Calibri"/>
            </w:rPr>
            <w:instrText xml:space="preserve"> CITATION ITI1726 \l 1033 </w:instrText>
          </w:r>
          <w:r w:rsidRPr="002815F4">
            <w:rPr>
              <w:rFonts w:ascii="Calibri" w:hAnsi="Calibri"/>
            </w:rPr>
            <w:fldChar w:fldCharType="separate"/>
          </w:r>
          <w:r w:rsidRPr="002815F4">
            <w:rPr>
              <w:rFonts w:ascii="Calibri" w:hAnsi="Calibri"/>
              <w:noProof/>
            </w:rPr>
            <w:t>(ITIE Senegal, 2017)</w:t>
          </w:r>
          <w:r w:rsidRPr="002815F4">
            <w:rPr>
              <w:rFonts w:ascii="Calibri" w:hAnsi="Calibri"/>
            </w:rPr>
            <w:fldChar w:fldCharType="end"/>
          </w:r>
        </w:sdtContent>
      </w:sdt>
      <w:r w:rsidRPr="002815F4">
        <w:rPr>
          <w:rFonts w:ascii="Calibri" w:hAnsi="Calibri"/>
        </w:rPr>
        <w:t xml:space="preserve">. </w:t>
      </w:r>
      <w:r w:rsidR="0027388F" w:rsidRPr="002815F4">
        <w:rPr>
          <w:rFonts w:ascii="Calibri" w:hAnsi="Calibri"/>
        </w:rPr>
        <w:t xml:space="preserve">The MSG also regularly assesses its own progress in meeting Requirements of the EITI Standard through frequent pre-Validation self-assessment </w:t>
      </w:r>
      <w:r w:rsidR="002815F4" w:rsidRPr="002815F4">
        <w:rPr>
          <w:rFonts w:ascii="Calibri" w:hAnsi="Calibri"/>
        </w:rPr>
        <w:t>exercises</w:t>
      </w:r>
      <w:r w:rsidR="0027388F" w:rsidRPr="002815F4">
        <w:rPr>
          <w:rFonts w:ascii="Calibri" w:hAnsi="Calibri"/>
        </w:rPr>
        <w:t xml:space="preserve"> in 2016 and 2017</w:t>
      </w:r>
      <w:r w:rsidR="002503BF" w:rsidRPr="002815F4">
        <w:rPr>
          <w:rFonts w:ascii="Calibri" w:hAnsi="Calibri"/>
        </w:rPr>
        <w:t>, which include a general assessment of impact</w:t>
      </w:r>
      <w:r w:rsidR="0027388F" w:rsidRPr="002815F4">
        <w:rPr>
          <w:rFonts w:ascii="Calibri" w:hAnsi="Calibri"/>
        </w:rPr>
        <w:t xml:space="preserve">. </w:t>
      </w:r>
    </w:p>
    <w:p w14:paraId="302379A6" w14:textId="52E5C69C" w:rsidR="0069039D" w:rsidRPr="002815F4" w:rsidRDefault="00B052B4" w:rsidP="00E02D8A">
      <w:pPr>
        <w:spacing w:before="120"/>
        <w:rPr>
          <w:rFonts w:ascii="Calibri" w:hAnsi="Calibri"/>
          <w:i/>
          <w:u w:val="single"/>
        </w:rPr>
      </w:pPr>
      <w:r w:rsidRPr="002815F4">
        <w:rPr>
          <w:rFonts w:ascii="Calibri" w:hAnsi="Calibri"/>
        </w:rPr>
        <w:t xml:space="preserve">From its earliest stages, the MSG and government have explicitly linked EITI implementation to objectives including three key impacts of opening the institutional environment, improving government information systems and support consultation dialogues over necessary public-sector reforms </w:t>
      </w:r>
      <w:sdt>
        <w:sdtPr>
          <w:rPr>
            <w:rFonts w:ascii="Calibri" w:hAnsi="Calibri"/>
          </w:rPr>
          <w:id w:val="1329797396"/>
          <w:citation/>
        </w:sdtPr>
        <w:sdtEndPr/>
        <w:sdtContent>
          <w:r w:rsidRPr="002815F4">
            <w:rPr>
              <w:rFonts w:ascii="Calibri" w:hAnsi="Calibri"/>
            </w:rPr>
            <w:fldChar w:fldCharType="begin"/>
          </w:r>
          <w:r w:rsidRPr="002815F4">
            <w:rPr>
              <w:rFonts w:ascii="Calibri" w:hAnsi="Calibri"/>
            </w:rPr>
            <w:instrText xml:space="preserve"> CITATION EIT141 \l 1033 </w:instrText>
          </w:r>
          <w:r w:rsidRPr="002815F4">
            <w:rPr>
              <w:rFonts w:ascii="Calibri" w:hAnsi="Calibri"/>
            </w:rPr>
            <w:fldChar w:fldCharType="separate"/>
          </w:r>
          <w:r w:rsidRPr="002815F4">
            <w:rPr>
              <w:rFonts w:ascii="Calibri" w:hAnsi="Calibri"/>
              <w:noProof/>
            </w:rPr>
            <w:t>(EITI, 2014)</w:t>
          </w:r>
          <w:r w:rsidRPr="002815F4">
            <w:rPr>
              <w:rFonts w:ascii="Calibri" w:hAnsi="Calibri"/>
            </w:rPr>
            <w:fldChar w:fldCharType="end"/>
          </w:r>
        </w:sdtContent>
      </w:sdt>
      <w:r w:rsidRPr="002815F4">
        <w:rPr>
          <w:rFonts w:ascii="Calibri" w:hAnsi="Calibri"/>
        </w:rPr>
        <w:t xml:space="preserve"> </w:t>
      </w:r>
      <w:sdt>
        <w:sdtPr>
          <w:id w:val="1389454639"/>
          <w:citation/>
        </w:sdtPr>
        <w:sdtEndPr/>
        <w:sdtContent>
          <w:r w:rsidRPr="002815F4">
            <w:fldChar w:fldCharType="begin"/>
          </w:r>
          <w:r w:rsidRPr="002815F4">
            <w:instrText xml:space="preserve">CITATION ITI1625 \l 1033 </w:instrText>
          </w:r>
          <w:r w:rsidRPr="002815F4">
            <w:fldChar w:fldCharType="separate"/>
          </w:r>
          <w:r w:rsidRPr="002815F4">
            <w:rPr>
              <w:noProof/>
            </w:rPr>
            <w:t>(ITIE Senegal, 2016)</w:t>
          </w:r>
          <w:r w:rsidRPr="002815F4">
            <w:fldChar w:fldCharType="end"/>
          </w:r>
        </w:sdtContent>
      </w:sdt>
      <w:r w:rsidRPr="002815F4">
        <w:t xml:space="preserve">. While EITI Senegal’s own impact assessments to date have emphasised the challenges of assessing impact comprehensively with only a few years track record of implementation, </w:t>
      </w:r>
      <w:r w:rsidR="00C60765" w:rsidRPr="002815F4">
        <w:t xml:space="preserve">the MSG’s work and stakeholder consultations have highlighted </w:t>
      </w:r>
      <w:r w:rsidRPr="002815F4">
        <w:t>six broad types of impact of EITI implementation in Senegal, ranging from the more concrete to the less tangible</w:t>
      </w:r>
      <w:r w:rsidR="00B44713" w:rsidRPr="002815F4">
        <w:t xml:space="preserve"> but no less important</w:t>
      </w:r>
      <w:r w:rsidRPr="002815F4">
        <w:t xml:space="preserve"> </w:t>
      </w:r>
      <w:sdt>
        <w:sdtPr>
          <w:rPr>
            <w:rFonts w:ascii="Calibri" w:hAnsi="Calibri"/>
          </w:rPr>
          <w:id w:val="1480571038"/>
          <w:citation/>
        </w:sdtPr>
        <w:sdtEndPr/>
        <w:sdtContent>
          <w:r w:rsidRPr="002815F4">
            <w:rPr>
              <w:rFonts w:ascii="Calibri" w:hAnsi="Calibri"/>
            </w:rPr>
            <w:fldChar w:fldCharType="begin"/>
          </w:r>
          <w:r w:rsidRPr="002815F4">
            <w:rPr>
              <w:rFonts w:ascii="Calibri" w:hAnsi="Calibri"/>
            </w:rPr>
            <w:instrText xml:space="preserve"> CITATION ITI1726 \l 1033 </w:instrText>
          </w:r>
          <w:r w:rsidRPr="002815F4">
            <w:rPr>
              <w:rFonts w:ascii="Calibri" w:hAnsi="Calibri"/>
            </w:rPr>
            <w:fldChar w:fldCharType="separate"/>
          </w:r>
          <w:r w:rsidRPr="002815F4">
            <w:rPr>
              <w:rFonts w:ascii="Calibri" w:hAnsi="Calibri"/>
              <w:noProof/>
            </w:rPr>
            <w:t>(ITIE Senegal, 2017)</w:t>
          </w:r>
          <w:r w:rsidRPr="002815F4">
            <w:rPr>
              <w:rFonts w:ascii="Calibri" w:hAnsi="Calibri"/>
            </w:rPr>
            <w:fldChar w:fldCharType="end"/>
          </w:r>
        </w:sdtContent>
      </w:sdt>
      <w:r w:rsidRPr="002815F4">
        <w:t xml:space="preserve">. </w:t>
      </w:r>
    </w:p>
    <w:p w14:paraId="37FB7D84" w14:textId="1A51A169" w:rsidR="0019750C" w:rsidRPr="002815F4" w:rsidRDefault="0069039D" w:rsidP="0069039D">
      <w:pPr>
        <w:rPr>
          <w:rFonts w:ascii="Calibri" w:hAnsi="Calibri"/>
        </w:rPr>
      </w:pPr>
      <w:r w:rsidRPr="002815F4">
        <w:rPr>
          <w:rFonts w:ascii="Calibri" w:hAnsi="Calibri"/>
          <w:i/>
          <w:u w:val="single"/>
        </w:rPr>
        <w:t>Constructive engagement:</w:t>
      </w:r>
      <w:r w:rsidR="00B052B4" w:rsidRPr="002815F4">
        <w:rPr>
          <w:rFonts w:ascii="Calibri" w:hAnsi="Calibri"/>
        </w:rPr>
        <w:t xml:space="preserve"> Implementation of the EITI has led to closer and more constructive engagement between stakeholders at several levels. On the MSG, representatives from government entities have gained from this forum for inter-ministerial concertation and coordination of their activities related to the extractives industries, which EITI Senegal highlighted as crucial for input to revisions to the Mining Code in 2016 </w:t>
      </w:r>
      <w:sdt>
        <w:sdtPr>
          <w:rPr>
            <w:rFonts w:ascii="Calibri" w:hAnsi="Calibri"/>
          </w:rPr>
          <w:id w:val="2011257353"/>
          <w:citation/>
        </w:sdtPr>
        <w:sdtEndPr/>
        <w:sdtContent>
          <w:r w:rsidR="00B052B4" w:rsidRPr="002815F4">
            <w:rPr>
              <w:rFonts w:ascii="Calibri" w:hAnsi="Calibri"/>
            </w:rPr>
            <w:fldChar w:fldCharType="begin"/>
          </w:r>
          <w:r w:rsidR="00B052B4" w:rsidRPr="002815F4">
            <w:rPr>
              <w:rFonts w:ascii="Calibri" w:hAnsi="Calibri"/>
            </w:rPr>
            <w:instrText xml:space="preserve"> CITATION ITI1726 \l 1033 </w:instrText>
          </w:r>
          <w:r w:rsidR="00B052B4" w:rsidRPr="002815F4">
            <w:rPr>
              <w:rFonts w:ascii="Calibri" w:hAnsi="Calibri"/>
            </w:rPr>
            <w:fldChar w:fldCharType="separate"/>
          </w:r>
          <w:r w:rsidR="00B052B4" w:rsidRPr="002815F4">
            <w:rPr>
              <w:rFonts w:ascii="Calibri" w:hAnsi="Calibri"/>
              <w:noProof/>
            </w:rPr>
            <w:t>(ITIE Senegal, 2017)</w:t>
          </w:r>
          <w:r w:rsidR="00B052B4" w:rsidRPr="002815F4">
            <w:rPr>
              <w:rFonts w:ascii="Calibri" w:hAnsi="Calibri"/>
            </w:rPr>
            <w:fldChar w:fldCharType="end"/>
          </w:r>
        </w:sdtContent>
      </w:sdt>
      <w:r w:rsidR="00B052B4" w:rsidRPr="002815F4">
        <w:rPr>
          <w:rFonts w:ascii="Calibri" w:hAnsi="Calibri"/>
        </w:rPr>
        <w:t xml:space="preserve">. </w:t>
      </w:r>
      <w:r w:rsidR="0019750C" w:rsidRPr="002815F4">
        <w:rPr>
          <w:rFonts w:ascii="Calibri" w:hAnsi="Calibri"/>
        </w:rPr>
        <w:t xml:space="preserve">The establishment of COS-PETROGAZ in 2016 to coordinate oil and gas reforms is expected to lead to similar legal reforms in oil and gas, with input from the EITI </w:t>
      </w:r>
      <w:sdt>
        <w:sdtPr>
          <w:rPr>
            <w:rFonts w:ascii="Calibri" w:hAnsi="Calibri"/>
          </w:rPr>
          <w:id w:val="1840880277"/>
          <w:citation/>
        </w:sdtPr>
        <w:sdtEndPr/>
        <w:sdtContent>
          <w:r w:rsidR="0019750C" w:rsidRPr="002815F4">
            <w:rPr>
              <w:rFonts w:ascii="Calibri" w:hAnsi="Calibri"/>
            </w:rPr>
            <w:fldChar w:fldCharType="begin"/>
          </w:r>
          <w:r w:rsidR="0019750C" w:rsidRPr="002815F4">
            <w:rPr>
              <w:rFonts w:ascii="Calibri" w:hAnsi="Calibri"/>
            </w:rPr>
            <w:instrText xml:space="preserve"> CITATION Wor161 \l 1033 </w:instrText>
          </w:r>
          <w:r w:rsidR="0019750C" w:rsidRPr="002815F4">
            <w:rPr>
              <w:rFonts w:ascii="Calibri" w:hAnsi="Calibri"/>
            </w:rPr>
            <w:fldChar w:fldCharType="separate"/>
          </w:r>
          <w:r w:rsidR="0019750C" w:rsidRPr="002815F4">
            <w:rPr>
              <w:rFonts w:ascii="Calibri" w:hAnsi="Calibri"/>
              <w:noProof/>
            </w:rPr>
            <w:t>(World Bank, 2016)</w:t>
          </w:r>
          <w:r w:rsidR="0019750C" w:rsidRPr="002815F4">
            <w:rPr>
              <w:rFonts w:ascii="Calibri" w:hAnsi="Calibri"/>
            </w:rPr>
            <w:fldChar w:fldCharType="end"/>
          </w:r>
        </w:sdtContent>
      </w:sdt>
      <w:r w:rsidR="0019750C" w:rsidRPr="002815F4">
        <w:rPr>
          <w:rFonts w:ascii="Calibri" w:hAnsi="Calibri"/>
        </w:rPr>
        <w:t xml:space="preserve"> </w:t>
      </w:r>
      <w:sdt>
        <w:sdtPr>
          <w:rPr>
            <w:rFonts w:ascii="Calibri" w:hAnsi="Calibri"/>
          </w:rPr>
          <w:id w:val="8733331"/>
          <w:citation/>
        </w:sdtPr>
        <w:sdtEndPr/>
        <w:sdtContent>
          <w:r w:rsidR="0019750C" w:rsidRPr="002815F4">
            <w:rPr>
              <w:rFonts w:ascii="Calibri" w:hAnsi="Calibri"/>
            </w:rPr>
            <w:fldChar w:fldCharType="begin"/>
          </w:r>
          <w:r w:rsidR="0019750C" w:rsidRPr="002815F4">
            <w:rPr>
              <w:rFonts w:ascii="Calibri" w:hAnsi="Calibri"/>
            </w:rPr>
            <w:instrText xml:space="preserve"> CITATION ITI1725 \l 1033 </w:instrText>
          </w:r>
          <w:r w:rsidR="0019750C" w:rsidRPr="002815F4">
            <w:rPr>
              <w:rFonts w:ascii="Calibri" w:hAnsi="Calibri"/>
            </w:rPr>
            <w:fldChar w:fldCharType="separate"/>
          </w:r>
          <w:r w:rsidR="0019750C" w:rsidRPr="002815F4">
            <w:rPr>
              <w:rFonts w:ascii="Calibri" w:hAnsi="Calibri"/>
              <w:noProof/>
            </w:rPr>
            <w:t>(ITIE Senegal, 2017)</w:t>
          </w:r>
          <w:r w:rsidR="0019750C" w:rsidRPr="002815F4">
            <w:rPr>
              <w:rFonts w:ascii="Calibri" w:hAnsi="Calibri"/>
            </w:rPr>
            <w:fldChar w:fldCharType="end"/>
          </w:r>
        </w:sdtContent>
      </w:sdt>
      <w:r w:rsidR="0019750C" w:rsidRPr="002815F4">
        <w:rPr>
          <w:rFonts w:ascii="Calibri" w:hAnsi="Calibri"/>
        </w:rPr>
        <w:t xml:space="preserve">. </w:t>
      </w:r>
      <w:r w:rsidR="009A56A1" w:rsidRPr="002815F4">
        <w:rPr>
          <w:rFonts w:ascii="Calibri" w:hAnsi="Calibri"/>
        </w:rPr>
        <w:t>The government has also</w:t>
      </w:r>
      <w:r w:rsidR="0019750C" w:rsidRPr="002815F4">
        <w:rPr>
          <w:rFonts w:ascii="Calibri" w:hAnsi="Calibri"/>
        </w:rPr>
        <w:t xml:space="preserve"> enacted functional and operational reforms such as dedicated cells to coordinate EITI data collection and consultations on EITI issues in each agency</w:t>
      </w:r>
      <w:r w:rsidR="0019750C" w:rsidRPr="002815F4">
        <w:t xml:space="preserve"> and revisions to government IT systems to facilitate annual data collection </w:t>
      </w:r>
      <w:sdt>
        <w:sdtPr>
          <w:id w:val="2102532909"/>
          <w:citation/>
        </w:sdtPr>
        <w:sdtEndPr/>
        <w:sdtContent>
          <w:r w:rsidR="0019750C" w:rsidRPr="002815F4">
            <w:fldChar w:fldCharType="begin"/>
          </w:r>
          <w:r w:rsidR="0019750C" w:rsidRPr="002815F4">
            <w:instrText xml:space="preserve"> CITATION ITI1726 \l 1033 </w:instrText>
          </w:r>
          <w:r w:rsidR="0019750C" w:rsidRPr="002815F4">
            <w:fldChar w:fldCharType="separate"/>
          </w:r>
          <w:r w:rsidR="0019750C" w:rsidRPr="002815F4">
            <w:rPr>
              <w:noProof/>
            </w:rPr>
            <w:t>(ITIE Senegal, 2017)</w:t>
          </w:r>
          <w:r w:rsidR="0019750C" w:rsidRPr="002815F4">
            <w:fldChar w:fldCharType="end"/>
          </w:r>
        </w:sdtContent>
      </w:sdt>
      <w:r w:rsidR="0019750C" w:rsidRPr="002815F4">
        <w:t>.</w:t>
      </w:r>
      <w:r w:rsidR="0019750C" w:rsidRPr="002815F4">
        <w:rPr>
          <w:rFonts w:ascii="Calibri" w:hAnsi="Calibri"/>
        </w:rPr>
        <w:t xml:space="preserve"> </w:t>
      </w:r>
      <w:r w:rsidR="00A15209" w:rsidRPr="002815F4">
        <w:rPr>
          <w:rFonts w:ascii="Calibri" w:hAnsi="Calibri"/>
        </w:rPr>
        <w:t xml:space="preserve">Consultations with stakeholders from government, industry, civil society, parliament, media and development partners highlighted the EITI’s impact in gradually building trust between different constituencies, both by providing data </w:t>
      </w:r>
      <w:r w:rsidR="00A440B5" w:rsidRPr="002815F4">
        <w:rPr>
          <w:rFonts w:ascii="Calibri" w:hAnsi="Calibri"/>
        </w:rPr>
        <w:t xml:space="preserve">widely seen as </w:t>
      </w:r>
      <w:r w:rsidR="00A15209" w:rsidRPr="002815F4">
        <w:rPr>
          <w:rFonts w:ascii="Calibri" w:hAnsi="Calibri"/>
        </w:rPr>
        <w:t xml:space="preserve">reliable </w:t>
      </w:r>
      <w:r w:rsidR="00A440B5" w:rsidRPr="002815F4">
        <w:rPr>
          <w:rFonts w:ascii="Calibri" w:hAnsi="Calibri"/>
        </w:rPr>
        <w:t xml:space="preserve">and a channel for multi-stakeholder </w:t>
      </w:r>
      <w:r w:rsidR="002815F4" w:rsidRPr="002815F4">
        <w:rPr>
          <w:rFonts w:ascii="Calibri" w:hAnsi="Calibri"/>
        </w:rPr>
        <w:t>consultations</w:t>
      </w:r>
      <w:r w:rsidR="00A440B5" w:rsidRPr="002815F4">
        <w:rPr>
          <w:rFonts w:ascii="Calibri" w:hAnsi="Calibri"/>
        </w:rPr>
        <w:t xml:space="preserve"> and coordination. </w:t>
      </w:r>
    </w:p>
    <w:p w14:paraId="5673CCC1" w14:textId="58B1BBFF" w:rsidR="00DA5F03" w:rsidRPr="002815F4" w:rsidRDefault="0027388F">
      <w:r w:rsidRPr="002815F4">
        <w:rPr>
          <w:rFonts w:ascii="Calibri" w:hAnsi="Calibri"/>
        </w:rPr>
        <w:t>At the constituency level, the EITI has proved a catalys</w:t>
      </w:r>
      <w:r w:rsidR="00A305D2">
        <w:rPr>
          <w:rFonts w:ascii="Calibri" w:hAnsi="Calibri"/>
        </w:rPr>
        <w:t>t</w:t>
      </w:r>
      <w:r w:rsidRPr="002815F4">
        <w:rPr>
          <w:rFonts w:ascii="Calibri" w:hAnsi="Calibri"/>
        </w:rPr>
        <w:t xml:space="preserve"> for better organisation and coordination, with the formation of the Chamber of Mines in 2013 and the Coalition for transparency in extractive industries for civil society to better coordinate their consultations through EITI </w:t>
      </w:r>
      <w:sdt>
        <w:sdtPr>
          <w:rPr>
            <w:rFonts w:ascii="Calibri" w:hAnsi="Calibri"/>
            <w:bCs/>
          </w:rPr>
          <w:id w:val="-759524785"/>
          <w:citation/>
        </w:sdtPr>
        <w:sdtEndPr/>
        <w:sdtContent>
          <w:r w:rsidRPr="002815F4">
            <w:rPr>
              <w:rFonts w:ascii="Calibri" w:hAnsi="Calibri"/>
              <w:bCs/>
            </w:rPr>
            <w:fldChar w:fldCharType="begin"/>
          </w:r>
          <w:r w:rsidRPr="002815F4">
            <w:rPr>
              <w:rFonts w:ascii="Calibri" w:hAnsi="Calibri"/>
              <w:bCs/>
            </w:rPr>
            <w:instrText xml:space="preserve"> CITATION Wor162 \l 1033 </w:instrText>
          </w:r>
          <w:r w:rsidRPr="002815F4">
            <w:rPr>
              <w:rFonts w:ascii="Calibri" w:hAnsi="Calibri"/>
              <w:bCs/>
            </w:rPr>
            <w:fldChar w:fldCharType="separate"/>
          </w:r>
          <w:r w:rsidRPr="002815F4">
            <w:rPr>
              <w:rFonts w:ascii="Calibri" w:hAnsi="Calibri"/>
              <w:noProof/>
            </w:rPr>
            <w:t>(World Bank, 2016)</w:t>
          </w:r>
          <w:r w:rsidRPr="002815F4">
            <w:rPr>
              <w:rFonts w:ascii="Calibri" w:hAnsi="Calibri"/>
              <w:bCs/>
            </w:rPr>
            <w:fldChar w:fldCharType="end"/>
          </w:r>
        </w:sdtContent>
      </w:sdt>
      <w:r w:rsidRPr="002815F4">
        <w:rPr>
          <w:rFonts w:ascii="Calibri" w:hAnsi="Calibri"/>
        </w:rPr>
        <w:t xml:space="preserve">. </w:t>
      </w:r>
      <w:r w:rsidR="008868F8" w:rsidRPr="002815F4">
        <w:rPr>
          <w:rFonts w:ascii="Calibri" w:hAnsi="Calibri"/>
        </w:rPr>
        <w:t xml:space="preserve">Stakeholders also highlighted the importance of EITI for oil and gas companies in the absence of an industry association, which certain companies are seeking to </w:t>
      </w:r>
      <w:r w:rsidR="002815F4" w:rsidRPr="002815F4">
        <w:rPr>
          <w:rFonts w:ascii="Calibri" w:hAnsi="Calibri"/>
        </w:rPr>
        <w:t>establish</w:t>
      </w:r>
      <w:r w:rsidR="008868F8" w:rsidRPr="002815F4">
        <w:rPr>
          <w:rFonts w:ascii="Calibri" w:hAnsi="Calibri"/>
        </w:rPr>
        <w:t xml:space="preserve"> for the first time in 2017. </w:t>
      </w:r>
      <w:r w:rsidRPr="002815F4">
        <w:rPr>
          <w:rFonts w:ascii="Calibri" w:hAnsi="Calibri"/>
        </w:rPr>
        <w:t>The EITI has also led to the creation of active networks for parliamentarians and local officials as a means of consultation on EITI-related issues</w:t>
      </w:r>
      <w:r w:rsidR="008868F8" w:rsidRPr="002815F4">
        <w:rPr>
          <w:rFonts w:ascii="Calibri" w:hAnsi="Calibri"/>
        </w:rPr>
        <w:t xml:space="preserve"> and on broader governance topics</w:t>
      </w:r>
      <w:r w:rsidRPr="002815F4">
        <w:rPr>
          <w:rFonts w:ascii="Calibri" w:hAnsi="Calibri"/>
        </w:rPr>
        <w:t xml:space="preserve"> </w:t>
      </w:r>
      <w:sdt>
        <w:sdtPr>
          <w:rPr>
            <w:rFonts w:ascii="Calibri" w:hAnsi="Calibri"/>
          </w:rPr>
          <w:id w:val="-1904750582"/>
          <w:citation/>
        </w:sdtPr>
        <w:sdtEndPr/>
        <w:sdtContent>
          <w:r w:rsidRPr="002815F4">
            <w:rPr>
              <w:rFonts w:ascii="Calibri" w:hAnsi="Calibri"/>
            </w:rPr>
            <w:fldChar w:fldCharType="begin"/>
          </w:r>
          <w:r w:rsidRPr="002815F4">
            <w:rPr>
              <w:rFonts w:ascii="Calibri" w:hAnsi="Calibri"/>
            </w:rPr>
            <w:instrText xml:space="preserve"> CITATION Wor161 \l 1033 </w:instrText>
          </w:r>
          <w:r w:rsidRPr="002815F4">
            <w:rPr>
              <w:rFonts w:ascii="Calibri" w:hAnsi="Calibri"/>
            </w:rPr>
            <w:fldChar w:fldCharType="separate"/>
          </w:r>
          <w:r w:rsidRPr="002815F4">
            <w:rPr>
              <w:rFonts w:ascii="Calibri" w:hAnsi="Calibri"/>
              <w:noProof/>
            </w:rPr>
            <w:t>(World Bank, 2016)</w:t>
          </w:r>
          <w:r w:rsidRPr="002815F4">
            <w:rPr>
              <w:rFonts w:ascii="Calibri" w:hAnsi="Calibri"/>
            </w:rPr>
            <w:fldChar w:fldCharType="end"/>
          </w:r>
        </w:sdtContent>
      </w:sdt>
      <w:r w:rsidRPr="002815F4">
        <w:rPr>
          <w:rFonts w:ascii="Calibri" w:hAnsi="Calibri"/>
        </w:rPr>
        <w:t xml:space="preserve"> </w:t>
      </w:r>
      <w:sdt>
        <w:sdtPr>
          <w:id w:val="-463192068"/>
          <w:citation/>
        </w:sdtPr>
        <w:sdtEndPr/>
        <w:sdtContent>
          <w:r w:rsidRPr="002815F4">
            <w:fldChar w:fldCharType="begin"/>
          </w:r>
          <w:r w:rsidRPr="002815F4">
            <w:instrText xml:space="preserve"> CITATION ITI1726 \l 1033 </w:instrText>
          </w:r>
          <w:r w:rsidRPr="002815F4">
            <w:fldChar w:fldCharType="separate"/>
          </w:r>
          <w:r w:rsidRPr="002815F4">
            <w:rPr>
              <w:noProof/>
            </w:rPr>
            <w:t>(ITIE Senegal, 2017)</w:t>
          </w:r>
          <w:r w:rsidRPr="002815F4">
            <w:fldChar w:fldCharType="end"/>
          </w:r>
        </w:sdtContent>
      </w:sdt>
      <w:r w:rsidRPr="002815F4">
        <w:t xml:space="preserve">. At the </w:t>
      </w:r>
      <w:r w:rsidRPr="002815F4">
        <w:lastRenderedPageBreak/>
        <w:t xml:space="preserve">subnational level, active dissemination and outreach campaigns have been </w:t>
      </w:r>
      <w:r w:rsidR="008868F8" w:rsidRPr="002815F4">
        <w:t xml:space="preserve">channels </w:t>
      </w:r>
      <w:r w:rsidRPr="002815F4">
        <w:t>for consultation of local communities and led to the piloting of a subnational MSG in Kédougou</w:t>
      </w:r>
      <w:r w:rsidR="008868F8" w:rsidRPr="002815F4">
        <w:t>, alongside less formalised consultation forums in Thiès and Matam</w:t>
      </w:r>
      <w:r w:rsidRPr="002815F4">
        <w:t xml:space="preserve"> </w:t>
      </w:r>
      <w:sdt>
        <w:sdtPr>
          <w:id w:val="1557195951"/>
          <w:citation/>
        </w:sdtPr>
        <w:sdtEndPr/>
        <w:sdtContent>
          <w:r w:rsidRPr="002815F4">
            <w:fldChar w:fldCharType="begin"/>
          </w:r>
          <w:r w:rsidRPr="002815F4">
            <w:instrText xml:space="preserve"> CITATION ITI1725 \l 1033 </w:instrText>
          </w:r>
          <w:r w:rsidRPr="002815F4">
            <w:fldChar w:fldCharType="separate"/>
          </w:r>
          <w:r w:rsidRPr="002815F4">
            <w:rPr>
              <w:noProof/>
            </w:rPr>
            <w:t>(ITIE Senegal, 2017)</w:t>
          </w:r>
          <w:r w:rsidRPr="002815F4">
            <w:fldChar w:fldCharType="end"/>
          </w:r>
        </w:sdtContent>
      </w:sdt>
      <w:r w:rsidRPr="002815F4">
        <w:t xml:space="preserve">. </w:t>
      </w:r>
    </w:p>
    <w:p w14:paraId="6BBACE2C" w14:textId="217040C5" w:rsidR="0019750C" w:rsidRPr="002815F4" w:rsidRDefault="0069039D">
      <w:pPr>
        <w:rPr>
          <w:rFonts w:ascii="Calibri" w:hAnsi="Calibri"/>
        </w:rPr>
      </w:pPr>
      <w:r w:rsidRPr="002815F4">
        <w:rPr>
          <w:rFonts w:ascii="Calibri" w:hAnsi="Calibri"/>
          <w:i/>
          <w:u w:val="single"/>
        </w:rPr>
        <w:t>Economic contributions:</w:t>
      </w:r>
      <w:r w:rsidR="0019750C" w:rsidRPr="002815F4">
        <w:rPr>
          <w:rFonts w:ascii="Calibri" w:hAnsi="Calibri"/>
        </w:rPr>
        <w:t xml:space="preserve"> The EITI has also brought more clarity to the economic contributions of the extractive industries, both directly and indirectly, for the first time in Senegal, which previously had no operational chambers or professional associations for the mining, oil and gas industries. </w:t>
      </w:r>
      <w:r w:rsidR="008677E4" w:rsidRPr="002815F4">
        <w:rPr>
          <w:rFonts w:ascii="Calibri" w:hAnsi="Calibri"/>
        </w:rPr>
        <w:t xml:space="preserve">Stakeholders repeatedly highlighted the previous lack of information on the mining, oil and gas sectors, both in terms of publicly-accessible data and in terms of the government’s own internal systems. Representatives from all three constituencies recalled the previous lack of information </w:t>
      </w:r>
      <w:r w:rsidR="009B05CE" w:rsidRPr="002815F4">
        <w:rPr>
          <w:rFonts w:ascii="Calibri" w:hAnsi="Calibri"/>
        </w:rPr>
        <w:t xml:space="preserve">on even basic issues such as total government revenues from the mining sector, noting that EITI information has significantly generated public debate. </w:t>
      </w:r>
      <w:r w:rsidR="0019750C" w:rsidRPr="002815F4">
        <w:rPr>
          <w:rFonts w:ascii="Calibri" w:hAnsi="Calibri"/>
        </w:rPr>
        <w:t xml:space="preserve">The evolution from the 2013 EITI Report, which proved a timely diagnostic of data gaps in government systems and company reporting, to the 2014 EITI Report reflected the significant efforts of EITI Senegal in bridging information gaps. There is ample evidence, both in the press and in academic literature, of pent-up demand for information on the extractives contribution to the economy and government revenues in Senegal prior to EITI implementation </w:t>
      </w:r>
      <w:sdt>
        <w:sdtPr>
          <w:rPr>
            <w:rFonts w:ascii="Calibri" w:hAnsi="Calibri"/>
          </w:rPr>
          <w:id w:val="-1825107522"/>
          <w:citation/>
        </w:sdtPr>
        <w:sdtEndPr/>
        <w:sdtContent>
          <w:r w:rsidR="0019750C" w:rsidRPr="002815F4">
            <w:rPr>
              <w:rFonts w:ascii="Calibri" w:hAnsi="Calibri"/>
            </w:rPr>
            <w:fldChar w:fldCharType="begin"/>
          </w:r>
          <w:r w:rsidR="0019750C" w:rsidRPr="002815F4">
            <w:rPr>
              <w:rFonts w:ascii="Calibri" w:hAnsi="Calibri"/>
            </w:rPr>
            <w:instrText xml:space="preserve"> CITATION IIS16 \l 1033 </w:instrText>
          </w:r>
          <w:r w:rsidR="0019750C" w:rsidRPr="002815F4">
            <w:rPr>
              <w:rFonts w:ascii="Calibri" w:hAnsi="Calibri"/>
            </w:rPr>
            <w:fldChar w:fldCharType="separate"/>
          </w:r>
          <w:r w:rsidR="0019750C" w:rsidRPr="002815F4">
            <w:rPr>
              <w:rFonts w:ascii="Calibri" w:hAnsi="Calibri"/>
              <w:noProof/>
            </w:rPr>
            <w:t>(IISD, 2016)</w:t>
          </w:r>
          <w:r w:rsidR="0019750C" w:rsidRPr="002815F4">
            <w:rPr>
              <w:rFonts w:ascii="Calibri" w:hAnsi="Calibri"/>
            </w:rPr>
            <w:fldChar w:fldCharType="end"/>
          </w:r>
        </w:sdtContent>
      </w:sdt>
      <w:r w:rsidR="0019750C" w:rsidRPr="002815F4">
        <w:rPr>
          <w:rFonts w:ascii="Calibri" w:hAnsi="Calibri"/>
        </w:rPr>
        <w:t xml:space="preserve">. While a Chamber of Mines was created in 2013, EITI Senegal remains the primary provider of information on the mining sector and its </w:t>
      </w:r>
      <w:r w:rsidR="001E7994" w:rsidRPr="002815F4">
        <w:rPr>
          <w:rFonts w:ascii="Calibri" w:hAnsi="Calibri"/>
        </w:rPr>
        <w:t xml:space="preserve">contribution </w:t>
      </w:r>
      <w:r w:rsidR="0019750C" w:rsidRPr="002815F4">
        <w:rPr>
          <w:rFonts w:ascii="Calibri" w:hAnsi="Calibri"/>
        </w:rPr>
        <w:t xml:space="preserve">to government revenues. </w:t>
      </w:r>
      <w:r w:rsidR="004065E7" w:rsidRPr="002815F4">
        <w:rPr>
          <w:rFonts w:ascii="Calibri" w:hAnsi="Calibri"/>
        </w:rPr>
        <w:t xml:space="preserve">Secretariat staff noted the frequent calls for information from diverse users of EITI information, ranging from the media to investment advisors both domestically and internationally. </w:t>
      </w:r>
    </w:p>
    <w:p w14:paraId="4F7CBAE9" w14:textId="21344A87" w:rsidR="0019750C" w:rsidRPr="002815F4" w:rsidRDefault="00DF5404">
      <w:pPr>
        <w:rPr>
          <w:rFonts w:ascii="Calibri" w:hAnsi="Calibri"/>
        </w:rPr>
      </w:pPr>
      <w:r w:rsidRPr="002815F4">
        <w:rPr>
          <w:rFonts w:ascii="Calibri" w:hAnsi="Calibri"/>
        </w:rPr>
        <w:t xml:space="preserve">Alongside its provision of comprehensive information on extractives revenues, the EITI has also had an impact on government agencies’ better understanding of each other’s systems. Parliamentarians and the media have also gained insight into some of the more technical </w:t>
      </w:r>
      <w:r w:rsidR="00961F0C" w:rsidRPr="002815F4">
        <w:rPr>
          <w:rFonts w:ascii="Calibri" w:hAnsi="Calibri"/>
        </w:rPr>
        <w:t xml:space="preserve">aspects of </w:t>
      </w:r>
      <w:r w:rsidR="0067233E" w:rsidRPr="002815F4">
        <w:rPr>
          <w:rFonts w:ascii="Calibri" w:hAnsi="Calibri"/>
        </w:rPr>
        <w:t xml:space="preserve">extractives </w:t>
      </w:r>
      <w:r w:rsidR="00961F0C" w:rsidRPr="002815F4">
        <w:rPr>
          <w:rFonts w:ascii="Calibri" w:hAnsi="Calibri"/>
        </w:rPr>
        <w:t xml:space="preserve">revenue collection and budgeting. </w:t>
      </w:r>
      <w:r w:rsidR="00504C54" w:rsidRPr="002815F4">
        <w:rPr>
          <w:rFonts w:ascii="Calibri" w:hAnsi="Calibri"/>
        </w:rPr>
        <w:t xml:space="preserve">EITI Senegal has highlighted the impact of government agencies’ better understanding of the mining, oil and gas sectors in its impact assessments, noting that the Tax Department (DGI), amongst others, has made plans for broadening the extractives tax base on the basis of more comprehensive information on </w:t>
      </w:r>
      <w:r w:rsidR="008171C2" w:rsidRPr="002815F4">
        <w:rPr>
          <w:rFonts w:ascii="Calibri" w:hAnsi="Calibri"/>
        </w:rPr>
        <w:t xml:space="preserve">extractives </w:t>
      </w:r>
      <w:r w:rsidR="00504C54" w:rsidRPr="002815F4">
        <w:rPr>
          <w:rFonts w:ascii="Calibri" w:hAnsi="Calibri"/>
        </w:rPr>
        <w:t xml:space="preserve">companies’ payments to government provided through Senegal’s EITI reporting </w:t>
      </w:r>
      <w:sdt>
        <w:sdtPr>
          <w:rPr>
            <w:rFonts w:ascii="Calibri" w:hAnsi="Calibri"/>
          </w:rPr>
          <w:id w:val="1124725543"/>
          <w:citation/>
        </w:sdtPr>
        <w:sdtEndPr/>
        <w:sdtContent>
          <w:r w:rsidR="00504C54" w:rsidRPr="002815F4">
            <w:rPr>
              <w:rFonts w:ascii="Calibri" w:hAnsi="Calibri"/>
            </w:rPr>
            <w:fldChar w:fldCharType="begin"/>
          </w:r>
          <w:r w:rsidR="00504C54" w:rsidRPr="002815F4">
            <w:rPr>
              <w:rFonts w:ascii="Calibri" w:hAnsi="Calibri"/>
            </w:rPr>
            <w:instrText xml:space="preserve"> CITATION ITI1726 \l 1033 </w:instrText>
          </w:r>
          <w:r w:rsidR="00504C54" w:rsidRPr="002815F4">
            <w:rPr>
              <w:rFonts w:ascii="Calibri" w:hAnsi="Calibri"/>
            </w:rPr>
            <w:fldChar w:fldCharType="separate"/>
          </w:r>
          <w:r w:rsidR="00504C54" w:rsidRPr="002815F4">
            <w:rPr>
              <w:rFonts w:ascii="Calibri" w:hAnsi="Calibri"/>
              <w:noProof/>
            </w:rPr>
            <w:t>(ITIE Senegal, 2017)</w:t>
          </w:r>
          <w:r w:rsidR="00504C54" w:rsidRPr="002815F4">
            <w:rPr>
              <w:rFonts w:ascii="Calibri" w:hAnsi="Calibri"/>
            </w:rPr>
            <w:fldChar w:fldCharType="end"/>
          </w:r>
        </w:sdtContent>
      </w:sdt>
      <w:r w:rsidR="00504C54" w:rsidRPr="002815F4">
        <w:rPr>
          <w:rFonts w:ascii="Calibri" w:hAnsi="Calibri"/>
        </w:rPr>
        <w:t>.</w:t>
      </w:r>
      <w:r w:rsidR="0079717D" w:rsidRPr="002815F4">
        <w:rPr>
          <w:rFonts w:ascii="Calibri" w:hAnsi="Calibri"/>
        </w:rPr>
        <w:t xml:space="preserve"> The MSG and various government stakeholders have also highlighted the importance of EITI reporting in highlighting that fiscal incentives in the 2003 Mining Code had not had the desired effect in terms of economic and community development, thereby supporting efforts to reform the Mining Code in 2016 </w:t>
      </w:r>
      <w:sdt>
        <w:sdtPr>
          <w:rPr>
            <w:rFonts w:ascii="Calibri" w:hAnsi="Calibri"/>
          </w:rPr>
          <w:id w:val="-1795590612"/>
          <w:citation/>
        </w:sdtPr>
        <w:sdtEndPr/>
        <w:sdtContent>
          <w:r w:rsidR="0079717D" w:rsidRPr="002815F4">
            <w:rPr>
              <w:rFonts w:ascii="Calibri" w:hAnsi="Calibri"/>
            </w:rPr>
            <w:fldChar w:fldCharType="begin"/>
          </w:r>
          <w:r w:rsidR="0079717D" w:rsidRPr="002815F4">
            <w:rPr>
              <w:rFonts w:ascii="Calibri" w:hAnsi="Calibri"/>
            </w:rPr>
            <w:instrText xml:space="preserve"> CITATION ITI1726 \l 1033 </w:instrText>
          </w:r>
          <w:r w:rsidR="0079717D" w:rsidRPr="002815F4">
            <w:rPr>
              <w:rFonts w:ascii="Calibri" w:hAnsi="Calibri"/>
            </w:rPr>
            <w:fldChar w:fldCharType="separate"/>
          </w:r>
          <w:r w:rsidR="0079717D" w:rsidRPr="002815F4">
            <w:rPr>
              <w:rFonts w:ascii="Calibri" w:hAnsi="Calibri"/>
              <w:noProof/>
            </w:rPr>
            <w:t>(ITIE Senegal, 2017)</w:t>
          </w:r>
          <w:r w:rsidR="0079717D" w:rsidRPr="002815F4">
            <w:rPr>
              <w:rFonts w:ascii="Calibri" w:hAnsi="Calibri"/>
            </w:rPr>
            <w:fldChar w:fldCharType="end"/>
          </w:r>
        </w:sdtContent>
      </w:sdt>
      <w:r w:rsidR="0079717D" w:rsidRPr="002815F4">
        <w:rPr>
          <w:rFonts w:ascii="Calibri" w:hAnsi="Calibri"/>
        </w:rPr>
        <w:t>.</w:t>
      </w:r>
    </w:p>
    <w:p w14:paraId="70534357" w14:textId="6481D67D" w:rsidR="0069039D" w:rsidRPr="002815F4" w:rsidRDefault="0069039D" w:rsidP="0069039D">
      <w:pPr>
        <w:rPr>
          <w:rFonts w:ascii="Calibri" w:hAnsi="Calibri"/>
        </w:rPr>
      </w:pPr>
      <w:r w:rsidRPr="002815F4">
        <w:rPr>
          <w:rFonts w:ascii="Calibri" w:hAnsi="Calibri"/>
          <w:i/>
          <w:u w:val="single"/>
        </w:rPr>
        <w:t>Public understanding:</w:t>
      </w:r>
      <w:r w:rsidR="001C2C31" w:rsidRPr="002815F4">
        <w:rPr>
          <w:rFonts w:ascii="Calibri" w:hAnsi="Calibri"/>
          <w:i/>
          <w:u w:val="single"/>
        </w:rPr>
        <w:t xml:space="preserve"> </w:t>
      </w:r>
      <w:r w:rsidR="001C2C31" w:rsidRPr="002815F4">
        <w:t>With information disclosed through Senegal’s EITI Reports widely recognised as credible and robust, there is evidence that public understanding of the management of natural resources has gradually improved since 2013.</w:t>
      </w:r>
      <w:r w:rsidR="00E02537" w:rsidRPr="002815F4">
        <w:t xml:space="preserve"> The MSG’s proactive dissemination and outreach efforts to a broad array of stakeholders, including media and parliamentarians at the national level and local communities at the local level, has had a clear impact on public understanding and oversight of the government’s oversight of the extractive industries. </w:t>
      </w:r>
      <w:r w:rsidR="0058186E" w:rsidRPr="002815F4">
        <w:t>Senegal’s successive annual activities and progress reports have tracked the impact of EITI dissemination and outreach events on public understanding of the extractive industries</w:t>
      </w:r>
      <w:sdt>
        <w:sdtPr>
          <w:id w:val="2075774889"/>
          <w:citation/>
        </w:sdtPr>
        <w:sdtEndPr/>
        <w:sdtContent>
          <w:r w:rsidR="0058186E" w:rsidRPr="002815F4">
            <w:fldChar w:fldCharType="begin"/>
          </w:r>
          <w:r w:rsidR="0058186E" w:rsidRPr="002815F4">
            <w:instrText xml:space="preserve"> CITATION ITI1543 \l 1033 </w:instrText>
          </w:r>
          <w:r w:rsidR="0058186E" w:rsidRPr="002815F4">
            <w:fldChar w:fldCharType="separate"/>
          </w:r>
          <w:r w:rsidR="0058186E" w:rsidRPr="002815F4">
            <w:rPr>
              <w:noProof/>
            </w:rPr>
            <w:t xml:space="preserve"> (ITIE Senegal, 2015)</w:t>
          </w:r>
          <w:r w:rsidR="0058186E" w:rsidRPr="002815F4">
            <w:fldChar w:fldCharType="end"/>
          </w:r>
        </w:sdtContent>
      </w:sdt>
      <w:sdt>
        <w:sdtPr>
          <w:id w:val="1722471868"/>
          <w:citation/>
        </w:sdtPr>
        <w:sdtEndPr/>
        <w:sdtContent>
          <w:r w:rsidR="0058186E" w:rsidRPr="002815F4">
            <w:fldChar w:fldCharType="begin"/>
          </w:r>
          <w:r w:rsidR="0058186E" w:rsidRPr="002815F4">
            <w:instrText xml:space="preserve"> CITATION ITI1625 \l 1033 </w:instrText>
          </w:r>
          <w:r w:rsidR="0058186E" w:rsidRPr="002815F4">
            <w:fldChar w:fldCharType="separate"/>
          </w:r>
          <w:r w:rsidR="0058186E" w:rsidRPr="002815F4">
            <w:rPr>
              <w:noProof/>
            </w:rPr>
            <w:t xml:space="preserve"> (ITIE Senegal, 2016)</w:t>
          </w:r>
          <w:r w:rsidR="0058186E" w:rsidRPr="002815F4">
            <w:fldChar w:fldCharType="end"/>
          </w:r>
        </w:sdtContent>
      </w:sdt>
      <w:sdt>
        <w:sdtPr>
          <w:id w:val="-1057934128"/>
          <w:citation/>
        </w:sdtPr>
        <w:sdtEndPr/>
        <w:sdtContent>
          <w:r w:rsidR="0058186E" w:rsidRPr="002815F4">
            <w:fldChar w:fldCharType="begin"/>
          </w:r>
          <w:r w:rsidR="0058186E" w:rsidRPr="002815F4">
            <w:instrText xml:space="preserve"> CITATION ITI1725 \l 1033 </w:instrText>
          </w:r>
          <w:r w:rsidR="0058186E" w:rsidRPr="002815F4">
            <w:fldChar w:fldCharType="separate"/>
          </w:r>
          <w:r w:rsidR="0058186E" w:rsidRPr="002815F4">
            <w:rPr>
              <w:noProof/>
            </w:rPr>
            <w:t xml:space="preserve"> (ITIE Senegal, 2017)</w:t>
          </w:r>
          <w:r w:rsidR="0058186E" w:rsidRPr="002815F4">
            <w:fldChar w:fldCharType="end"/>
          </w:r>
        </w:sdtContent>
      </w:sdt>
      <w:r w:rsidR="0058186E" w:rsidRPr="002815F4">
        <w:t xml:space="preserve">. </w:t>
      </w:r>
      <w:r w:rsidR="00E02537" w:rsidRPr="002815F4">
        <w:t xml:space="preserve">From the earliest stages of implementation, the MSG and government representatives have explicitly linked EITI implementation to securing local communities’ consent and ensuring extractives companies have a social license to operate </w:t>
      </w:r>
      <w:sdt>
        <w:sdtPr>
          <w:rPr>
            <w:rFonts w:ascii="Calibri" w:hAnsi="Calibri"/>
          </w:rPr>
          <w:id w:val="-1978589505"/>
          <w:citation/>
        </w:sdtPr>
        <w:sdtEndPr/>
        <w:sdtContent>
          <w:r w:rsidR="00E02537" w:rsidRPr="002815F4">
            <w:rPr>
              <w:rFonts w:ascii="Calibri" w:hAnsi="Calibri"/>
            </w:rPr>
            <w:fldChar w:fldCharType="begin"/>
          </w:r>
          <w:r w:rsidR="00E02537" w:rsidRPr="002815F4">
            <w:rPr>
              <w:rFonts w:ascii="Calibri" w:hAnsi="Calibri"/>
            </w:rPr>
            <w:instrText xml:space="preserve"> CITATION Min171 \l 1033 </w:instrText>
          </w:r>
          <w:r w:rsidR="00E02537" w:rsidRPr="002815F4">
            <w:rPr>
              <w:rFonts w:ascii="Calibri" w:hAnsi="Calibri"/>
            </w:rPr>
            <w:fldChar w:fldCharType="separate"/>
          </w:r>
          <w:r w:rsidR="00E02537" w:rsidRPr="002815F4">
            <w:rPr>
              <w:rFonts w:ascii="Calibri" w:hAnsi="Calibri"/>
              <w:noProof/>
            </w:rPr>
            <w:t>(Ministere de l'integration africaine, du NEPAD et de la promotion de la bonne gouvernance, 2017)</w:t>
          </w:r>
          <w:r w:rsidR="00E02537" w:rsidRPr="002815F4">
            <w:rPr>
              <w:rFonts w:ascii="Calibri" w:hAnsi="Calibri"/>
            </w:rPr>
            <w:fldChar w:fldCharType="end"/>
          </w:r>
        </w:sdtContent>
      </w:sdt>
      <w:r w:rsidR="00E02537" w:rsidRPr="002815F4">
        <w:rPr>
          <w:rFonts w:ascii="Calibri" w:hAnsi="Calibri"/>
        </w:rPr>
        <w:t xml:space="preserve">. </w:t>
      </w:r>
      <w:r w:rsidR="0058186E" w:rsidRPr="002815F4">
        <w:rPr>
          <w:rFonts w:ascii="Calibri" w:hAnsi="Calibri"/>
        </w:rPr>
        <w:t xml:space="preserve">Civil society representatives have also highlighted the gaps in oversight identified through EITI reporting as an important step in identifying areas for reform and ensuring the public’s support for tackling gaps in </w:t>
      </w:r>
      <w:r w:rsidR="0058186E" w:rsidRPr="002815F4">
        <w:rPr>
          <w:rFonts w:ascii="Calibri" w:hAnsi="Calibri"/>
        </w:rPr>
        <w:lastRenderedPageBreak/>
        <w:t xml:space="preserve">extractive industry management </w:t>
      </w:r>
      <w:sdt>
        <w:sdtPr>
          <w:rPr>
            <w:rFonts w:ascii="Calibri" w:hAnsi="Calibri"/>
          </w:rPr>
          <w:id w:val="1266195593"/>
          <w:citation/>
        </w:sdtPr>
        <w:sdtEndPr/>
        <w:sdtContent>
          <w:r w:rsidR="0058186E" w:rsidRPr="002815F4">
            <w:rPr>
              <w:rFonts w:ascii="Calibri" w:hAnsi="Calibri"/>
            </w:rPr>
            <w:fldChar w:fldCharType="begin"/>
          </w:r>
          <w:r w:rsidR="0058186E" w:rsidRPr="002815F4">
            <w:rPr>
              <w:rFonts w:ascii="Calibri" w:hAnsi="Calibri"/>
            </w:rPr>
            <w:instrText xml:space="preserve"> CITATION WAT17 \l 1033 </w:instrText>
          </w:r>
          <w:r w:rsidR="0058186E" w:rsidRPr="002815F4">
            <w:rPr>
              <w:rFonts w:ascii="Calibri" w:hAnsi="Calibri"/>
            </w:rPr>
            <w:fldChar w:fldCharType="separate"/>
          </w:r>
          <w:r w:rsidR="0058186E" w:rsidRPr="002815F4">
            <w:rPr>
              <w:rFonts w:ascii="Calibri" w:hAnsi="Calibri"/>
              <w:noProof/>
            </w:rPr>
            <w:t>(WATHI, 2017)</w:t>
          </w:r>
          <w:r w:rsidR="0058186E" w:rsidRPr="002815F4">
            <w:rPr>
              <w:rFonts w:ascii="Calibri" w:hAnsi="Calibri"/>
            </w:rPr>
            <w:fldChar w:fldCharType="end"/>
          </w:r>
        </w:sdtContent>
      </w:sdt>
      <w:r w:rsidR="0058186E" w:rsidRPr="002815F4">
        <w:rPr>
          <w:rFonts w:ascii="Calibri" w:hAnsi="Calibri"/>
        </w:rPr>
        <w:t xml:space="preserve">. </w:t>
      </w:r>
    </w:p>
    <w:p w14:paraId="035175D0" w14:textId="1BBEA21A" w:rsidR="001C2C31" w:rsidRPr="002815F4" w:rsidRDefault="00BB2545" w:rsidP="0069039D">
      <w:r w:rsidRPr="002815F4">
        <w:t>Following up on President Sall’s announcements since 2013 of the government’s policy to publish all extractives contracts and recommendations from the 2013 EITI Report, the MSG actively followed up with government entities like the Mines and Geology Department and the Hydrocarbons Department to publish all contracts in the mining, oil and gas sectors. As a result, the government unilaterally published an initial 23 contracts in mining</w:t>
      </w:r>
      <w:r w:rsidRPr="002815F4">
        <w:rPr>
          <w:vertAlign w:val="superscript"/>
        </w:rPr>
        <w:footnoteReference w:id="103"/>
      </w:r>
      <w:r w:rsidRPr="002815F4">
        <w:t xml:space="preserve"> and 7 in oil and gas</w:t>
      </w:r>
      <w:r w:rsidRPr="002815F4">
        <w:rPr>
          <w:vertAlign w:val="superscript"/>
        </w:rPr>
        <w:footnoteReference w:id="104"/>
      </w:r>
      <w:r w:rsidRPr="002815F4">
        <w:t xml:space="preserve"> on the main government website in October 2016. Working with contract-holders, this expanded to 34 published contracts in mining</w:t>
      </w:r>
      <w:r w:rsidRPr="002815F4">
        <w:rPr>
          <w:vertAlign w:val="superscript"/>
        </w:rPr>
        <w:footnoteReference w:id="105"/>
      </w:r>
      <w:r w:rsidRPr="002815F4">
        <w:t xml:space="preserve"> and 15 in oil and gas</w:t>
      </w:r>
      <w:r w:rsidRPr="002815F4">
        <w:rPr>
          <w:vertAlign w:val="superscript"/>
        </w:rPr>
        <w:footnoteReference w:id="106"/>
      </w:r>
      <w:r w:rsidRPr="002815F4">
        <w:t xml:space="preserve"> on the Senegal EITI website as of 2017 </w:t>
      </w:r>
      <w:sdt>
        <w:sdtPr>
          <w:id w:val="1376587703"/>
          <w:citation/>
        </w:sdtPr>
        <w:sdtEndPr/>
        <w:sdtContent>
          <w:r w:rsidRPr="002815F4">
            <w:fldChar w:fldCharType="begin"/>
          </w:r>
          <w:r w:rsidRPr="002815F4">
            <w:instrText xml:space="preserve"> CITATION Gou161 \l 1033 </w:instrText>
          </w:r>
          <w:r w:rsidRPr="002815F4">
            <w:fldChar w:fldCharType="separate"/>
          </w:r>
          <w:r w:rsidRPr="002815F4">
            <w:rPr>
              <w:noProof/>
            </w:rPr>
            <w:t>(Gouvernement du Senegal, 2016)</w:t>
          </w:r>
          <w:r w:rsidRPr="002815F4">
            <w:fldChar w:fldCharType="end"/>
          </w:r>
        </w:sdtContent>
      </w:sdt>
      <w:r w:rsidRPr="002815F4">
        <w:t xml:space="preserve">. </w:t>
      </w:r>
      <w:r w:rsidR="0058186E" w:rsidRPr="002815F4">
        <w:t>There is however also evidence of additional public demands for information, evident not least from the public controversies surrounding the terms of oil and gas license allocations and transfers to Petro-Tim and Timis Corp. in 201</w:t>
      </w:r>
      <w:r w:rsidR="00B862ED" w:rsidRPr="002815F4">
        <w:t>5-1</w:t>
      </w:r>
      <w:r w:rsidR="0058186E" w:rsidRPr="002815F4">
        <w:t>6</w:t>
      </w:r>
      <w:r w:rsidR="00A94374" w:rsidRPr="002815F4">
        <w:t xml:space="preserve"> </w:t>
      </w:r>
      <w:sdt>
        <w:sdtPr>
          <w:id w:val="989138106"/>
          <w:citation/>
        </w:sdtPr>
        <w:sdtEndPr/>
        <w:sdtContent>
          <w:r w:rsidR="00B862ED" w:rsidRPr="002815F4">
            <w:fldChar w:fldCharType="begin"/>
          </w:r>
          <w:r w:rsidR="00B862ED" w:rsidRPr="002815F4">
            <w:instrText xml:space="preserve"> CITATION Fin14 \l 1033 </w:instrText>
          </w:r>
          <w:r w:rsidR="00B862ED" w:rsidRPr="002815F4">
            <w:fldChar w:fldCharType="separate"/>
          </w:r>
          <w:r w:rsidR="00B862ED" w:rsidRPr="002815F4">
            <w:rPr>
              <w:noProof/>
            </w:rPr>
            <w:t>(Financial Afrik, 2014)</w:t>
          </w:r>
          <w:r w:rsidR="00B862ED" w:rsidRPr="002815F4">
            <w:fldChar w:fldCharType="end"/>
          </w:r>
        </w:sdtContent>
      </w:sdt>
      <w:r w:rsidR="00B862ED" w:rsidRPr="002815F4">
        <w:t xml:space="preserve"> </w:t>
      </w:r>
      <w:sdt>
        <w:sdtPr>
          <w:id w:val="926001826"/>
          <w:citation/>
        </w:sdtPr>
        <w:sdtEndPr/>
        <w:sdtContent>
          <w:r w:rsidR="00B862ED" w:rsidRPr="002815F4">
            <w:fldChar w:fldCharType="begin"/>
          </w:r>
          <w:r w:rsidR="00B862ED" w:rsidRPr="002815F4">
            <w:instrText xml:space="preserve"> CITATION LeM15 \l 1033 </w:instrText>
          </w:r>
          <w:r w:rsidR="00B862ED" w:rsidRPr="002815F4">
            <w:fldChar w:fldCharType="separate"/>
          </w:r>
          <w:r w:rsidR="00B862ED" w:rsidRPr="002815F4">
            <w:rPr>
              <w:noProof/>
            </w:rPr>
            <w:t>(Le Monde, 2015)</w:t>
          </w:r>
          <w:r w:rsidR="00B862ED" w:rsidRPr="002815F4">
            <w:fldChar w:fldCharType="end"/>
          </w:r>
        </w:sdtContent>
      </w:sdt>
      <w:r w:rsidR="00E5337B" w:rsidRPr="002815F4">
        <w:t xml:space="preserve"> </w:t>
      </w:r>
      <w:sdt>
        <w:sdtPr>
          <w:id w:val="122977999"/>
          <w:citation/>
        </w:sdtPr>
        <w:sdtEndPr/>
        <w:sdtContent>
          <w:r w:rsidR="00E5337B" w:rsidRPr="002815F4">
            <w:fldChar w:fldCharType="begin"/>
          </w:r>
          <w:r w:rsidR="00E5337B" w:rsidRPr="002815F4">
            <w:instrText xml:space="preserve"> CITATION Reu161 \l 1033 </w:instrText>
          </w:r>
          <w:r w:rsidR="00E5337B" w:rsidRPr="002815F4">
            <w:fldChar w:fldCharType="separate"/>
          </w:r>
          <w:r w:rsidR="00E5337B" w:rsidRPr="002815F4">
            <w:rPr>
              <w:noProof/>
            </w:rPr>
            <w:t>(Reuters, 2016)</w:t>
          </w:r>
          <w:r w:rsidR="00E5337B" w:rsidRPr="002815F4">
            <w:fldChar w:fldCharType="end"/>
          </w:r>
        </w:sdtContent>
      </w:sdt>
      <w:r w:rsidR="00A94374" w:rsidRPr="002815F4">
        <w:t xml:space="preserve"> </w:t>
      </w:r>
      <w:sdt>
        <w:sdtPr>
          <w:id w:val="1894077580"/>
          <w:citation/>
        </w:sdtPr>
        <w:sdtEndPr/>
        <w:sdtContent>
          <w:r w:rsidR="00A94374" w:rsidRPr="002815F4">
            <w:fldChar w:fldCharType="begin"/>
          </w:r>
          <w:r w:rsidR="00A94374" w:rsidRPr="002815F4">
            <w:instrText xml:space="preserve"> CITATION Afr171 \l 1033 </w:instrText>
          </w:r>
          <w:r w:rsidR="00A94374" w:rsidRPr="002815F4">
            <w:fldChar w:fldCharType="separate"/>
          </w:r>
          <w:r w:rsidR="00A94374" w:rsidRPr="002815F4">
            <w:rPr>
              <w:noProof/>
            </w:rPr>
            <w:t>(Africa Confidential, 2017)</w:t>
          </w:r>
          <w:r w:rsidR="00A94374" w:rsidRPr="002815F4">
            <w:fldChar w:fldCharType="end"/>
          </w:r>
        </w:sdtContent>
      </w:sdt>
      <w:r w:rsidR="0058186E" w:rsidRPr="002815F4">
        <w:t xml:space="preserve">. </w:t>
      </w:r>
      <w:r w:rsidR="00E5337B" w:rsidRPr="002815F4">
        <w:t xml:space="preserve">Several CSO representatives have been particularly </w:t>
      </w:r>
      <w:r w:rsidR="002815F4" w:rsidRPr="002815F4">
        <w:t>critical</w:t>
      </w:r>
      <w:r w:rsidR="00E5337B" w:rsidRPr="002815F4">
        <w:t xml:space="preserve"> of the lack of coverage in the 2014 EITI Report of the actual procedures followed for transferring oil and gas licenses from Timis Corp. and Petro-Tim to Kosmos Energy in 2014 </w:t>
      </w:r>
      <w:sdt>
        <w:sdtPr>
          <w:rPr>
            <w:rFonts w:ascii="Calibri" w:hAnsi="Calibri"/>
          </w:rPr>
          <w:id w:val="-185685620"/>
          <w:citation/>
        </w:sdtPr>
        <w:sdtEndPr/>
        <w:sdtContent>
          <w:r w:rsidR="00E5337B" w:rsidRPr="002815F4">
            <w:rPr>
              <w:rFonts w:ascii="Calibri" w:hAnsi="Calibri"/>
            </w:rPr>
            <w:fldChar w:fldCharType="begin"/>
          </w:r>
          <w:r w:rsidR="00E5337B" w:rsidRPr="002815F4">
            <w:rPr>
              <w:rFonts w:ascii="Calibri" w:hAnsi="Calibri"/>
            </w:rPr>
            <w:instrText xml:space="preserve"> CITATION WAT17 \l 1033 </w:instrText>
          </w:r>
          <w:r w:rsidR="00E5337B" w:rsidRPr="002815F4">
            <w:rPr>
              <w:rFonts w:ascii="Calibri" w:hAnsi="Calibri"/>
            </w:rPr>
            <w:fldChar w:fldCharType="separate"/>
          </w:r>
          <w:r w:rsidR="00E5337B" w:rsidRPr="002815F4">
            <w:rPr>
              <w:rFonts w:ascii="Calibri" w:hAnsi="Calibri"/>
              <w:noProof/>
            </w:rPr>
            <w:t>(WATHI, 2017)</w:t>
          </w:r>
          <w:r w:rsidR="00E5337B" w:rsidRPr="002815F4">
            <w:rPr>
              <w:rFonts w:ascii="Calibri" w:hAnsi="Calibri"/>
            </w:rPr>
            <w:fldChar w:fldCharType="end"/>
          </w:r>
        </w:sdtContent>
      </w:sdt>
      <w:r w:rsidR="00E5337B" w:rsidRPr="002815F4">
        <w:rPr>
          <w:rFonts w:ascii="Calibri" w:hAnsi="Calibri"/>
        </w:rPr>
        <w:t xml:space="preserve">. </w:t>
      </w:r>
      <w:r w:rsidR="005C7843" w:rsidRPr="002815F4">
        <w:rPr>
          <w:rFonts w:ascii="Calibri" w:hAnsi="Calibri"/>
        </w:rPr>
        <w:t xml:space="preserve">Nonetheless, EITI Senegal has highlighted improvements in public understanding of the mining, oil and gas sectors as a key impact of the first three years of implementation </w:t>
      </w:r>
      <w:sdt>
        <w:sdtPr>
          <w:id w:val="1659506825"/>
          <w:citation/>
        </w:sdtPr>
        <w:sdtEndPr/>
        <w:sdtContent>
          <w:r w:rsidR="005C7843" w:rsidRPr="002815F4">
            <w:fldChar w:fldCharType="begin"/>
          </w:r>
          <w:r w:rsidR="005C7843" w:rsidRPr="002815F4">
            <w:instrText xml:space="preserve"> CITATION ITI1726 \l 1033 </w:instrText>
          </w:r>
          <w:r w:rsidR="005C7843" w:rsidRPr="002815F4">
            <w:fldChar w:fldCharType="separate"/>
          </w:r>
          <w:r w:rsidR="005C7843" w:rsidRPr="002815F4">
            <w:rPr>
              <w:noProof/>
            </w:rPr>
            <w:t>(ITIE Senegal, 2017)</w:t>
          </w:r>
          <w:r w:rsidR="005C7843" w:rsidRPr="002815F4">
            <w:fldChar w:fldCharType="end"/>
          </w:r>
        </w:sdtContent>
      </w:sdt>
      <w:r w:rsidR="005C7843" w:rsidRPr="002815F4">
        <w:t xml:space="preserve">. </w:t>
      </w:r>
    </w:p>
    <w:p w14:paraId="77BC77B8" w14:textId="1E301C6D" w:rsidR="0069039D" w:rsidRPr="002815F4" w:rsidRDefault="0069039D" w:rsidP="0069039D">
      <w:r w:rsidRPr="002815F4">
        <w:rPr>
          <w:i/>
          <w:u w:val="single"/>
        </w:rPr>
        <w:t>Strengthening government systems:</w:t>
      </w:r>
      <w:r w:rsidR="00613B9A" w:rsidRPr="002815F4">
        <w:t xml:space="preserve"> </w:t>
      </w:r>
      <w:r w:rsidR="00D0543A" w:rsidRPr="002815F4">
        <w:t xml:space="preserve">Senegal’s EITI Reports have served as a diagnostic tool for government systems related to oversight of the mining, oil and gas sectors as well as broader public finance management. </w:t>
      </w:r>
      <w:r w:rsidR="004056D2" w:rsidRPr="002815F4">
        <w:t>From the publication of Senegal’s first EITI Report in October 2015, the MSG has actively followed up with individual government agencies</w:t>
      </w:r>
      <w:r w:rsidR="00EF69D2" w:rsidRPr="002815F4">
        <w:t xml:space="preserve"> and the Parliament</w:t>
      </w:r>
      <w:r w:rsidR="004056D2" w:rsidRPr="002815F4">
        <w:t xml:space="preserve"> to implement reforms.</w:t>
      </w:r>
      <w:r w:rsidR="00661BB3" w:rsidRPr="002815F4">
        <w:t xml:space="preserve"> Beyond integration of EITI reporting in internal government systems to improve the efficiency of data collection, which the MSG has highlighted as a key early EITI impact </w:t>
      </w:r>
      <w:sdt>
        <w:sdtPr>
          <w:id w:val="1840034151"/>
          <w:citation/>
        </w:sdtPr>
        <w:sdtEndPr/>
        <w:sdtContent>
          <w:r w:rsidR="00661BB3" w:rsidRPr="002815F4">
            <w:fldChar w:fldCharType="begin"/>
          </w:r>
          <w:r w:rsidR="00661BB3" w:rsidRPr="002815F4">
            <w:instrText xml:space="preserve"> CITATION ITI1726 \l 1033 </w:instrText>
          </w:r>
          <w:r w:rsidR="00661BB3" w:rsidRPr="002815F4">
            <w:fldChar w:fldCharType="separate"/>
          </w:r>
          <w:r w:rsidR="00661BB3" w:rsidRPr="002815F4">
            <w:rPr>
              <w:noProof/>
            </w:rPr>
            <w:t>(ITIE Senegal, 2017)</w:t>
          </w:r>
          <w:r w:rsidR="00661BB3" w:rsidRPr="002815F4">
            <w:fldChar w:fldCharType="end"/>
          </w:r>
        </w:sdtContent>
      </w:sdt>
      <w:r w:rsidR="00661BB3" w:rsidRPr="002815F4">
        <w:t xml:space="preserve">, the MSG’s follow-up on EITI recommendations has led to several concrete reforms both in the legal framework governing the mining sector and in broader public finance management. </w:t>
      </w:r>
    </w:p>
    <w:p w14:paraId="31FDFE2F" w14:textId="0519664C" w:rsidR="004056D2" w:rsidRPr="002815F4" w:rsidRDefault="00F16847" w:rsidP="0069039D">
      <w:pPr>
        <w:rPr>
          <w:rFonts w:ascii="Calibri" w:hAnsi="Calibri"/>
        </w:rPr>
      </w:pPr>
      <w:r w:rsidRPr="002815F4">
        <w:rPr>
          <w:rFonts w:ascii="Calibri" w:hAnsi="Calibri"/>
        </w:rPr>
        <w:t>In the mining sector, EITI Senegal has publicly emphasised the EITI’s impact in spurring reforms to the Mining Code in 2016 (through Law 2016-32 of 8 November 2016), which formalised mandatory social expenditures, improved the government’s cadastral management, oversight of compliance with licensing requirements and enshrining the government’s policy on contract disclosure</w:t>
      </w:r>
      <w:r w:rsidR="00BB2545" w:rsidRPr="002815F4">
        <w:rPr>
          <w:rFonts w:ascii="Calibri" w:hAnsi="Calibri"/>
        </w:rPr>
        <w:t xml:space="preserve"> </w:t>
      </w:r>
      <w:sdt>
        <w:sdtPr>
          <w:rPr>
            <w:rFonts w:ascii="Calibri" w:hAnsi="Calibri"/>
            <w:bCs/>
          </w:rPr>
          <w:id w:val="1424845956"/>
          <w:citation/>
        </w:sdtPr>
        <w:sdtEndPr/>
        <w:sdtContent>
          <w:r w:rsidR="00BB2545" w:rsidRPr="002815F4">
            <w:rPr>
              <w:rFonts w:ascii="Calibri" w:hAnsi="Calibri"/>
              <w:bCs/>
            </w:rPr>
            <w:fldChar w:fldCharType="begin"/>
          </w:r>
          <w:r w:rsidR="00BB2545" w:rsidRPr="002815F4">
            <w:rPr>
              <w:rFonts w:ascii="Calibri" w:hAnsi="Calibri"/>
              <w:bCs/>
            </w:rPr>
            <w:instrText xml:space="preserve"> CITATION ITI1645 \l 1033 </w:instrText>
          </w:r>
          <w:r w:rsidR="00BB2545" w:rsidRPr="002815F4">
            <w:rPr>
              <w:rFonts w:ascii="Calibri" w:hAnsi="Calibri"/>
              <w:bCs/>
            </w:rPr>
            <w:fldChar w:fldCharType="separate"/>
          </w:r>
          <w:r w:rsidR="00BB2545" w:rsidRPr="002815F4">
            <w:rPr>
              <w:rFonts w:ascii="Calibri" w:hAnsi="Calibri"/>
              <w:noProof/>
            </w:rPr>
            <w:t>(ITIE Senegal, 2016)</w:t>
          </w:r>
          <w:r w:rsidR="00BB2545" w:rsidRPr="002815F4">
            <w:rPr>
              <w:rFonts w:ascii="Calibri" w:hAnsi="Calibri"/>
              <w:bCs/>
            </w:rPr>
            <w:fldChar w:fldCharType="end"/>
          </w:r>
        </w:sdtContent>
      </w:sdt>
      <w:r w:rsidRPr="002815F4">
        <w:rPr>
          <w:rFonts w:ascii="Calibri" w:hAnsi="Calibri"/>
        </w:rPr>
        <w:t xml:space="preserve"> </w:t>
      </w:r>
      <w:sdt>
        <w:sdtPr>
          <w:rPr>
            <w:rFonts w:ascii="Calibri" w:hAnsi="Calibri"/>
          </w:rPr>
          <w:id w:val="-1585529147"/>
          <w:citation/>
        </w:sdtPr>
        <w:sdtEndPr/>
        <w:sdtContent>
          <w:r w:rsidRPr="002815F4">
            <w:rPr>
              <w:rFonts w:ascii="Calibri" w:hAnsi="Calibri"/>
            </w:rPr>
            <w:fldChar w:fldCharType="begin"/>
          </w:r>
          <w:r w:rsidRPr="002815F4">
            <w:rPr>
              <w:rFonts w:ascii="Calibri" w:hAnsi="Calibri"/>
            </w:rPr>
            <w:instrText xml:space="preserve"> CITATION ITI1726 \l 1033 </w:instrText>
          </w:r>
          <w:r w:rsidRPr="002815F4">
            <w:rPr>
              <w:rFonts w:ascii="Calibri" w:hAnsi="Calibri"/>
            </w:rPr>
            <w:fldChar w:fldCharType="separate"/>
          </w:r>
          <w:r w:rsidRPr="002815F4">
            <w:rPr>
              <w:rFonts w:ascii="Calibri" w:hAnsi="Calibri"/>
              <w:noProof/>
            </w:rPr>
            <w:t>(ITIE Senegal, 2017)</w:t>
          </w:r>
          <w:r w:rsidRPr="002815F4">
            <w:rPr>
              <w:rFonts w:ascii="Calibri" w:hAnsi="Calibri"/>
            </w:rPr>
            <w:fldChar w:fldCharType="end"/>
          </w:r>
        </w:sdtContent>
      </w:sdt>
      <w:r w:rsidRPr="002815F4">
        <w:rPr>
          <w:rFonts w:ascii="Calibri" w:hAnsi="Calibri"/>
        </w:rPr>
        <w:t xml:space="preserve">. </w:t>
      </w:r>
      <w:r w:rsidR="0001561F" w:rsidRPr="002815F4">
        <w:rPr>
          <w:rFonts w:ascii="Calibri" w:hAnsi="Calibri"/>
        </w:rPr>
        <w:t xml:space="preserve">Building on the findings of the 2013 EITI Report, the government also issued Decree 2015-1879 on 16 December 2015 setting clear mechanisms for the subnational transfer of the </w:t>
      </w:r>
      <w:r w:rsidR="00777430" w:rsidRPr="002815F4">
        <w:rPr>
          <w:rFonts w:ascii="Calibri" w:hAnsi="Calibri"/>
        </w:rPr>
        <w:t xml:space="preserve">Equalisation and Local Community Support Fund, funded by mining revenues </w:t>
      </w:r>
      <w:sdt>
        <w:sdtPr>
          <w:rPr>
            <w:rFonts w:ascii="Calibri" w:hAnsi="Calibri"/>
          </w:rPr>
          <w:id w:val="-1692370485"/>
          <w:citation/>
        </w:sdtPr>
        <w:sdtEndPr/>
        <w:sdtContent>
          <w:r w:rsidR="00777430" w:rsidRPr="002815F4">
            <w:rPr>
              <w:rFonts w:ascii="Calibri" w:hAnsi="Calibri"/>
            </w:rPr>
            <w:fldChar w:fldCharType="begin"/>
          </w:r>
          <w:r w:rsidR="00777430" w:rsidRPr="002815F4">
            <w:rPr>
              <w:rFonts w:ascii="Calibri" w:hAnsi="Calibri"/>
            </w:rPr>
            <w:instrText xml:space="preserve"> CITATION ITI1521 \l 1033 </w:instrText>
          </w:r>
          <w:r w:rsidR="00777430" w:rsidRPr="002815F4">
            <w:rPr>
              <w:rFonts w:ascii="Calibri" w:hAnsi="Calibri"/>
            </w:rPr>
            <w:fldChar w:fldCharType="separate"/>
          </w:r>
          <w:r w:rsidR="00777430" w:rsidRPr="002815F4">
            <w:rPr>
              <w:rFonts w:ascii="Calibri" w:hAnsi="Calibri"/>
              <w:noProof/>
            </w:rPr>
            <w:t>(ITIE Senegal, 2015)</w:t>
          </w:r>
          <w:r w:rsidR="00777430" w:rsidRPr="002815F4">
            <w:rPr>
              <w:rFonts w:ascii="Calibri" w:hAnsi="Calibri"/>
            </w:rPr>
            <w:fldChar w:fldCharType="end"/>
          </w:r>
        </w:sdtContent>
      </w:sdt>
      <w:r w:rsidR="00777430" w:rsidRPr="002815F4">
        <w:rPr>
          <w:rFonts w:ascii="Calibri" w:hAnsi="Calibri"/>
        </w:rPr>
        <w:t xml:space="preserve"> </w:t>
      </w:r>
      <w:sdt>
        <w:sdtPr>
          <w:rPr>
            <w:rFonts w:ascii="Calibri" w:hAnsi="Calibri"/>
          </w:rPr>
          <w:id w:val="-546457258"/>
          <w:citation/>
        </w:sdtPr>
        <w:sdtEndPr/>
        <w:sdtContent>
          <w:r w:rsidR="00777430" w:rsidRPr="002815F4">
            <w:rPr>
              <w:rFonts w:ascii="Calibri" w:hAnsi="Calibri"/>
            </w:rPr>
            <w:fldChar w:fldCharType="begin"/>
          </w:r>
          <w:r w:rsidR="00777430" w:rsidRPr="002815F4">
            <w:rPr>
              <w:rFonts w:ascii="Calibri" w:hAnsi="Calibri"/>
            </w:rPr>
            <w:instrText xml:space="preserve"> CITATION ITI1726 \l 1033 </w:instrText>
          </w:r>
          <w:r w:rsidR="00777430" w:rsidRPr="002815F4">
            <w:rPr>
              <w:rFonts w:ascii="Calibri" w:hAnsi="Calibri"/>
            </w:rPr>
            <w:fldChar w:fldCharType="separate"/>
          </w:r>
          <w:r w:rsidR="00777430" w:rsidRPr="002815F4">
            <w:rPr>
              <w:rFonts w:ascii="Calibri" w:hAnsi="Calibri"/>
              <w:noProof/>
            </w:rPr>
            <w:t>(ITIE Senegal, 2017)</w:t>
          </w:r>
          <w:r w:rsidR="00777430" w:rsidRPr="002815F4">
            <w:rPr>
              <w:rFonts w:ascii="Calibri" w:hAnsi="Calibri"/>
            </w:rPr>
            <w:fldChar w:fldCharType="end"/>
          </w:r>
        </w:sdtContent>
      </w:sdt>
      <w:r w:rsidR="00777430" w:rsidRPr="002815F4">
        <w:rPr>
          <w:rFonts w:ascii="Calibri" w:hAnsi="Calibri"/>
        </w:rPr>
        <w:t>.</w:t>
      </w:r>
      <w:r w:rsidR="00161918" w:rsidRPr="002815F4">
        <w:rPr>
          <w:rFonts w:ascii="Calibri" w:hAnsi="Calibri"/>
        </w:rPr>
        <w:t xml:space="preserve"> </w:t>
      </w:r>
      <w:r w:rsidR="009A47C5" w:rsidRPr="002815F4">
        <w:t xml:space="preserve">The MSG expects the supplementary 2017 national budget in the summer of 2017 to set the 2017 budgeted subnational transfers in order to clear arrears in subnational transfers up to 2015 </w:t>
      </w:r>
      <w:sdt>
        <w:sdtPr>
          <w:id w:val="-1675568844"/>
          <w:citation/>
        </w:sdtPr>
        <w:sdtEndPr/>
        <w:sdtContent>
          <w:r w:rsidR="009A47C5" w:rsidRPr="002815F4">
            <w:fldChar w:fldCharType="begin"/>
          </w:r>
          <w:r w:rsidR="009A47C5" w:rsidRPr="002815F4">
            <w:instrText xml:space="preserve"> CITATION ITI1727 \l 1033 </w:instrText>
          </w:r>
          <w:r w:rsidR="009A47C5" w:rsidRPr="002815F4">
            <w:fldChar w:fldCharType="separate"/>
          </w:r>
          <w:r w:rsidR="009A47C5" w:rsidRPr="002815F4">
            <w:rPr>
              <w:noProof/>
            </w:rPr>
            <w:t>(ITIE Senegal, 2017)</w:t>
          </w:r>
          <w:r w:rsidR="009A47C5" w:rsidRPr="002815F4">
            <w:fldChar w:fldCharType="end"/>
          </w:r>
        </w:sdtContent>
      </w:sdt>
      <w:r w:rsidR="009A47C5" w:rsidRPr="002815F4">
        <w:t xml:space="preserve">. The MSG has also been working with the Ministry of Finance to develop an online reporting tool for monitoring subnational transfers. </w:t>
      </w:r>
      <w:r w:rsidR="00161918" w:rsidRPr="002815F4">
        <w:rPr>
          <w:rFonts w:ascii="Calibri" w:hAnsi="Calibri"/>
        </w:rPr>
        <w:t xml:space="preserve">At the operational level, the Ministry of </w:t>
      </w:r>
      <w:r w:rsidR="00AE4262" w:rsidRPr="002815F4">
        <w:rPr>
          <w:rFonts w:ascii="Calibri" w:hAnsi="Calibri"/>
        </w:rPr>
        <w:t xml:space="preserve">Industry and Mines established two new departments in 2015 – the Department of Mining Operations Oversight and the Department of Mining Prospection and Promotion – and recruited new engineers to improve the coherence of the Ministry’s oversight functions and ensure a comprehensive oversight of mining operations in Senegal </w:t>
      </w:r>
      <w:sdt>
        <w:sdtPr>
          <w:rPr>
            <w:rFonts w:ascii="Calibri" w:hAnsi="Calibri"/>
          </w:rPr>
          <w:id w:val="-47229961"/>
          <w:citation/>
        </w:sdtPr>
        <w:sdtEndPr/>
        <w:sdtContent>
          <w:r w:rsidR="00AE4262" w:rsidRPr="002815F4">
            <w:rPr>
              <w:rFonts w:ascii="Calibri" w:hAnsi="Calibri"/>
            </w:rPr>
            <w:fldChar w:fldCharType="begin"/>
          </w:r>
          <w:r w:rsidR="00AE4262" w:rsidRPr="002815F4">
            <w:rPr>
              <w:rFonts w:ascii="Calibri" w:hAnsi="Calibri"/>
            </w:rPr>
            <w:instrText xml:space="preserve"> CITATION ITI1726 \l 1033 </w:instrText>
          </w:r>
          <w:r w:rsidR="00AE4262" w:rsidRPr="002815F4">
            <w:rPr>
              <w:rFonts w:ascii="Calibri" w:hAnsi="Calibri"/>
            </w:rPr>
            <w:fldChar w:fldCharType="separate"/>
          </w:r>
          <w:r w:rsidR="00AE4262" w:rsidRPr="002815F4">
            <w:rPr>
              <w:rFonts w:ascii="Calibri" w:hAnsi="Calibri"/>
              <w:noProof/>
            </w:rPr>
            <w:t>(ITIE Senegal, 2017)</w:t>
          </w:r>
          <w:r w:rsidR="00AE4262" w:rsidRPr="002815F4">
            <w:rPr>
              <w:rFonts w:ascii="Calibri" w:hAnsi="Calibri"/>
            </w:rPr>
            <w:fldChar w:fldCharType="end"/>
          </w:r>
        </w:sdtContent>
      </w:sdt>
      <w:r w:rsidR="00AE4262" w:rsidRPr="002815F4">
        <w:rPr>
          <w:rFonts w:ascii="Calibri" w:hAnsi="Calibri"/>
        </w:rPr>
        <w:t xml:space="preserve">. </w:t>
      </w:r>
    </w:p>
    <w:p w14:paraId="0F21942F" w14:textId="7F1F101A" w:rsidR="00D5736A" w:rsidRPr="002815F4" w:rsidRDefault="00A64300" w:rsidP="00EE6FD1">
      <w:pPr>
        <w:rPr>
          <w:rFonts w:ascii="Calibri" w:hAnsi="Calibri"/>
        </w:rPr>
      </w:pPr>
      <w:r w:rsidRPr="002815F4">
        <w:rPr>
          <w:rFonts w:ascii="Calibri" w:hAnsi="Calibri"/>
        </w:rPr>
        <w:t xml:space="preserve">In the oil and gas sector, </w:t>
      </w:r>
      <w:r w:rsidR="00831E1D" w:rsidRPr="002815F4">
        <w:rPr>
          <w:rFonts w:ascii="Calibri" w:hAnsi="Calibri"/>
        </w:rPr>
        <w:t xml:space="preserve">the two key reforms have consisted of the launch of efforts to revise the 1998 Petroleum Code, expected to be presented to parliament in 2017, and the establishment of a high-level committee to steer reforms in the government’s oil and gas policy and oversight. </w:t>
      </w:r>
      <w:r w:rsidR="001121DD" w:rsidRPr="002815F4">
        <w:rPr>
          <w:rFonts w:ascii="Calibri" w:hAnsi="Calibri"/>
        </w:rPr>
        <w:t>The</w:t>
      </w:r>
      <w:r w:rsidR="00831E1D" w:rsidRPr="002815F4">
        <w:rPr>
          <w:rFonts w:ascii="Calibri" w:hAnsi="Calibri"/>
        </w:rPr>
        <w:t xml:space="preserve"> creation of the COS-PETROGAZ (</w:t>
      </w:r>
      <w:r w:rsidR="003478CA" w:rsidRPr="002815F4">
        <w:rPr>
          <w:rFonts w:ascii="Calibri" w:hAnsi="Calibri"/>
        </w:rPr>
        <w:t>Strategic Orientation Committee for Oil and Gas</w:t>
      </w:r>
      <w:r w:rsidR="00831E1D" w:rsidRPr="002815F4">
        <w:rPr>
          <w:rFonts w:ascii="Calibri" w:hAnsi="Calibri"/>
        </w:rPr>
        <w:t>)</w:t>
      </w:r>
      <w:r w:rsidR="00EA52AE" w:rsidRPr="002815F4">
        <w:rPr>
          <w:rFonts w:ascii="Calibri" w:hAnsi="Calibri"/>
        </w:rPr>
        <w:t xml:space="preserve"> in October 2016 </w:t>
      </w:r>
      <w:r w:rsidR="00A33A2F" w:rsidRPr="002815F4">
        <w:rPr>
          <w:rFonts w:ascii="Calibri" w:hAnsi="Calibri"/>
        </w:rPr>
        <w:t xml:space="preserve">established a </w:t>
      </w:r>
      <w:r w:rsidR="001121DD" w:rsidRPr="002815F4">
        <w:rPr>
          <w:rFonts w:ascii="Calibri" w:hAnsi="Calibri"/>
        </w:rPr>
        <w:t xml:space="preserve">high-level committee </w:t>
      </w:r>
      <w:r w:rsidR="0053676B" w:rsidRPr="002815F4">
        <w:rPr>
          <w:rFonts w:ascii="Calibri" w:hAnsi="Calibri"/>
        </w:rPr>
        <w:t>to advis</w:t>
      </w:r>
      <w:r w:rsidR="001121DD" w:rsidRPr="002815F4">
        <w:rPr>
          <w:rFonts w:ascii="Calibri" w:hAnsi="Calibri"/>
        </w:rPr>
        <w:t xml:space="preserve">e President Sall on </w:t>
      </w:r>
      <w:r w:rsidR="003968F0" w:rsidRPr="002815F4">
        <w:rPr>
          <w:rFonts w:ascii="Calibri" w:hAnsi="Calibri"/>
        </w:rPr>
        <w:t xml:space="preserve">developing Senegal’s oil and gas policy and steering governance and oversight reforms for the sector </w:t>
      </w:r>
      <w:sdt>
        <w:sdtPr>
          <w:rPr>
            <w:rFonts w:ascii="Calibri" w:hAnsi="Calibri"/>
          </w:rPr>
          <w:id w:val="-179431651"/>
          <w:citation/>
        </w:sdtPr>
        <w:sdtEndPr/>
        <w:sdtContent>
          <w:r w:rsidR="003968F0" w:rsidRPr="002815F4">
            <w:rPr>
              <w:rFonts w:ascii="Calibri" w:hAnsi="Calibri"/>
            </w:rPr>
            <w:fldChar w:fldCharType="begin"/>
          </w:r>
          <w:r w:rsidR="003968F0" w:rsidRPr="002815F4">
            <w:rPr>
              <w:rFonts w:ascii="Calibri" w:hAnsi="Calibri"/>
            </w:rPr>
            <w:instrText xml:space="preserve"> CITATION ITI1626 \l 1033 </w:instrText>
          </w:r>
          <w:r w:rsidR="003968F0" w:rsidRPr="002815F4">
            <w:rPr>
              <w:rFonts w:ascii="Calibri" w:hAnsi="Calibri"/>
            </w:rPr>
            <w:fldChar w:fldCharType="separate"/>
          </w:r>
          <w:r w:rsidR="003968F0" w:rsidRPr="002815F4">
            <w:rPr>
              <w:rFonts w:ascii="Calibri" w:hAnsi="Calibri"/>
              <w:noProof/>
            </w:rPr>
            <w:t>(ITIE Senegal, 2016)</w:t>
          </w:r>
          <w:r w:rsidR="003968F0" w:rsidRPr="002815F4">
            <w:rPr>
              <w:rFonts w:ascii="Calibri" w:hAnsi="Calibri"/>
            </w:rPr>
            <w:fldChar w:fldCharType="end"/>
          </w:r>
        </w:sdtContent>
      </w:sdt>
      <w:r w:rsidR="003968F0" w:rsidRPr="002815F4">
        <w:rPr>
          <w:rFonts w:ascii="Calibri" w:hAnsi="Calibri"/>
        </w:rPr>
        <w:t xml:space="preserve"> </w:t>
      </w:r>
      <w:sdt>
        <w:sdtPr>
          <w:rPr>
            <w:rFonts w:ascii="Calibri" w:hAnsi="Calibri"/>
          </w:rPr>
          <w:id w:val="503327389"/>
          <w:citation/>
        </w:sdtPr>
        <w:sdtEndPr/>
        <w:sdtContent>
          <w:r w:rsidR="003968F0" w:rsidRPr="002815F4">
            <w:rPr>
              <w:rFonts w:ascii="Calibri" w:hAnsi="Calibri"/>
            </w:rPr>
            <w:fldChar w:fldCharType="begin"/>
          </w:r>
          <w:r w:rsidR="003968F0" w:rsidRPr="002815F4">
            <w:rPr>
              <w:rFonts w:ascii="Calibri" w:hAnsi="Calibri"/>
            </w:rPr>
            <w:instrText xml:space="preserve"> CITATION ITI1726 \l 1033 </w:instrText>
          </w:r>
          <w:r w:rsidR="003968F0" w:rsidRPr="002815F4">
            <w:rPr>
              <w:rFonts w:ascii="Calibri" w:hAnsi="Calibri"/>
            </w:rPr>
            <w:fldChar w:fldCharType="separate"/>
          </w:r>
          <w:r w:rsidR="003968F0" w:rsidRPr="002815F4">
            <w:rPr>
              <w:rFonts w:ascii="Calibri" w:hAnsi="Calibri"/>
              <w:noProof/>
            </w:rPr>
            <w:t>(ITIE Senegal, 2017)</w:t>
          </w:r>
          <w:r w:rsidR="003968F0" w:rsidRPr="002815F4">
            <w:rPr>
              <w:rFonts w:ascii="Calibri" w:hAnsi="Calibri"/>
            </w:rPr>
            <w:fldChar w:fldCharType="end"/>
          </w:r>
        </w:sdtContent>
      </w:sdt>
      <w:r w:rsidR="003968F0" w:rsidRPr="002815F4">
        <w:rPr>
          <w:rFonts w:ascii="Calibri" w:hAnsi="Calibri"/>
        </w:rPr>
        <w:t>. In addition to new recruitments at the Ministry of Energy and Renewable Energy Development, the government has also launched reforms to establish an oil and gas cadastral system</w:t>
      </w:r>
      <w:r w:rsidR="007A6AD9" w:rsidRPr="002815F4">
        <w:rPr>
          <w:rFonts w:ascii="Calibri" w:hAnsi="Calibri"/>
        </w:rPr>
        <w:t xml:space="preserve"> </w:t>
      </w:r>
      <w:sdt>
        <w:sdtPr>
          <w:id w:val="354153958"/>
          <w:citation/>
        </w:sdtPr>
        <w:sdtEndPr/>
        <w:sdtContent>
          <w:r w:rsidR="007A6AD9" w:rsidRPr="002815F4">
            <w:fldChar w:fldCharType="begin"/>
          </w:r>
          <w:r w:rsidR="007A6AD9" w:rsidRPr="002815F4">
            <w:instrText xml:space="preserve"> CITATION ITI1726 \l 1033 </w:instrText>
          </w:r>
          <w:r w:rsidR="007A6AD9" w:rsidRPr="002815F4">
            <w:fldChar w:fldCharType="separate"/>
          </w:r>
          <w:r w:rsidR="007A6AD9" w:rsidRPr="002815F4">
            <w:rPr>
              <w:noProof/>
            </w:rPr>
            <w:t>(ITIE Senegal, 2017)</w:t>
          </w:r>
          <w:r w:rsidR="007A6AD9" w:rsidRPr="002815F4">
            <w:fldChar w:fldCharType="end"/>
          </w:r>
        </w:sdtContent>
      </w:sdt>
      <w:r w:rsidR="007A6AD9" w:rsidRPr="002815F4">
        <w:t xml:space="preserve">. </w:t>
      </w:r>
      <w:r w:rsidR="00BB2545" w:rsidRPr="002815F4">
        <w:t xml:space="preserve">Following up on a recommendation from the 2014 EITI Report, the MSG is participating in the COS-PETROGAZ committee meetings to provide legislative proposals to President Sall on operationalising the sovereign wealth fund, the FONSIS, drawing on international best practice </w:t>
      </w:r>
      <w:sdt>
        <w:sdtPr>
          <w:id w:val="-1717964444"/>
          <w:citation/>
        </w:sdtPr>
        <w:sdtEndPr/>
        <w:sdtContent>
          <w:r w:rsidR="00BB2545" w:rsidRPr="002815F4">
            <w:fldChar w:fldCharType="begin"/>
          </w:r>
          <w:r w:rsidR="00BB2545" w:rsidRPr="002815F4">
            <w:instrText xml:space="preserve"> CITATION ITI175 \l 1033 </w:instrText>
          </w:r>
          <w:r w:rsidR="00BB2545" w:rsidRPr="002815F4">
            <w:fldChar w:fldCharType="separate"/>
          </w:r>
          <w:r w:rsidR="00BB2545" w:rsidRPr="002815F4">
            <w:rPr>
              <w:noProof/>
            </w:rPr>
            <w:t>(ITIE Senegal, 2017)</w:t>
          </w:r>
          <w:r w:rsidR="00BB2545" w:rsidRPr="002815F4">
            <w:fldChar w:fldCharType="end"/>
          </w:r>
        </w:sdtContent>
      </w:sdt>
      <w:r w:rsidR="00BB2545" w:rsidRPr="002815F4">
        <w:t>.</w:t>
      </w:r>
    </w:p>
    <w:p w14:paraId="2F00C465" w14:textId="6C81A771" w:rsidR="00BB2545" w:rsidRPr="002815F4" w:rsidRDefault="00BB2545">
      <w:r w:rsidRPr="002815F4">
        <w:t xml:space="preserve">At the level of public finance management, Senegal’s EITI implementation has also spurred several reforms, most notably in the </w:t>
      </w:r>
      <w:r w:rsidR="008171C2" w:rsidRPr="002815F4">
        <w:t>Cour des Comptes</w:t>
      </w:r>
      <w:r w:rsidRPr="002815F4">
        <w:t>’ oversight of extractives revenues</w:t>
      </w:r>
      <w:r w:rsidR="009A47C5" w:rsidRPr="002815F4">
        <w:t xml:space="preserve"> as part of the government’s EITI reporting </w:t>
      </w:r>
      <w:sdt>
        <w:sdtPr>
          <w:id w:val="-75987171"/>
          <w:citation/>
        </w:sdtPr>
        <w:sdtEndPr/>
        <w:sdtContent>
          <w:r w:rsidR="009A47C5" w:rsidRPr="002815F4">
            <w:fldChar w:fldCharType="begin"/>
          </w:r>
          <w:r w:rsidR="009A47C5" w:rsidRPr="002815F4">
            <w:instrText xml:space="preserve"> CITATION Cou16 \l 1033 </w:instrText>
          </w:r>
          <w:r w:rsidR="009A47C5" w:rsidRPr="002815F4">
            <w:fldChar w:fldCharType="separate"/>
          </w:r>
          <w:r w:rsidR="009A47C5" w:rsidRPr="002815F4">
            <w:rPr>
              <w:noProof/>
            </w:rPr>
            <w:t>(Cour des Comptes, 2016)</w:t>
          </w:r>
          <w:r w:rsidR="009A47C5" w:rsidRPr="002815F4">
            <w:fldChar w:fldCharType="end"/>
          </w:r>
        </w:sdtContent>
      </w:sdt>
      <w:r w:rsidRPr="002815F4">
        <w:t xml:space="preserve">. </w:t>
      </w:r>
      <w:r w:rsidR="009A47C5" w:rsidRPr="002815F4">
        <w:t xml:space="preserve">Following up on recommendations from the 2013 and 2014 EITI Reports, the MSG has also held joint meetings in February 2017 with the Treasury and DGD to start work on integrating the two agencies’ databases on customs levies, which is ongoing </w:t>
      </w:r>
      <w:sdt>
        <w:sdtPr>
          <w:id w:val="248400978"/>
          <w:citation/>
        </w:sdtPr>
        <w:sdtEndPr/>
        <w:sdtContent>
          <w:r w:rsidR="009A47C5" w:rsidRPr="002815F4">
            <w:fldChar w:fldCharType="begin"/>
          </w:r>
          <w:r w:rsidR="009A47C5" w:rsidRPr="002815F4">
            <w:instrText xml:space="preserve"> CITATION ITI1727 \l 1033 </w:instrText>
          </w:r>
          <w:r w:rsidR="009A47C5" w:rsidRPr="002815F4">
            <w:fldChar w:fldCharType="separate"/>
          </w:r>
          <w:r w:rsidR="009A47C5" w:rsidRPr="002815F4">
            <w:rPr>
              <w:noProof/>
            </w:rPr>
            <w:t>(ITIE Senegal, 2017)</w:t>
          </w:r>
          <w:r w:rsidR="009A47C5" w:rsidRPr="002815F4">
            <w:fldChar w:fldCharType="end"/>
          </w:r>
        </w:sdtContent>
      </w:sdt>
      <w:r w:rsidR="009A47C5" w:rsidRPr="002815F4">
        <w:t xml:space="preserve">. A consistent recommendation of EITI Reports, the MSG has also followed up on harmonising the national revenue classification system to international standards, and disaggregating extractives-specific GFS classification, linking to ongoing efforts to implement Senegal’s 2009 roll-out of the UEMOA directive on budget revenue classifications, which is in line with the IMF’s GFS classification system </w:t>
      </w:r>
      <w:sdt>
        <w:sdtPr>
          <w:id w:val="1347060753"/>
          <w:citation/>
        </w:sdtPr>
        <w:sdtEndPr/>
        <w:sdtContent>
          <w:r w:rsidR="009A47C5" w:rsidRPr="002815F4">
            <w:fldChar w:fldCharType="begin"/>
          </w:r>
          <w:r w:rsidR="009A47C5" w:rsidRPr="002815F4">
            <w:instrText xml:space="preserve"> CITATION ITI175 \l 1033 </w:instrText>
          </w:r>
          <w:r w:rsidR="009A47C5" w:rsidRPr="002815F4">
            <w:fldChar w:fldCharType="separate"/>
          </w:r>
          <w:r w:rsidR="009A47C5" w:rsidRPr="002815F4">
            <w:rPr>
              <w:noProof/>
            </w:rPr>
            <w:t>(ITIE Senegal, 2017)</w:t>
          </w:r>
          <w:r w:rsidR="009A47C5" w:rsidRPr="002815F4">
            <w:fldChar w:fldCharType="end"/>
          </w:r>
        </w:sdtContent>
      </w:sdt>
      <w:r w:rsidR="009A47C5" w:rsidRPr="002815F4">
        <w:t xml:space="preserve">. Finally, following up on both EITI Reports’ recommendation to establish an online database on the extractive industries, the MSG has submitted a proposal to IT contractor Development Gateway, with support from OSIWA, to develop an online Open Data Portal for extractives data by December 2017 </w:t>
      </w:r>
      <w:sdt>
        <w:sdtPr>
          <w:id w:val="1431237447"/>
          <w:citation/>
        </w:sdtPr>
        <w:sdtEndPr/>
        <w:sdtContent>
          <w:r w:rsidR="009A47C5" w:rsidRPr="002815F4">
            <w:fldChar w:fldCharType="begin"/>
          </w:r>
          <w:r w:rsidR="009A47C5" w:rsidRPr="002815F4">
            <w:instrText xml:space="preserve"> CITATION ITI1727 \l 1033 </w:instrText>
          </w:r>
          <w:r w:rsidR="009A47C5" w:rsidRPr="002815F4">
            <w:fldChar w:fldCharType="separate"/>
          </w:r>
          <w:r w:rsidR="009A47C5" w:rsidRPr="002815F4">
            <w:rPr>
              <w:noProof/>
            </w:rPr>
            <w:t>(ITIE Senegal, 2017)</w:t>
          </w:r>
          <w:r w:rsidR="009A47C5" w:rsidRPr="002815F4">
            <w:fldChar w:fldCharType="end"/>
          </w:r>
        </w:sdtContent>
      </w:sdt>
      <w:r w:rsidR="009A47C5" w:rsidRPr="002815F4">
        <w:t xml:space="preserve"> </w:t>
      </w:r>
      <w:sdt>
        <w:sdtPr>
          <w:id w:val="1404027055"/>
          <w:citation/>
        </w:sdtPr>
        <w:sdtEndPr/>
        <w:sdtContent>
          <w:r w:rsidR="009A47C5" w:rsidRPr="002815F4">
            <w:fldChar w:fldCharType="begin"/>
          </w:r>
          <w:r w:rsidR="009A47C5" w:rsidRPr="002815F4">
            <w:instrText xml:space="preserve"> CITATION Dev17 \l 1033 </w:instrText>
          </w:r>
          <w:r w:rsidR="009A47C5" w:rsidRPr="002815F4">
            <w:fldChar w:fldCharType="separate"/>
          </w:r>
          <w:r w:rsidR="009A47C5" w:rsidRPr="002815F4">
            <w:rPr>
              <w:noProof/>
            </w:rPr>
            <w:t>(Development Gateway, 2017)</w:t>
          </w:r>
          <w:r w:rsidR="009A47C5" w:rsidRPr="002815F4">
            <w:fldChar w:fldCharType="end"/>
          </w:r>
        </w:sdtContent>
      </w:sdt>
      <w:r w:rsidR="009A47C5" w:rsidRPr="002815F4">
        <w:t>.</w:t>
      </w:r>
      <w:r w:rsidR="00A305D2">
        <w:t xml:space="preserve">  This would be a major step forward in moving from EITI Reports to more systematic disclosures in line with EITI ‘mainstreaming’.  </w:t>
      </w:r>
    </w:p>
    <w:p w14:paraId="3317FE27" w14:textId="776B060D" w:rsidR="00836231" w:rsidRPr="002815F4" w:rsidRDefault="0069039D" w:rsidP="0069039D">
      <w:pPr>
        <w:rPr>
          <w:rFonts w:ascii="Calibri" w:hAnsi="Calibri"/>
        </w:rPr>
      </w:pPr>
      <w:r w:rsidRPr="002815F4">
        <w:rPr>
          <w:rFonts w:ascii="Calibri" w:hAnsi="Calibri"/>
          <w:i/>
          <w:u w:val="single"/>
        </w:rPr>
        <w:t>Contribution to sustainable development:</w:t>
      </w:r>
      <w:r w:rsidR="00880E06" w:rsidRPr="002815F4">
        <w:rPr>
          <w:rFonts w:ascii="Calibri" w:hAnsi="Calibri"/>
        </w:rPr>
        <w:t xml:space="preserve"> A variety of CSOs have highlighted the significance of EITI implementation to support Senegal’s sustainable development goals. </w:t>
      </w:r>
      <w:r w:rsidR="00446EE0" w:rsidRPr="002815F4">
        <w:rPr>
          <w:rFonts w:ascii="Calibri" w:hAnsi="Calibri"/>
        </w:rPr>
        <w:t>The government has consistently linked EITI implementation, from the time of its application for EITI Candidature, to generating additional extractives revenues</w:t>
      </w:r>
      <w:r w:rsidR="00DB3C0A" w:rsidRPr="002815F4">
        <w:rPr>
          <w:rFonts w:ascii="Calibri" w:hAnsi="Calibri"/>
        </w:rPr>
        <w:t xml:space="preserve"> and ensuring that the mining sector drive sustainable development </w:t>
      </w:r>
      <w:sdt>
        <w:sdtPr>
          <w:rPr>
            <w:rFonts w:ascii="Calibri" w:hAnsi="Calibri"/>
          </w:rPr>
          <w:id w:val="882369641"/>
          <w:citation/>
        </w:sdtPr>
        <w:sdtEndPr/>
        <w:sdtContent>
          <w:r w:rsidR="00DB3C0A" w:rsidRPr="002815F4">
            <w:rPr>
              <w:rFonts w:ascii="Calibri" w:hAnsi="Calibri"/>
            </w:rPr>
            <w:fldChar w:fldCharType="begin"/>
          </w:r>
          <w:r w:rsidR="00DB3C0A" w:rsidRPr="002815F4">
            <w:rPr>
              <w:rFonts w:ascii="Calibri" w:hAnsi="Calibri"/>
            </w:rPr>
            <w:instrText xml:space="preserve"> CITATION IIS16 \l 1033 </w:instrText>
          </w:r>
          <w:r w:rsidR="00DB3C0A" w:rsidRPr="002815F4">
            <w:rPr>
              <w:rFonts w:ascii="Calibri" w:hAnsi="Calibri"/>
            </w:rPr>
            <w:fldChar w:fldCharType="separate"/>
          </w:r>
          <w:r w:rsidR="00DB3C0A" w:rsidRPr="002815F4">
            <w:rPr>
              <w:rFonts w:ascii="Calibri" w:hAnsi="Calibri"/>
              <w:noProof/>
            </w:rPr>
            <w:t>(IISD, 2016)</w:t>
          </w:r>
          <w:r w:rsidR="00DB3C0A" w:rsidRPr="002815F4">
            <w:rPr>
              <w:rFonts w:ascii="Calibri" w:hAnsi="Calibri"/>
            </w:rPr>
            <w:fldChar w:fldCharType="end"/>
          </w:r>
        </w:sdtContent>
      </w:sdt>
      <w:r w:rsidR="00DB3C0A" w:rsidRPr="002815F4">
        <w:rPr>
          <w:rFonts w:ascii="Calibri" w:hAnsi="Calibri"/>
        </w:rPr>
        <w:t xml:space="preserve">. </w:t>
      </w:r>
      <w:r w:rsidR="00880E06" w:rsidRPr="002815F4">
        <w:rPr>
          <w:rFonts w:ascii="Calibri" w:hAnsi="Calibri"/>
        </w:rPr>
        <w:t>A 2016 report from OSIWA highlighted the lack of tools to minimise adverse impacts of the oil and gas sector, despite the provision of new information on the economic contribution of extractive industries through the EITI</w:t>
      </w:r>
      <w:sdt>
        <w:sdtPr>
          <w:rPr>
            <w:rFonts w:ascii="Calibri" w:hAnsi="Calibri"/>
          </w:rPr>
          <w:id w:val="-13005550"/>
          <w:citation/>
        </w:sdtPr>
        <w:sdtEndPr/>
        <w:sdtContent>
          <w:r w:rsidR="00961637" w:rsidRPr="002815F4">
            <w:rPr>
              <w:rFonts w:ascii="Calibri" w:hAnsi="Calibri"/>
            </w:rPr>
            <w:fldChar w:fldCharType="begin"/>
          </w:r>
          <w:r w:rsidR="00961637" w:rsidRPr="002815F4">
            <w:rPr>
              <w:rFonts w:ascii="Calibri" w:hAnsi="Calibri"/>
            </w:rPr>
            <w:instrText xml:space="preserve"> CITATION OSI16 \l 1033 </w:instrText>
          </w:r>
          <w:r w:rsidR="00961637" w:rsidRPr="002815F4">
            <w:rPr>
              <w:rFonts w:ascii="Calibri" w:hAnsi="Calibri"/>
            </w:rPr>
            <w:fldChar w:fldCharType="separate"/>
          </w:r>
          <w:r w:rsidR="00961637" w:rsidRPr="002815F4">
            <w:rPr>
              <w:rFonts w:ascii="Calibri" w:hAnsi="Calibri"/>
              <w:noProof/>
            </w:rPr>
            <w:t xml:space="preserve"> (OSIWA, 2016)</w:t>
          </w:r>
          <w:r w:rsidR="00961637" w:rsidRPr="002815F4">
            <w:rPr>
              <w:rFonts w:ascii="Calibri" w:hAnsi="Calibri"/>
            </w:rPr>
            <w:fldChar w:fldCharType="end"/>
          </w:r>
        </w:sdtContent>
      </w:sdt>
      <w:r w:rsidR="00880E06" w:rsidRPr="002815F4">
        <w:rPr>
          <w:rFonts w:ascii="Calibri" w:hAnsi="Calibri"/>
        </w:rPr>
        <w:t xml:space="preserve">. </w:t>
      </w:r>
    </w:p>
    <w:p w14:paraId="670CF8D1" w14:textId="2C455E88" w:rsidR="00F042BF" w:rsidRPr="002815F4" w:rsidRDefault="0069039D">
      <w:pPr>
        <w:rPr>
          <w:rFonts w:ascii="Calibri" w:hAnsi="Calibri"/>
          <w:bCs/>
        </w:rPr>
      </w:pPr>
      <w:r w:rsidRPr="002815F4">
        <w:rPr>
          <w:rFonts w:ascii="Calibri" w:hAnsi="Calibri"/>
          <w:i/>
          <w:u w:val="single"/>
        </w:rPr>
        <w:t>Recognition:</w:t>
      </w:r>
      <w:r w:rsidR="00AE2ACB" w:rsidRPr="002815F4">
        <w:rPr>
          <w:rFonts w:ascii="Calibri" w:hAnsi="Calibri"/>
        </w:rPr>
        <w:t xml:space="preserve"> More broadly, </w:t>
      </w:r>
      <w:r w:rsidR="00612541" w:rsidRPr="002815F4">
        <w:rPr>
          <w:rFonts w:ascii="Calibri" w:hAnsi="Calibri"/>
        </w:rPr>
        <w:t xml:space="preserve">Senegal’s EITI achievements have been highlighted on the international stage, both within the EITI community, </w:t>
      </w:r>
      <w:r w:rsidR="00592562" w:rsidRPr="002815F4">
        <w:rPr>
          <w:rFonts w:ascii="Calibri" w:hAnsi="Calibri"/>
        </w:rPr>
        <w:t xml:space="preserve">for instance </w:t>
      </w:r>
      <w:r w:rsidR="00612541" w:rsidRPr="002815F4">
        <w:rPr>
          <w:rFonts w:ascii="Calibri" w:hAnsi="Calibri"/>
        </w:rPr>
        <w:t>through successive EITI Progress Reports</w:t>
      </w:r>
      <w:r w:rsidR="00592562" w:rsidRPr="002815F4">
        <w:rPr>
          <w:rFonts w:ascii="Calibri" w:hAnsi="Calibri"/>
        </w:rPr>
        <w:t xml:space="preserve">, and beyond </w:t>
      </w:r>
      <w:sdt>
        <w:sdtPr>
          <w:rPr>
            <w:rFonts w:ascii="Calibri" w:hAnsi="Calibri"/>
          </w:rPr>
          <w:id w:val="1864472466"/>
          <w:citation/>
        </w:sdtPr>
        <w:sdtEndPr/>
        <w:sdtContent>
          <w:r w:rsidR="00166E27" w:rsidRPr="002815F4">
            <w:rPr>
              <w:rFonts w:ascii="Calibri" w:hAnsi="Calibri"/>
            </w:rPr>
            <w:fldChar w:fldCharType="begin"/>
          </w:r>
          <w:r w:rsidR="00166E27" w:rsidRPr="002815F4">
            <w:rPr>
              <w:rFonts w:ascii="Calibri" w:hAnsi="Calibri"/>
            </w:rPr>
            <w:instrText xml:space="preserve"> CITATION EIT163 \l 1033 </w:instrText>
          </w:r>
          <w:r w:rsidR="00166E27" w:rsidRPr="002815F4">
            <w:rPr>
              <w:rFonts w:ascii="Calibri" w:hAnsi="Calibri"/>
            </w:rPr>
            <w:fldChar w:fldCharType="separate"/>
          </w:r>
          <w:r w:rsidR="00166E27" w:rsidRPr="002815F4">
            <w:rPr>
              <w:rFonts w:ascii="Calibri" w:hAnsi="Calibri"/>
              <w:noProof/>
            </w:rPr>
            <w:t>(EITI, 2016)</w:t>
          </w:r>
          <w:r w:rsidR="00166E27" w:rsidRPr="002815F4">
            <w:rPr>
              <w:rFonts w:ascii="Calibri" w:hAnsi="Calibri"/>
            </w:rPr>
            <w:fldChar w:fldCharType="end"/>
          </w:r>
        </w:sdtContent>
      </w:sdt>
      <w:sdt>
        <w:sdtPr>
          <w:rPr>
            <w:rFonts w:ascii="Calibri" w:hAnsi="Calibri"/>
          </w:rPr>
          <w:id w:val="-985387309"/>
          <w:citation/>
        </w:sdtPr>
        <w:sdtEndPr/>
        <w:sdtContent>
          <w:r w:rsidR="00166E27" w:rsidRPr="002815F4">
            <w:rPr>
              <w:rFonts w:ascii="Calibri" w:hAnsi="Calibri"/>
            </w:rPr>
            <w:fldChar w:fldCharType="begin"/>
          </w:r>
          <w:r w:rsidR="00166E27" w:rsidRPr="002815F4">
            <w:rPr>
              <w:rFonts w:ascii="Calibri" w:hAnsi="Calibri"/>
            </w:rPr>
            <w:instrText xml:space="preserve"> CITATION EIT171 \l 1033 </w:instrText>
          </w:r>
          <w:r w:rsidR="00166E27" w:rsidRPr="002815F4">
            <w:rPr>
              <w:rFonts w:ascii="Calibri" w:hAnsi="Calibri"/>
            </w:rPr>
            <w:fldChar w:fldCharType="separate"/>
          </w:r>
          <w:r w:rsidR="00166E27" w:rsidRPr="002815F4">
            <w:rPr>
              <w:rFonts w:ascii="Calibri" w:hAnsi="Calibri"/>
              <w:noProof/>
            </w:rPr>
            <w:t xml:space="preserve"> (EITI, 2017)</w:t>
          </w:r>
          <w:r w:rsidR="00166E27" w:rsidRPr="002815F4">
            <w:rPr>
              <w:rFonts w:ascii="Calibri" w:hAnsi="Calibri"/>
            </w:rPr>
            <w:fldChar w:fldCharType="end"/>
          </w:r>
        </w:sdtContent>
      </w:sdt>
      <w:r w:rsidR="00592562" w:rsidRPr="002815F4">
        <w:rPr>
          <w:rFonts w:ascii="Calibri" w:hAnsi="Calibri"/>
        </w:rPr>
        <w:t xml:space="preserve">. </w:t>
      </w:r>
      <w:r w:rsidR="007D416B" w:rsidRPr="002815F4">
        <w:rPr>
          <w:rFonts w:ascii="Calibri" w:hAnsi="Calibri"/>
        </w:rPr>
        <w:t xml:space="preserve">Senegal has become a country eligible to implement the Open Government Partnership (OGP) </w:t>
      </w:r>
      <w:r w:rsidR="0067233E" w:rsidRPr="002815F4">
        <w:rPr>
          <w:rFonts w:ascii="Calibri" w:hAnsi="Calibri"/>
        </w:rPr>
        <w:t xml:space="preserve">in 2017, following improvements on budget transparency </w:t>
      </w:r>
      <w:sdt>
        <w:sdtPr>
          <w:rPr>
            <w:rFonts w:ascii="Calibri" w:hAnsi="Calibri"/>
          </w:rPr>
          <w:id w:val="-259069391"/>
          <w:citation/>
        </w:sdtPr>
        <w:sdtEndPr/>
        <w:sdtContent>
          <w:r w:rsidR="007D416B" w:rsidRPr="002815F4">
            <w:rPr>
              <w:rFonts w:ascii="Calibri" w:hAnsi="Calibri"/>
            </w:rPr>
            <w:fldChar w:fldCharType="begin"/>
          </w:r>
          <w:r w:rsidR="007D416B" w:rsidRPr="002815F4">
            <w:rPr>
              <w:rFonts w:ascii="Calibri" w:hAnsi="Calibri"/>
            </w:rPr>
            <w:instrText xml:space="preserve"> CITATION Ope171 \l 1033 </w:instrText>
          </w:r>
          <w:r w:rsidR="007D416B" w:rsidRPr="002815F4">
            <w:rPr>
              <w:rFonts w:ascii="Calibri" w:hAnsi="Calibri"/>
            </w:rPr>
            <w:fldChar w:fldCharType="separate"/>
          </w:r>
          <w:r w:rsidR="007D416B" w:rsidRPr="002815F4">
            <w:rPr>
              <w:rFonts w:ascii="Calibri" w:hAnsi="Calibri"/>
              <w:noProof/>
            </w:rPr>
            <w:t>(Open Government Partnership, 2017)</w:t>
          </w:r>
          <w:r w:rsidR="007D416B" w:rsidRPr="002815F4">
            <w:rPr>
              <w:rFonts w:ascii="Calibri" w:hAnsi="Calibri"/>
            </w:rPr>
            <w:fldChar w:fldCharType="end"/>
          </w:r>
        </w:sdtContent>
      </w:sdt>
      <w:r w:rsidR="007D416B" w:rsidRPr="002815F4">
        <w:rPr>
          <w:rFonts w:ascii="Calibri" w:hAnsi="Calibri"/>
        </w:rPr>
        <w:t xml:space="preserve">. Senegal’s efforts to implement the EITI have been broadly recognised by Senegal’s development partners, who have highlighted the quality of dissemination, outreach and the public debate generated as a result of EITI as well as the pertinence of recommendations from its EITI reporting </w:t>
      </w:r>
      <w:sdt>
        <w:sdtPr>
          <w:rPr>
            <w:rFonts w:ascii="Calibri" w:hAnsi="Calibri"/>
            <w:bCs/>
          </w:rPr>
          <w:id w:val="1399021360"/>
          <w:citation/>
        </w:sdtPr>
        <w:sdtEndPr/>
        <w:sdtContent>
          <w:r w:rsidR="007D416B" w:rsidRPr="002815F4">
            <w:rPr>
              <w:rFonts w:ascii="Calibri" w:hAnsi="Calibri"/>
              <w:bCs/>
            </w:rPr>
            <w:fldChar w:fldCharType="begin"/>
          </w:r>
          <w:r w:rsidR="007D416B" w:rsidRPr="002815F4">
            <w:rPr>
              <w:rFonts w:ascii="Calibri" w:hAnsi="Calibri"/>
              <w:bCs/>
            </w:rPr>
            <w:instrText xml:space="preserve"> CITATION USA13 \l 1033 </w:instrText>
          </w:r>
          <w:r w:rsidR="007D416B" w:rsidRPr="002815F4">
            <w:rPr>
              <w:rFonts w:ascii="Calibri" w:hAnsi="Calibri"/>
              <w:bCs/>
            </w:rPr>
            <w:fldChar w:fldCharType="separate"/>
          </w:r>
          <w:r w:rsidR="007D416B" w:rsidRPr="002815F4">
            <w:rPr>
              <w:rFonts w:ascii="Calibri" w:hAnsi="Calibri"/>
              <w:noProof/>
            </w:rPr>
            <w:t>(USAID, 2013)</w:t>
          </w:r>
          <w:r w:rsidR="007D416B" w:rsidRPr="002815F4">
            <w:rPr>
              <w:rFonts w:ascii="Calibri" w:hAnsi="Calibri"/>
              <w:bCs/>
            </w:rPr>
            <w:fldChar w:fldCharType="end"/>
          </w:r>
        </w:sdtContent>
      </w:sdt>
      <w:r w:rsidR="007D416B" w:rsidRPr="002815F4">
        <w:rPr>
          <w:rFonts w:ascii="Calibri" w:hAnsi="Calibri"/>
          <w:bCs/>
        </w:rPr>
        <w:t xml:space="preserve"> </w:t>
      </w:r>
      <w:sdt>
        <w:sdtPr>
          <w:rPr>
            <w:rFonts w:ascii="Calibri" w:hAnsi="Calibri"/>
            <w:bCs/>
          </w:rPr>
          <w:id w:val="-1956017980"/>
          <w:citation/>
        </w:sdtPr>
        <w:sdtEndPr/>
        <w:sdtContent>
          <w:r w:rsidR="007D416B" w:rsidRPr="002815F4">
            <w:rPr>
              <w:rFonts w:ascii="Calibri" w:hAnsi="Calibri"/>
              <w:bCs/>
            </w:rPr>
            <w:fldChar w:fldCharType="begin"/>
          </w:r>
          <w:r w:rsidR="007D416B" w:rsidRPr="002815F4">
            <w:rPr>
              <w:rFonts w:ascii="Calibri" w:hAnsi="Calibri"/>
              <w:bCs/>
            </w:rPr>
            <w:instrText xml:space="preserve"> CITATION Wor162 \l 1033 </w:instrText>
          </w:r>
          <w:r w:rsidR="007D416B" w:rsidRPr="002815F4">
            <w:rPr>
              <w:rFonts w:ascii="Calibri" w:hAnsi="Calibri"/>
              <w:bCs/>
            </w:rPr>
            <w:fldChar w:fldCharType="separate"/>
          </w:r>
          <w:r w:rsidR="007D416B" w:rsidRPr="002815F4">
            <w:rPr>
              <w:rFonts w:ascii="Calibri" w:hAnsi="Calibri"/>
              <w:noProof/>
            </w:rPr>
            <w:t>(World Bank, 2016)</w:t>
          </w:r>
          <w:r w:rsidR="007D416B" w:rsidRPr="002815F4">
            <w:rPr>
              <w:rFonts w:ascii="Calibri" w:hAnsi="Calibri"/>
              <w:bCs/>
            </w:rPr>
            <w:fldChar w:fldCharType="end"/>
          </w:r>
        </w:sdtContent>
      </w:sdt>
      <w:r w:rsidR="007D416B" w:rsidRPr="002815F4">
        <w:rPr>
          <w:rFonts w:ascii="Calibri" w:hAnsi="Calibri"/>
          <w:bCs/>
        </w:rPr>
        <w:t>.</w:t>
      </w:r>
      <w:r w:rsidR="00274FBA" w:rsidRPr="002815F4">
        <w:rPr>
          <w:rFonts w:ascii="Calibri" w:hAnsi="Calibri"/>
          <w:bCs/>
        </w:rPr>
        <w:t xml:space="preserve"> Senegal’s MSG has also been active in regional peer exchanges and workshops, including in Abidjan, Brazzaville, Nouakchott and Ouagadougou </w:t>
      </w:r>
      <w:sdt>
        <w:sdtPr>
          <w:rPr>
            <w:rFonts w:ascii="Calibri" w:hAnsi="Calibri"/>
          </w:rPr>
          <w:id w:val="-712274670"/>
          <w:citation/>
        </w:sdtPr>
        <w:sdtEndPr/>
        <w:sdtContent>
          <w:r w:rsidR="00274FBA" w:rsidRPr="002815F4">
            <w:rPr>
              <w:rFonts w:ascii="Calibri" w:hAnsi="Calibri"/>
            </w:rPr>
            <w:fldChar w:fldCharType="begin"/>
          </w:r>
          <w:r w:rsidR="00274FBA" w:rsidRPr="002815F4">
            <w:rPr>
              <w:rFonts w:ascii="Calibri" w:hAnsi="Calibri"/>
            </w:rPr>
            <w:instrText xml:space="preserve"> CITATION Wor14 \l 1033 </w:instrText>
          </w:r>
          <w:r w:rsidR="00274FBA" w:rsidRPr="002815F4">
            <w:rPr>
              <w:rFonts w:ascii="Calibri" w:hAnsi="Calibri"/>
            </w:rPr>
            <w:fldChar w:fldCharType="separate"/>
          </w:r>
          <w:r w:rsidR="00274FBA" w:rsidRPr="002815F4">
            <w:rPr>
              <w:rFonts w:ascii="Calibri" w:hAnsi="Calibri"/>
              <w:noProof/>
            </w:rPr>
            <w:t>(World Bank, 2014)</w:t>
          </w:r>
          <w:r w:rsidR="00274FBA" w:rsidRPr="002815F4">
            <w:rPr>
              <w:rFonts w:ascii="Calibri" w:hAnsi="Calibri"/>
            </w:rPr>
            <w:fldChar w:fldCharType="end"/>
          </w:r>
        </w:sdtContent>
      </w:sdt>
      <w:r w:rsidR="00274FBA" w:rsidRPr="002815F4">
        <w:rPr>
          <w:rFonts w:ascii="Calibri" w:hAnsi="Calibri"/>
        </w:rPr>
        <w:t xml:space="preserve">. </w:t>
      </w:r>
      <w:r w:rsidR="006462EF" w:rsidRPr="002815F4">
        <w:rPr>
          <w:rFonts w:ascii="Calibri" w:hAnsi="Calibri"/>
        </w:rPr>
        <w:t xml:space="preserve">Dakar has also hosted meetings of African EITI National Coordinators in 2014 and 2015 </w:t>
      </w:r>
      <w:sdt>
        <w:sdtPr>
          <w:rPr>
            <w:rFonts w:ascii="Calibri" w:hAnsi="Calibri"/>
          </w:rPr>
          <w:id w:val="1075472161"/>
          <w:citation/>
        </w:sdtPr>
        <w:sdtEndPr/>
        <w:sdtContent>
          <w:r w:rsidR="006462EF" w:rsidRPr="002815F4">
            <w:rPr>
              <w:rFonts w:ascii="Calibri" w:hAnsi="Calibri"/>
            </w:rPr>
            <w:fldChar w:fldCharType="begin"/>
          </w:r>
          <w:r w:rsidR="006462EF" w:rsidRPr="002815F4">
            <w:rPr>
              <w:rFonts w:ascii="Calibri" w:hAnsi="Calibri"/>
            </w:rPr>
            <w:instrText xml:space="preserve"> CITATION Wor161 \l 1033 </w:instrText>
          </w:r>
          <w:r w:rsidR="006462EF" w:rsidRPr="002815F4">
            <w:rPr>
              <w:rFonts w:ascii="Calibri" w:hAnsi="Calibri"/>
            </w:rPr>
            <w:fldChar w:fldCharType="separate"/>
          </w:r>
          <w:r w:rsidR="006462EF" w:rsidRPr="002815F4">
            <w:rPr>
              <w:rFonts w:ascii="Calibri" w:hAnsi="Calibri"/>
              <w:noProof/>
            </w:rPr>
            <w:t>(World Bank, 2016)</w:t>
          </w:r>
          <w:r w:rsidR="006462EF" w:rsidRPr="002815F4">
            <w:rPr>
              <w:rFonts w:ascii="Calibri" w:hAnsi="Calibri"/>
            </w:rPr>
            <w:fldChar w:fldCharType="end"/>
          </w:r>
        </w:sdtContent>
      </w:sdt>
      <w:r w:rsidR="006462EF" w:rsidRPr="002815F4">
        <w:rPr>
          <w:rFonts w:ascii="Calibri" w:hAnsi="Calibri"/>
        </w:rPr>
        <w:t xml:space="preserve">. </w:t>
      </w:r>
    </w:p>
    <w:p w14:paraId="14933927" w14:textId="216AB09B" w:rsidR="0069039D" w:rsidRPr="002815F4" w:rsidRDefault="0069039D" w:rsidP="009B3E66">
      <w:pPr>
        <w:pStyle w:val="Heading3"/>
      </w:pPr>
      <w:r w:rsidRPr="002815F4">
        <w:t>Sustainability</w:t>
      </w:r>
    </w:p>
    <w:p w14:paraId="6F044B6E" w14:textId="130256A2" w:rsidR="0069039D" w:rsidRPr="002815F4" w:rsidRDefault="0069039D" w:rsidP="0069039D">
      <w:pPr>
        <w:rPr>
          <w:rFonts w:ascii="Calibri" w:hAnsi="Calibri"/>
        </w:rPr>
      </w:pPr>
      <w:r w:rsidRPr="002815F4">
        <w:rPr>
          <w:rFonts w:ascii="Calibri" w:hAnsi="Calibri"/>
          <w:i/>
          <w:u w:val="single"/>
        </w:rPr>
        <w:t>Funding:</w:t>
      </w:r>
      <w:r w:rsidR="001B17AA" w:rsidRPr="002815F4">
        <w:rPr>
          <w:rFonts w:ascii="Calibri" w:hAnsi="Calibri"/>
        </w:rPr>
        <w:t xml:space="preserve"> One of the key strengths of Senegal’s EITI implementation has been the government’s proactive support </w:t>
      </w:r>
      <w:r w:rsidR="00B52C7D" w:rsidRPr="002815F4">
        <w:rPr>
          <w:rFonts w:ascii="Calibri" w:hAnsi="Calibri"/>
        </w:rPr>
        <w:t>for EITI, including</w:t>
      </w:r>
      <w:r w:rsidR="0027354E" w:rsidRPr="002815F4">
        <w:rPr>
          <w:rFonts w:ascii="Calibri" w:hAnsi="Calibri"/>
        </w:rPr>
        <w:t xml:space="preserve"> by providing the primary funding for core EITI implementation. </w:t>
      </w:r>
      <w:r w:rsidR="00131E1B" w:rsidRPr="002815F4">
        <w:rPr>
          <w:rFonts w:ascii="Calibri" w:hAnsi="Calibri"/>
        </w:rPr>
        <w:t>The government’s funding for EITI</w:t>
      </w:r>
      <w:r w:rsidR="004065E7" w:rsidRPr="002815F4">
        <w:rPr>
          <w:rFonts w:ascii="Calibri" w:hAnsi="Calibri"/>
        </w:rPr>
        <w:t>, always the main source of funding for implementation,</w:t>
      </w:r>
      <w:r w:rsidR="00131E1B" w:rsidRPr="002815F4">
        <w:rPr>
          <w:rFonts w:ascii="Calibri" w:hAnsi="Calibri"/>
        </w:rPr>
        <w:t xml:space="preserve"> has grown </w:t>
      </w:r>
      <w:r w:rsidR="004065E7" w:rsidRPr="002815F4">
        <w:rPr>
          <w:rFonts w:ascii="Calibri" w:hAnsi="Calibri"/>
        </w:rPr>
        <w:t xml:space="preserve">in line with the decline in </w:t>
      </w:r>
      <w:r w:rsidR="00131E1B" w:rsidRPr="002815F4">
        <w:rPr>
          <w:rFonts w:ascii="Calibri" w:hAnsi="Calibri"/>
        </w:rPr>
        <w:t xml:space="preserve">World Bank </w:t>
      </w:r>
      <w:r w:rsidR="004065E7" w:rsidRPr="002815F4">
        <w:rPr>
          <w:rFonts w:ascii="Calibri" w:hAnsi="Calibri"/>
        </w:rPr>
        <w:t xml:space="preserve">support under </w:t>
      </w:r>
      <w:r w:rsidR="00131E1B" w:rsidRPr="002815F4">
        <w:rPr>
          <w:rFonts w:ascii="Calibri" w:hAnsi="Calibri"/>
        </w:rPr>
        <w:t xml:space="preserve">the EITI Multi-Donor Trust Fund </w:t>
      </w:r>
      <w:r w:rsidR="004065E7" w:rsidRPr="002815F4">
        <w:rPr>
          <w:rFonts w:ascii="Calibri" w:hAnsi="Calibri"/>
        </w:rPr>
        <w:t>(</w:t>
      </w:r>
      <w:r w:rsidR="00131E1B" w:rsidRPr="002815F4">
        <w:rPr>
          <w:rFonts w:ascii="Calibri" w:hAnsi="Calibri"/>
        </w:rPr>
        <w:t xml:space="preserve">MDTF) </w:t>
      </w:r>
      <w:r w:rsidR="004065E7" w:rsidRPr="002815F4">
        <w:rPr>
          <w:rFonts w:ascii="Calibri" w:hAnsi="Calibri"/>
        </w:rPr>
        <w:t xml:space="preserve">and </w:t>
      </w:r>
      <w:r w:rsidR="00131E1B" w:rsidRPr="002815F4">
        <w:rPr>
          <w:rFonts w:ascii="Calibri" w:hAnsi="Calibri"/>
        </w:rPr>
        <w:t xml:space="preserve">the </w:t>
      </w:r>
      <w:r w:rsidR="0067233E" w:rsidRPr="002815F4">
        <w:rPr>
          <w:rFonts w:ascii="Calibri" w:hAnsi="Calibri"/>
        </w:rPr>
        <w:t xml:space="preserve">Extractives </w:t>
      </w:r>
      <w:r w:rsidR="00131E1B" w:rsidRPr="002815F4">
        <w:rPr>
          <w:rFonts w:ascii="Calibri" w:hAnsi="Calibri"/>
        </w:rPr>
        <w:t>Global Programmatic Support MDTF</w:t>
      </w:r>
      <w:r w:rsidR="00013BB8" w:rsidRPr="002815F4">
        <w:rPr>
          <w:rFonts w:ascii="Calibri" w:hAnsi="Calibri"/>
        </w:rPr>
        <w:t xml:space="preserve"> </w:t>
      </w:r>
      <w:sdt>
        <w:sdtPr>
          <w:rPr>
            <w:rFonts w:ascii="Calibri" w:hAnsi="Calibri"/>
          </w:rPr>
          <w:id w:val="1148015971"/>
          <w:citation/>
        </w:sdtPr>
        <w:sdtEndPr/>
        <w:sdtContent>
          <w:r w:rsidR="00013BB8" w:rsidRPr="002815F4">
            <w:rPr>
              <w:rFonts w:ascii="Calibri" w:hAnsi="Calibri"/>
            </w:rPr>
            <w:fldChar w:fldCharType="begin"/>
          </w:r>
          <w:r w:rsidR="00013BB8" w:rsidRPr="002815F4">
            <w:rPr>
              <w:rFonts w:ascii="Calibri" w:hAnsi="Calibri"/>
            </w:rPr>
            <w:instrText xml:space="preserve"> CITATION Wor161 \l 1033 </w:instrText>
          </w:r>
          <w:r w:rsidR="00013BB8" w:rsidRPr="002815F4">
            <w:rPr>
              <w:rFonts w:ascii="Calibri" w:hAnsi="Calibri"/>
            </w:rPr>
            <w:fldChar w:fldCharType="separate"/>
          </w:r>
          <w:r w:rsidR="00013BB8" w:rsidRPr="002815F4">
            <w:rPr>
              <w:rFonts w:ascii="Calibri" w:hAnsi="Calibri"/>
              <w:noProof/>
            </w:rPr>
            <w:t>(World Bank, 2016)</w:t>
          </w:r>
          <w:r w:rsidR="00013BB8" w:rsidRPr="002815F4">
            <w:rPr>
              <w:rFonts w:ascii="Calibri" w:hAnsi="Calibri"/>
            </w:rPr>
            <w:fldChar w:fldCharType="end"/>
          </w:r>
        </w:sdtContent>
      </w:sdt>
      <w:r w:rsidR="00131E1B" w:rsidRPr="002815F4">
        <w:rPr>
          <w:rFonts w:ascii="Calibri" w:hAnsi="Calibri"/>
        </w:rPr>
        <w:t xml:space="preserve">. </w:t>
      </w:r>
      <w:r w:rsidR="004065E7" w:rsidRPr="002815F4">
        <w:rPr>
          <w:rFonts w:ascii="Calibri" w:hAnsi="Calibri"/>
        </w:rPr>
        <w:t xml:space="preserve">The government now covers all core implementation costs aside from production of the annual EITI Report. </w:t>
      </w:r>
      <w:r w:rsidR="00131E1B" w:rsidRPr="002815F4">
        <w:rPr>
          <w:rFonts w:ascii="Calibri" w:hAnsi="Calibri"/>
        </w:rPr>
        <w:t>Senegal’s EITI implementation has also been supported by USAID, the UK Embassy in Senegal</w:t>
      </w:r>
      <w:r w:rsidR="00274FBA" w:rsidRPr="002815F4">
        <w:rPr>
          <w:rFonts w:ascii="Calibri" w:hAnsi="Calibri"/>
        </w:rPr>
        <w:t>, the African Development Bank, the European Union, OSIWA, CIDA</w:t>
      </w:r>
      <w:r w:rsidR="00131E1B" w:rsidRPr="002815F4">
        <w:rPr>
          <w:rFonts w:ascii="Calibri" w:hAnsi="Calibri"/>
        </w:rPr>
        <w:t xml:space="preserve"> and </w:t>
      </w:r>
      <w:r w:rsidR="00013BB8" w:rsidRPr="002815F4">
        <w:rPr>
          <w:rFonts w:ascii="Calibri" w:hAnsi="Calibri"/>
        </w:rPr>
        <w:t xml:space="preserve">the UEMOA </w:t>
      </w:r>
      <w:sdt>
        <w:sdtPr>
          <w:id w:val="-1785256126"/>
          <w:citation/>
        </w:sdtPr>
        <w:sdtEndPr/>
        <w:sdtContent>
          <w:r w:rsidR="00013BB8" w:rsidRPr="002815F4">
            <w:fldChar w:fldCharType="begin"/>
          </w:r>
          <w:r w:rsidR="00013BB8" w:rsidRPr="002815F4">
            <w:instrText xml:space="preserve"> CITATION USA15 \l 1033 </w:instrText>
          </w:r>
          <w:r w:rsidR="00013BB8" w:rsidRPr="002815F4">
            <w:fldChar w:fldCharType="separate"/>
          </w:r>
          <w:r w:rsidR="00013BB8" w:rsidRPr="002815F4">
            <w:rPr>
              <w:noProof/>
            </w:rPr>
            <w:t>(USAID, 2015)</w:t>
          </w:r>
          <w:r w:rsidR="00013BB8" w:rsidRPr="002815F4">
            <w:fldChar w:fldCharType="end"/>
          </w:r>
        </w:sdtContent>
      </w:sdt>
      <w:r w:rsidR="00131E1B" w:rsidRPr="002815F4">
        <w:rPr>
          <w:rFonts w:ascii="Calibri" w:hAnsi="Calibri"/>
        </w:rPr>
        <w:t>. Given the ramp-up of EITI funding by the government</w:t>
      </w:r>
      <w:r w:rsidR="00F870B0" w:rsidRPr="002815F4">
        <w:rPr>
          <w:rFonts w:ascii="Calibri" w:hAnsi="Calibri"/>
        </w:rPr>
        <w:t xml:space="preserve"> and the enshrining of EITI reporting into national legislation (through the 2016 Mining Code and </w:t>
      </w:r>
      <w:r w:rsidR="004065E7" w:rsidRPr="002815F4">
        <w:rPr>
          <w:rFonts w:ascii="Calibri" w:hAnsi="Calibri"/>
        </w:rPr>
        <w:t xml:space="preserve">draft </w:t>
      </w:r>
      <w:r w:rsidR="00F870B0" w:rsidRPr="002815F4">
        <w:rPr>
          <w:rFonts w:ascii="Calibri" w:hAnsi="Calibri"/>
        </w:rPr>
        <w:t xml:space="preserve">revisions to the 1998 petroleum Code), the medium-term risks to the financial sustainability of EITI implementation in Senegal are relatively low. However, in line with EITI Senegal’s five-year strategic plan to 2021, the MSG intends to continue applying for assistance from development partners to support key work plan activities including dissemination, outreach and implementation of reforms recommended by EITI Reports </w:t>
      </w:r>
      <w:sdt>
        <w:sdtPr>
          <w:rPr>
            <w:rFonts w:ascii="Calibri" w:hAnsi="Calibri"/>
          </w:rPr>
          <w:id w:val="-1510605739"/>
          <w:citation/>
        </w:sdtPr>
        <w:sdtEndPr/>
        <w:sdtContent>
          <w:r w:rsidR="00013BB8" w:rsidRPr="002815F4">
            <w:rPr>
              <w:rFonts w:ascii="Calibri" w:hAnsi="Calibri"/>
            </w:rPr>
            <w:fldChar w:fldCharType="begin"/>
          </w:r>
          <w:r w:rsidR="00013BB8" w:rsidRPr="002815F4">
            <w:rPr>
              <w:rFonts w:ascii="Calibri" w:hAnsi="Calibri"/>
            </w:rPr>
            <w:instrText xml:space="preserve"> CITATION ITI179 \l 1033 </w:instrText>
          </w:r>
          <w:r w:rsidR="00013BB8" w:rsidRPr="002815F4">
            <w:rPr>
              <w:rFonts w:ascii="Calibri" w:hAnsi="Calibri"/>
            </w:rPr>
            <w:fldChar w:fldCharType="separate"/>
          </w:r>
          <w:r w:rsidR="00013BB8" w:rsidRPr="002815F4">
            <w:rPr>
              <w:rFonts w:ascii="Calibri" w:hAnsi="Calibri"/>
              <w:noProof/>
            </w:rPr>
            <w:t>(ITIE Senegal, 2017)</w:t>
          </w:r>
          <w:r w:rsidR="00013BB8" w:rsidRPr="002815F4">
            <w:rPr>
              <w:rFonts w:ascii="Calibri" w:hAnsi="Calibri"/>
            </w:rPr>
            <w:fldChar w:fldCharType="end"/>
          </w:r>
        </w:sdtContent>
      </w:sdt>
      <w:r w:rsidR="00013BB8" w:rsidRPr="002815F4">
        <w:rPr>
          <w:rFonts w:ascii="Calibri" w:hAnsi="Calibri"/>
        </w:rPr>
        <w:t xml:space="preserve">. </w:t>
      </w:r>
    </w:p>
    <w:p w14:paraId="37445235" w14:textId="257B1A54" w:rsidR="006462EF" w:rsidRPr="002815F4" w:rsidRDefault="0069039D" w:rsidP="00E02D8A">
      <w:pPr>
        <w:rPr>
          <w:color w:val="365F91"/>
          <w:sz w:val="32"/>
        </w:rPr>
      </w:pPr>
      <w:r w:rsidRPr="002815F4">
        <w:rPr>
          <w:rFonts w:ascii="Calibri" w:hAnsi="Calibri"/>
          <w:i/>
          <w:u w:val="single"/>
        </w:rPr>
        <w:t>Institutionalisation:</w:t>
      </w:r>
      <w:r w:rsidR="009501D8" w:rsidRPr="002815F4">
        <w:rPr>
          <w:rFonts w:ascii="Calibri" w:hAnsi="Calibri"/>
        </w:rPr>
        <w:t xml:space="preserve"> The MSG has frequently discussed the drafting of legislative amendments </w:t>
      </w:r>
      <w:r w:rsidR="0033708B" w:rsidRPr="002815F4">
        <w:rPr>
          <w:rFonts w:ascii="Calibri" w:hAnsi="Calibri"/>
        </w:rPr>
        <w:t>to Senegal’s laws on mining and oil and gas to institutionalise</w:t>
      </w:r>
      <w:r w:rsidR="009501D8" w:rsidRPr="002815F4">
        <w:rPr>
          <w:rFonts w:ascii="Calibri" w:hAnsi="Calibri"/>
        </w:rPr>
        <w:t xml:space="preserve"> the EITI in Senegal. </w:t>
      </w:r>
      <w:r w:rsidR="0002606E" w:rsidRPr="002815F4">
        <w:rPr>
          <w:rFonts w:ascii="Calibri" w:hAnsi="Calibri"/>
        </w:rPr>
        <w:t xml:space="preserve">Article 95 of the new Mining Code, enacted through Law 2016-32 of 8 November 2016, require all mining license-holders to participate in EITI reporting and that all EITI reporting be based on competent audits </w:t>
      </w:r>
      <w:sdt>
        <w:sdtPr>
          <w:rPr>
            <w:rFonts w:ascii="Calibri" w:hAnsi="Calibri"/>
          </w:rPr>
          <w:id w:val="-739626067"/>
          <w:citation/>
        </w:sdtPr>
        <w:sdtEndPr/>
        <w:sdtContent>
          <w:r w:rsidR="0002606E" w:rsidRPr="002815F4">
            <w:rPr>
              <w:rFonts w:ascii="Calibri" w:hAnsi="Calibri"/>
            </w:rPr>
            <w:fldChar w:fldCharType="begin"/>
          </w:r>
          <w:r w:rsidR="0002606E" w:rsidRPr="002815F4">
            <w:rPr>
              <w:rFonts w:ascii="Calibri" w:hAnsi="Calibri"/>
            </w:rPr>
            <w:instrText xml:space="preserve"> CITATION Rép16 \l 1033 </w:instrText>
          </w:r>
          <w:r w:rsidR="0002606E" w:rsidRPr="002815F4">
            <w:rPr>
              <w:rFonts w:ascii="Calibri" w:hAnsi="Calibri"/>
            </w:rPr>
            <w:fldChar w:fldCharType="separate"/>
          </w:r>
          <w:r w:rsidR="0002606E" w:rsidRPr="002815F4">
            <w:rPr>
              <w:rFonts w:ascii="Calibri" w:hAnsi="Calibri"/>
              <w:noProof/>
            </w:rPr>
            <w:t>(République du Senegal, 2016)</w:t>
          </w:r>
          <w:r w:rsidR="0002606E" w:rsidRPr="002815F4">
            <w:rPr>
              <w:rFonts w:ascii="Calibri" w:hAnsi="Calibri"/>
            </w:rPr>
            <w:fldChar w:fldCharType="end"/>
          </w:r>
        </w:sdtContent>
      </w:sdt>
      <w:r w:rsidR="0002606E" w:rsidRPr="002815F4">
        <w:rPr>
          <w:rFonts w:ascii="Calibri" w:hAnsi="Calibri"/>
          <w:bCs/>
        </w:rPr>
        <w:t xml:space="preserve"> </w:t>
      </w:r>
      <w:sdt>
        <w:sdtPr>
          <w:rPr>
            <w:rFonts w:ascii="Calibri" w:hAnsi="Calibri"/>
            <w:bCs/>
          </w:rPr>
          <w:id w:val="-726834558"/>
          <w:citation/>
        </w:sdtPr>
        <w:sdtEndPr/>
        <w:sdtContent>
          <w:r w:rsidR="0002606E" w:rsidRPr="002815F4">
            <w:rPr>
              <w:rFonts w:ascii="Calibri" w:hAnsi="Calibri"/>
              <w:bCs/>
            </w:rPr>
            <w:fldChar w:fldCharType="begin"/>
          </w:r>
          <w:r w:rsidR="0002606E" w:rsidRPr="002815F4">
            <w:rPr>
              <w:rFonts w:ascii="Calibri" w:hAnsi="Calibri"/>
              <w:bCs/>
            </w:rPr>
            <w:instrText xml:space="preserve"> CITATION ITI1628 \l 1033 </w:instrText>
          </w:r>
          <w:r w:rsidR="0002606E" w:rsidRPr="002815F4">
            <w:rPr>
              <w:rFonts w:ascii="Calibri" w:hAnsi="Calibri"/>
              <w:bCs/>
            </w:rPr>
            <w:fldChar w:fldCharType="separate"/>
          </w:r>
          <w:r w:rsidR="0002606E" w:rsidRPr="002815F4">
            <w:rPr>
              <w:rFonts w:ascii="Calibri" w:hAnsi="Calibri"/>
              <w:noProof/>
            </w:rPr>
            <w:t>(ITIE Senegal, 2016)</w:t>
          </w:r>
          <w:r w:rsidR="0002606E" w:rsidRPr="002815F4">
            <w:rPr>
              <w:rFonts w:ascii="Calibri" w:hAnsi="Calibri"/>
              <w:bCs/>
            </w:rPr>
            <w:fldChar w:fldCharType="end"/>
          </w:r>
        </w:sdtContent>
      </w:sdt>
      <w:r w:rsidR="0002606E" w:rsidRPr="002815F4">
        <w:rPr>
          <w:rFonts w:ascii="Calibri" w:hAnsi="Calibri"/>
          <w:bCs/>
        </w:rPr>
        <w:t xml:space="preserve">. In addition, the Mining Code empowers the government to appoint independent companies to audit mining companies’ accounts, facilities, infrastructure and procedures and requires the publication of all payments to the state through publicly-available statements </w:t>
      </w:r>
      <w:sdt>
        <w:sdtPr>
          <w:rPr>
            <w:rFonts w:ascii="Calibri" w:hAnsi="Calibri"/>
            <w:bCs/>
          </w:rPr>
          <w:id w:val="2138598613"/>
          <w:citation/>
        </w:sdtPr>
        <w:sdtEndPr/>
        <w:sdtContent>
          <w:r w:rsidR="0002606E" w:rsidRPr="002815F4">
            <w:rPr>
              <w:rFonts w:ascii="Calibri" w:hAnsi="Calibri"/>
              <w:bCs/>
            </w:rPr>
            <w:fldChar w:fldCharType="begin"/>
          </w:r>
          <w:r w:rsidR="0002606E" w:rsidRPr="002815F4">
            <w:rPr>
              <w:rFonts w:ascii="Calibri" w:hAnsi="Calibri"/>
              <w:bCs/>
            </w:rPr>
            <w:instrText xml:space="preserve"> CITATION DLA16 \l 1033 </w:instrText>
          </w:r>
          <w:r w:rsidR="0002606E" w:rsidRPr="002815F4">
            <w:rPr>
              <w:rFonts w:ascii="Calibri" w:hAnsi="Calibri"/>
              <w:bCs/>
            </w:rPr>
            <w:fldChar w:fldCharType="separate"/>
          </w:r>
          <w:r w:rsidR="0002606E" w:rsidRPr="002815F4">
            <w:rPr>
              <w:rFonts w:ascii="Calibri" w:hAnsi="Calibri"/>
              <w:noProof/>
            </w:rPr>
            <w:t>(DLA Piper, 2016)</w:t>
          </w:r>
          <w:r w:rsidR="0002606E" w:rsidRPr="002815F4">
            <w:rPr>
              <w:rFonts w:ascii="Calibri" w:hAnsi="Calibri"/>
              <w:bCs/>
            </w:rPr>
            <w:fldChar w:fldCharType="end"/>
          </w:r>
        </w:sdtContent>
      </w:sdt>
      <w:r w:rsidR="0002606E" w:rsidRPr="002815F4">
        <w:rPr>
          <w:rFonts w:ascii="Calibri" w:hAnsi="Calibri"/>
          <w:bCs/>
        </w:rPr>
        <w:t xml:space="preserve"> </w:t>
      </w:r>
      <w:sdt>
        <w:sdtPr>
          <w:rPr>
            <w:rFonts w:ascii="Calibri" w:hAnsi="Calibri"/>
            <w:bCs/>
          </w:rPr>
          <w:id w:val="2085883599"/>
          <w:citation/>
        </w:sdtPr>
        <w:sdtEndPr/>
        <w:sdtContent>
          <w:r w:rsidR="0002606E" w:rsidRPr="002815F4">
            <w:rPr>
              <w:rFonts w:ascii="Calibri" w:hAnsi="Calibri"/>
              <w:bCs/>
            </w:rPr>
            <w:fldChar w:fldCharType="begin"/>
          </w:r>
          <w:r w:rsidR="0002606E" w:rsidRPr="002815F4">
            <w:rPr>
              <w:rFonts w:ascii="Calibri" w:hAnsi="Calibri"/>
              <w:bCs/>
            </w:rPr>
            <w:instrText xml:space="preserve"> CITATION May16 \l 1033 </w:instrText>
          </w:r>
          <w:r w:rsidR="0002606E" w:rsidRPr="002815F4">
            <w:rPr>
              <w:rFonts w:ascii="Calibri" w:hAnsi="Calibri"/>
              <w:bCs/>
            </w:rPr>
            <w:fldChar w:fldCharType="separate"/>
          </w:r>
          <w:r w:rsidR="0002606E" w:rsidRPr="002815F4">
            <w:rPr>
              <w:rFonts w:ascii="Calibri" w:hAnsi="Calibri"/>
              <w:noProof/>
            </w:rPr>
            <w:t>(Mayer Brown, 2016)</w:t>
          </w:r>
          <w:r w:rsidR="0002606E" w:rsidRPr="002815F4">
            <w:rPr>
              <w:rFonts w:ascii="Calibri" w:hAnsi="Calibri"/>
              <w:bCs/>
            </w:rPr>
            <w:fldChar w:fldCharType="end"/>
          </w:r>
        </w:sdtContent>
      </w:sdt>
      <w:r w:rsidR="0002606E" w:rsidRPr="002815F4">
        <w:rPr>
          <w:rFonts w:ascii="Calibri" w:hAnsi="Calibri"/>
          <w:bCs/>
        </w:rPr>
        <w:t xml:space="preserve">. The government plans to revise Senegal’s 1998 Hydrocarbons Code in 2017 and is likely to include EITI-related provisions in such legislative reforms </w:t>
      </w:r>
      <w:sdt>
        <w:sdtPr>
          <w:rPr>
            <w:rFonts w:ascii="Calibri" w:hAnsi="Calibri"/>
            <w:bCs/>
          </w:rPr>
          <w:id w:val="1590893740"/>
          <w:citation/>
        </w:sdtPr>
        <w:sdtEndPr/>
        <w:sdtContent>
          <w:r w:rsidR="0002606E" w:rsidRPr="002815F4">
            <w:rPr>
              <w:rFonts w:ascii="Calibri" w:hAnsi="Calibri"/>
              <w:bCs/>
            </w:rPr>
            <w:fldChar w:fldCharType="begin"/>
          </w:r>
          <w:r w:rsidR="0002606E" w:rsidRPr="002815F4">
            <w:rPr>
              <w:rFonts w:ascii="Calibri" w:hAnsi="Calibri"/>
              <w:bCs/>
            </w:rPr>
            <w:instrText xml:space="preserve"> CITATION LeQ162 \l 1033 </w:instrText>
          </w:r>
          <w:r w:rsidR="0002606E" w:rsidRPr="002815F4">
            <w:rPr>
              <w:rFonts w:ascii="Calibri" w:hAnsi="Calibri"/>
              <w:bCs/>
            </w:rPr>
            <w:fldChar w:fldCharType="separate"/>
          </w:r>
          <w:r w:rsidR="0002606E" w:rsidRPr="002815F4">
            <w:rPr>
              <w:rFonts w:ascii="Calibri" w:hAnsi="Calibri"/>
              <w:noProof/>
            </w:rPr>
            <w:t>(Le Quotidien, 2016)</w:t>
          </w:r>
          <w:r w:rsidR="0002606E" w:rsidRPr="002815F4">
            <w:rPr>
              <w:rFonts w:ascii="Calibri" w:hAnsi="Calibri"/>
              <w:bCs/>
            </w:rPr>
            <w:fldChar w:fldCharType="end"/>
          </w:r>
        </w:sdtContent>
      </w:sdt>
      <w:r w:rsidR="0002606E" w:rsidRPr="002815F4">
        <w:rPr>
          <w:rFonts w:ascii="Calibri" w:hAnsi="Calibri"/>
          <w:bCs/>
        </w:rPr>
        <w:t xml:space="preserve"> </w:t>
      </w:r>
      <w:sdt>
        <w:sdtPr>
          <w:rPr>
            <w:rFonts w:ascii="Calibri" w:hAnsi="Calibri"/>
            <w:bCs/>
          </w:rPr>
          <w:id w:val="1037397764"/>
          <w:citation/>
        </w:sdtPr>
        <w:sdtEndPr/>
        <w:sdtContent>
          <w:r w:rsidR="0002606E" w:rsidRPr="002815F4">
            <w:rPr>
              <w:rFonts w:ascii="Calibri" w:hAnsi="Calibri"/>
              <w:bCs/>
            </w:rPr>
            <w:fldChar w:fldCharType="begin"/>
          </w:r>
          <w:r w:rsidR="0002606E" w:rsidRPr="002815F4">
            <w:rPr>
              <w:rFonts w:ascii="Calibri" w:hAnsi="Calibri"/>
              <w:bCs/>
            </w:rPr>
            <w:instrText xml:space="preserve"> CITATION LeQ17 \l 1033 </w:instrText>
          </w:r>
          <w:r w:rsidR="0002606E" w:rsidRPr="002815F4">
            <w:rPr>
              <w:rFonts w:ascii="Calibri" w:hAnsi="Calibri"/>
              <w:bCs/>
            </w:rPr>
            <w:fldChar w:fldCharType="separate"/>
          </w:r>
          <w:r w:rsidR="0002606E" w:rsidRPr="002815F4">
            <w:rPr>
              <w:rFonts w:ascii="Calibri" w:hAnsi="Calibri"/>
              <w:noProof/>
            </w:rPr>
            <w:t>(Le Quotidien, 2017)</w:t>
          </w:r>
          <w:r w:rsidR="0002606E" w:rsidRPr="002815F4">
            <w:rPr>
              <w:rFonts w:ascii="Calibri" w:hAnsi="Calibri"/>
              <w:bCs/>
            </w:rPr>
            <w:fldChar w:fldCharType="end"/>
          </w:r>
        </w:sdtContent>
      </w:sdt>
      <w:r w:rsidR="0002606E" w:rsidRPr="002815F4">
        <w:rPr>
          <w:rFonts w:ascii="Calibri" w:hAnsi="Calibri"/>
          <w:bCs/>
        </w:rPr>
        <w:t xml:space="preserve">. The government has consistently cited the importance of EITI implementation in its announcements of sector reforms such as the establishment of the high-level committee on oil and gas governance reform (COS-PETROGAZ) </w:t>
      </w:r>
      <w:sdt>
        <w:sdtPr>
          <w:rPr>
            <w:rFonts w:ascii="Calibri" w:hAnsi="Calibri"/>
            <w:bCs/>
          </w:rPr>
          <w:id w:val="993838258"/>
          <w:citation/>
        </w:sdtPr>
        <w:sdtEndPr/>
        <w:sdtContent>
          <w:r w:rsidR="0002606E" w:rsidRPr="002815F4">
            <w:rPr>
              <w:rFonts w:ascii="Calibri" w:hAnsi="Calibri"/>
              <w:bCs/>
            </w:rPr>
            <w:fldChar w:fldCharType="begin"/>
          </w:r>
          <w:r w:rsidR="0002606E" w:rsidRPr="002815F4">
            <w:rPr>
              <w:rFonts w:ascii="Calibri" w:hAnsi="Calibri"/>
              <w:bCs/>
            </w:rPr>
            <w:instrText xml:space="preserve"> CITATION Gou16 \l 1033 </w:instrText>
          </w:r>
          <w:r w:rsidR="0002606E" w:rsidRPr="002815F4">
            <w:rPr>
              <w:rFonts w:ascii="Calibri" w:hAnsi="Calibri"/>
              <w:bCs/>
            </w:rPr>
            <w:fldChar w:fldCharType="separate"/>
          </w:r>
          <w:r w:rsidR="0002606E" w:rsidRPr="002815F4">
            <w:rPr>
              <w:rFonts w:ascii="Calibri" w:hAnsi="Calibri"/>
              <w:noProof/>
            </w:rPr>
            <w:t>(Gouvernement du Senegal, 2016)</w:t>
          </w:r>
          <w:r w:rsidR="0002606E" w:rsidRPr="002815F4">
            <w:rPr>
              <w:rFonts w:ascii="Calibri" w:hAnsi="Calibri"/>
              <w:bCs/>
            </w:rPr>
            <w:fldChar w:fldCharType="end"/>
          </w:r>
        </w:sdtContent>
      </w:sdt>
      <w:r w:rsidR="0002606E" w:rsidRPr="002815F4">
        <w:rPr>
          <w:rFonts w:ascii="Calibri" w:hAnsi="Calibri"/>
          <w:bCs/>
        </w:rPr>
        <w:t>.</w:t>
      </w:r>
      <w:r w:rsidR="004065E7" w:rsidRPr="002815F4">
        <w:rPr>
          <w:rFonts w:ascii="Calibri" w:hAnsi="Calibri"/>
          <w:bCs/>
        </w:rPr>
        <w:t xml:space="preserve"> While none of the stakeholders consulted raised any serious concerns over the medium-term sustainability of the EITI, with most stakeholders considering that the EITI had not become politicised in Senegal and retained a reputation for independence, a few stakeholders expressed general concern over the possible politicisation of the EITI in future, ahead of general elections planned for 2019. </w:t>
      </w:r>
      <w:r w:rsidR="0077456B">
        <w:rPr>
          <w:rFonts w:ascii="Calibri" w:hAnsi="Calibri"/>
          <w:bCs/>
        </w:rPr>
        <w:t xml:space="preserve">Over the longer term, leveraging on its strong track record of comprehensive and reliable EITI reporting, Senegal EITI will ensure the longer-term sustainability of implementation by moving towards mainstreamed EITI reporting through government and company systems, reducing the costs of reconciliation and freeing up the MSG to focus on analysis of EITI data and follow-up on recommendations. </w:t>
      </w:r>
      <w:r w:rsidR="006462EF" w:rsidRPr="002815F4">
        <w:br w:type="page"/>
      </w:r>
    </w:p>
    <w:p w14:paraId="0331EDBF" w14:textId="58C20ACF" w:rsidR="00BC3EF6" w:rsidRPr="002815F4" w:rsidRDefault="00AE51FA" w:rsidP="00764C60">
      <w:pPr>
        <w:pStyle w:val="Heading1"/>
      </w:pPr>
      <w:bookmarkStart w:id="465" w:name="_Toc452707651"/>
      <w:bookmarkStart w:id="466" w:name="_Toc459133209"/>
      <w:bookmarkStart w:id="467" w:name="_Toc461803158"/>
      <w:bookmarkStart w:id="468" w:name="_Toc461787369"/>
      <w:bookmarkStart w:id="469" w:name="_Toc461795881"/>
      <w:bookmarkStart w:id="470" w:name="_Toc462149213"/>
      <w:r w:rsidRPr="002815F4">
        <w:t>Annexes</w:t>
      </w:r>
      <w:bookmarkEnd w:id="465"/>
      <w:bookmarkEnd w:id="466"/>
      <w:bookmarkEnd w:id="467"/>
      <w:bookmarkEnd w:id="468"/>
      <w:bookmarkEnd w:id="469"/>
      <w:bookmarkEnd w:id="470"/>
      <w:r w:rsidRPr="002815F4">
        <w:t xml:space="preserve"> </w:t>
      </w:r>
    </w:p>
    <w:p w14:paraId="18CBCB9E" w14:textId="6CED5442" w:rsidR="00BB23C1" w:rsidRPr="002815F4" w:rsidRDefault="00A843C6" w:rsidP="009B3E66">
      <w:pPr>
        <w:pStyle w:val="Heading2"/>
      </w:pPr>
      <w:bookmarkStart w:id="471" w:name="_Toc452707652"/>
      <w:bookmarkStart w:id="472" w:name="_Toc459133210"/>
      <w:bookmarkStart w:id="473" w:name="_Toc461803159"/>
      <w:bookmarkStart w:id="474" w:name="_Toc461787370"/>
      <w:bookmarkStart w:id="475" w:name="_Toc461795882"/>
      <w:bookmarkStart w:id="476" w:name="_Toc462149214"/>
      <w:r w:rsidRPr="002815F4">
        <w:t xml:space="preserve">Annex A - </w:t>
      </w:r>
      <w:r w:rsidR="00AE51FA" w:rsidRPr="002815F4">
        <w:t xml:space="preserve">List of MSG members </w:t>
      </w:r>
      <w:bookmarkEnd w:id="471"/>
      <w:bookmarkEnd w:id="472"/>
      <w:bookmarkEnd w:id="473"/>
      <w:bookmarkEnd w:id="474"/>
      <w:bookmarkEnd w:id="475"/>
      <w:bookmarkEnd w:id="476"/>
      <w:r w:rsidR="00A800F7" w:rsidRPr="002815F4">
        <w:t>(as of 1 July 2017)</w:t>
      </w:r>
    </w:p>
    <w:p w14:paraId="39CC30E3" w14:textId="5C7BCC20" w:rsidR="00FF2BB8" w:rsidRPr="002815F4" w:rsidRDefault="00FF2BB8" w:rsidP="00BB23C1">
      <w:pPr>
        <w:widowControl/>
        <w:suppressAutoHyphens w:val="0"/>
        <w:spacing w:after="0" w:line="240" w:lineRule="auto"/>
        <w:rPr>
          <w:rFonts w:ascii="Calibri" w:hAnsi="Calibri"/>
          <w:bCs/>
        </w:rPr>
      </w:pPr>
      <w:r w:rsidRPr="002815F4">
        <w:rPr>
          <w:rFonts w:ascii="Calibri" w:hAnsi="Calibri"/>
          <w:bCs/>
        </w:rPr>
        <w:t>Government:</w:t>
      </w:r>
    </w:p>
    <w:p w14:paraId="7D3E972F" w14:textId="1BA7AB14" w:rsidR="00BB23C1" w:rsidRPr="00863985" w:rsidRDefault="00BB23C1" w:rsidP="00FF1374">
      <w:pPr>
        <w:pStyle w:val="ListParagraph"/>
        <w:numPr>
          <w:ilvl w:val="0"/>
          <w:numId w:val="50"/>
        </w:numPr>
        <w:rPr>
          <w:lang w:val="fr-FR"/>
        </w:rPr>
      </w:pPr>
      <w:r w:rsidRPr="00863985">
        <w:rPr>
          <w:lang w:val="fr-FR"/>
        </w:rPr>
        <w:t>Ismaila Madior FALL</w:t>
      </w:r>
      <w:r w:rsidR="00FF2BB8" w:rsidRPr="00863985">
        <w:rPr>
          <w:lang w:val="fr-FR"/>
        </w:rPr>
        <w:t xml:space="preserve">, </w:t>
      </w:r>
      <w:r w:rsidRPr="00863985">
        <w:rPr>
          <w:lang w:val="fr-FR"/>
        </w:rPr>
        <w:t>Ministre, Conseiller</w:t>
      </w:r>
      <w:r w:rsidR="00FF2BB8" w:rsidRPr="00863985">
        <w:rPr>
          <w:lang w:val="fr-FR"/>
        </w:rPr>
        <w:t xml:space="preserve">, </w:t>
      </w:r>
      <w:r w:rsidRPr="00863985">
        <w:rPr>
          <w:lang w:val="fr-FR"/>
        </w:rPr>
        <w:t>Présidence de la République</w:t>
      </w:r>
      <w:r w:rsidRPr="00863985">
        <w:rPr>
          <w:lang w:val="fr-FR"/>
        </w:rPr>
        <w:tab/>
      </w:r>
    </w:p>
    <w:p w14:paraId="1B97C701" w14:textId="0A5ADFD5" w:rsidR="00FF2BB8" w:rsidRPr="002815F4" w:rsidRDefault="00FF2BB8" w:rsidP="00FF1374">
      <w:pPr>
        <w:pStyle w:val="ListParagraph"/>
        <w:numPr>
          <w:ilvl w:val="0"/>
          <w:numId w:val="50"/>
        </w:numPr>
      </w:pPr>
      <w:r w:rsidRPr="002815F4">
        <w:t>Massata CISSE, Primature</w:t>
      </w:r>
    </w:p>
    <w:p w14:paraId="1762BAF8" w14:textId="5B499F61" w:rsidR="00BB23C1" w:rsidRPr="00863985" w:rsidRDefault="00FF2BB8" w:rsidP="00FF1374">
      <w:pPr>
        <w:pStyle w:val="ListParagraph"/>
        <w:numPr>
          <w:ilvl w:val="0"/>
          <w:numId w:val="50"/>
        </w:numPr>
        <w:rPr>
          <w:lang w:val="fr-FR"/>
        </w:rPr>
      </w:pPr>
      <w:r w:rsidRPr="00863985">
        <w:rPr>
          <w:lang w:val="fr-FR"/>
        </w:rPr>
        <w:t xml:space="preserve">Aminata Ndoye TOURE, </w:t>
      </w:r>
      <w:r w:rsidR="00BB23C1" w:rsidRPr="00863985">
        <w:rPr>
          <w:lang w:val="fr-FR"/>
        </w:rPr>
        <w:t>Directrice des Hydrocarbures</w:t>
      </w:r>
      <w:r w:rsidRPr="00863985">
        <w:rPr>
          <w:lang w:val="fr-FR"/>
        </w:rPr>
        <w:t xml:space="preserve">, </w:t>
      </w:r>
      <w:r w:rsidR="00BB23C1" w:rsidRPr="00863985">
        <w:rPr>
          <w:lang w:val="fr-FR"/>
        </w:rPr>
        <w:t xml:space="preserve">Ministère de l’énergie </w:t>
      </w:r>
    </w:p>
    <w:p w14:paraId="035515EB" w14:textId="32744480" w:rsidR="00FF2BB8" w:rsidRPr="00863985" w:rsidRDefault="00FF2BB8" w:rsidP="00FF1374">
      <w:pPr>
        <w:pStyle w:val="ListParagraph"/>
        <w:numPr>
          <w:ilvl w:val="0"/>
          <w:numId w:val="50"/>
        </w:numPr>
        <w:rPr>
          <w:lang w:val="fr-FR"/>
        </w:rPr>
      </w:pPr>
      <w:r w:rsidRPr="00863985">
        <w:rPr>
          <w:lang w:val="fr-FR"/>
        </w:rPr>
        <w:t>Mor FALL, Inspecteur des Impôts et Domaines, Direction Générale des Impôts et Domaines</w:t>
      </w:r>
    </w:p>
    <w:p w14:paraId="24BC3A83" w14:textId="53CA441D" w:rsidR="00FF2BB8" w:rsidRPr="00863985" w:rsidRDefault="00703268" w:rsidP="00FF1374">
      <w:pPr>
        <w:pStyle w:val="ListParagraph"/>
        <w:numPr>
          <w:ilvl w:val="0"/>
          <w:numId w:val="50"/>
        </w:numPr>
        <w:rPr>
          <w:lang w:val="fr-FR"/>
        </w:rPr>
      </w:pPr>
      <w:r w:rsidRPr="00863985">
        <w:rPr>
          <w:lang w:val="fr-FR"/>
        </w:rPr>
        <w:t xml:space="preserve">Khadija DRAME, Juriste, </w:t>
      </w:r>
      <w:r w:rsidR="00FF2BB8" w:rsidRPr="00863985">
        <w:rPr>
          <w:lang w:val="fr-FR"/>
        </w:rPr>
        <w:t>Direction de l’environnement</w:t>
      </w:r>
    </w:p>
    <w:p w14:paraId="2EB67A7D" w14:textId="63BB262F" w:rsidR="00FF2BB8" w:rsidRPr="00863985" w:rsidRDefault="00FF2BB8" w:rsidP="00FF1374">
      <w:pPr>
        <w:pStyle w:val="ListParagraph"/>
        <w:numPr>
          <w:ilvl w:val="0"/>
          <w:numId w:val="50"/>
        </w:numPr>
        <w:rPr>
          <w:lang w:val="fr-FR"/>
        </w:rPr>
      </w:pPr>
      <w:r w:rsidRPr="00863985">
        <w:rPr>
          <w:lang w:val="fr-FR"/>
        </w:rPr>
        <w:t>Raymond SAGNA, Chef de Division, Ministére des Mines</w:t>
      </w:r>
    </w:p>
    <w:p w14:paraId="0EBDCE2E" w14:textId="1DB4CC51" w:rsidR="00FF2BB8" w:rsidRPr="00863985" w:rsidRDefault="00FF2BB8" w:rsidP="00FF1374">
      <w:pPr>
        <w:pStyle w:val="ListParagraph"/>
        <w:numPr>
          <w:ilvl w:val="0"/>
          <w:numId w:val="50"/>
        </w:numPr>
        <w:rPr>
          <w:lang w:val="fr-FR"/>
        </w:rPr>
      </w:pPr>
      <w:r w:rsidRPr="00863985">
        <w:rPr>
          <w:lang w:val="fr-FR"/>
        </w:rPr>
        <w:t>Massene GADIAGA, Econometre, Direction Générale des Douanes</w:t>
      </w:r>
    </w:p>
    <w:p w14:paraId="0ED69E96" w14:textId="3C0F00D7" w:rsidR="00FF2BB8" w:rsidRPr="00E2507C" w:rsidRDefault="00FF2BB8" w:rsidP="00FF1374">
      <w:pPr>
        <w:pStyle w:val="ListParagraph"/>
        <w:numPr>
          <w:ilvl w:val="0"/>
          <w:numId w:val="50"/>
        </w:numPr>
        <w:rPr>
          <w:lang w:val="fr-FR"/>
        </w:rPr>
      </w:pPr>
      <w:r w:rsidRPr="00E2507C">
        <w:rPr>
          <w:lang w:val="fr-FR"/>
        </w:rPr>
        <w:t>Gorgui FALL, Direction Générale de la Comptabilité Publique et du Trésor</w:t>
      </w:r>
    </w:p>
    <w:p w14:paraId="4C107C7C" w14:textId="77777777" w:rsidR="00FF2BB8" w:rsidRPr="00863985" w:rsidRDefault="00FF2BB8" w:rsidP="00FF1374">
      <w:pPr>
        <w:pStyle w:val="ListParagraph"/>
        <w:numPr>
          <w:ilvl w:val="0"/>
          <w:numId w:val="50"/>
        </w:numPr>
        <w:rPr>
          <w:lang w:val="fr-FR"/>
        </w:rPr>
      </w:pPr>
      <w:r w:rsidRPr="00863985">
        <w:rPr>
          <w:lang w:val="fr-FR"/>
        </w:rPr>
        <w:t>Aissatou SY, Conseillère juridique, Petrosen</w:t>
      </w:r>
      <w:r w:rsidRPr="00863985">
        <w:rPr>
          <w:lang w:val="fr-FR"/>
        </w:rPr>
        <w:tab/>
      </w:r>
    </w:p>
    <w:p w14:paraId="2F84859A" w14:textId="77777777" w:rsidR="00FF2BB8" w:rsidRPr="00863985" w:rsidRDefault="00FF2BB8" w:rsidP="00FF2BB8">
      <w:pPr>
        <w:widowControl/>
        <w:suppressAutoHyphens w:val="0"/>
        <w:spacing w:after="0" w:line="240" w:lineRule="auto"/>
        <w:rPr>
          <w:rFonts w:ascii="Calibri" w:hAnsi="Calibri"/>
          <w:lang w:val="fr-FR"/>
        </w:rPr>
      </w:pPr>
    </w:p>
    <w:p w14:paraId="1F9801D0" w14:textId="1452DC37" w:rsidR="00FF2BB8" w:rsidRPr="002815F4" w:rsidRDefault="00FF2BB8" w:rsidP="00FF2BB8">
      <w:pPr>
        <w:widowControl/>
        <w:suppressAutoHyphens w:val="0"/>
        <w:spacing w:after="0" w:line="240" w:lineRule="auto"/>
        <w:rPr>
          <w:rFonts w:ascii="Calibri" w:hAnsi="Calibri"/>
          <w:bCs/>
        </w:rPr>
      </w:pPr>
      <w:r w:rsidRPr="002815F4">
        <w:rPr>
          <w:rFonts w:ascii="Calibri" w:hAnsi="Calibri"/>
          <w:bCs/>
        </w:rPr>
        <w:t>Industry:</w:t>
      </w:r>
    </w:p>
    <w:p w14:paraId="41CC3541" w14:textId="26A00189" w:rsidR="00FF2BB8" w:rsidRPr="00863985" w:rsidRDefault="00FF2BB8" w:rsidP="00FF1374">
      <w:pPr>
        <w:pStyle w:val="ListParagraph"/>
        <w:numPr>
          <w:ilvl w:val="0"/>
          <w:numId w:val="49"/>
        </w:numPr>
        <w:rPr>
          <w:lang w:val="fr-FR"/>
        </w:rPr>
      </w:pPr>
      <w:r w:rsidRPr="00863985">
        <w:rPr>
          <w:lang w:val="fr-FR"/>
        </w:rPr>
        <w:t xml:space="preserve">Bruno DELANOUE, PCA, Grande Côte Opération </w:t>
      </w:r>
    </w:p>
    <w:p w14:paraId="3FA9CCC7" w14:textId="6367BEE8" w:rsidR="00FF2BB8" w:rsidRPr="002815F4" w:rsidRDefault="00FF2BB8" w:rsidP="00FF1374">
      <w:pPr>
        <w:pStyle w:val="ListParagraph"/>
        <w:numPr>
          <w:ilvl w:val="0"/>
          <w:numId w:val="49"/>
        </w:numPr>
      </w:pPr>
      <w:r w:rsidRPr="002815F4">
        <w:t>Seyni TOURE, Cairn Energy</w:t>
      </w:r>
    </w:p>
    <w:p w14:paraId="5A387C0C" w14:textId="1E13B7D4" w:rsidR="00FF2BB8" w:rsidRPr="002815F4" w:rsidRDefault="00FF2BB8" w:rsidP="00FF1374">
      <w:pPr>
        <w:pStyle w:val="ListParagraph"/>
        <w:numPr>
          <w:ilvl w:val="0"/>
          <w:numId w:val="49"/>
        </w:numPr>
      </w:pPr>
      <w:r w:rsidRPr="002815F4">
        <w:t>Elton DIALLO, Fortesa Sénégal</w:t>
      </w:r>
    </w:p>
    <w:p w14:paraId="2A7F250E" w14:textId="758008EB" w:rsidR="00FF2BB8" w:rsidRPr="002815F4" w:rsidRDefault="00FF2BB8" w:rsidP="00FF1374">
      <w:pPr>
        <w:pStyle w:val="ListParagraph"/>
        <w:numPr>
          <w:ilvl w:val="0"/>
          <w:numId w:val="49"/>
        </w:numPr>
      </w:pPr>
      <w:r w:rsidRPr="002815F4">
        <w:t>Marie DIOP, Directrice Affaire Coorporate, IAMGold</w:t>
      </w:r>
    </w:p>
    <w:p w14:paraId="469F154A" w14:textId="1C4BD663" w:rsidR="00FF2BB8" w:rsidRPr="002815F4" w:rsidRDefault="00FF2BB8" w:rsidP="00FF1374">
      <w:pPr>
        <w:pStyle w:val="ListParagraph"/>
        <w:numPr>
          <w:ilvl w:val="0"/>
          <w:numId w:val="49"/>
        </w:numPr>
      </w:pPr>
      <w:r w:rsidRPr="002815F4">
        <w:t>Moctar DIAW, Directeur QSE, SOCOCIM</w:t>
      </w:r>
    </w:p>
    <w:p w14:paraId="4BF69004" w14:textId="77777777" w:rsidR="00FF2BB8" w:rsidRPr="002815F4" w:rsidRDefault="00FF2BB8" w:rsidP="00BB23C1">
      <w:pPr>
        <w:widowControl/>
        <w:suppressAutoHyphens w:val="0"/>
        <w:spacing w:after="0" w:line="240" w:lineRule="auto"/>
        <w:rPr>
          <w:rFonts w:ascii="Calibri" w:hAnsi="Calibri"/>
          <w:bCs/>
        </w:rPr>
      </w:pPr>
    </w:p>
    <w:p w14:paraId="0D3B6BAB" w14:textId="2A9FE373" w:rsidR="00FF2BB8" w:rsidRPr="002815F4" w:rsidRDefault="00FF2BB8" w:rsidP="00BB23C1">
      <w:pPr>
        <w:widowControl/>
        <w:suppressAutoHyphens w:val="0"/>
        <w:spacing w:after="0" w:line="240" w:lineRule="auto"/>
        <w:rPr>
          <w:rFonts w:ascii="Calibri" w:hAnsi="Calibri"/>
          <w:bCs/>
        </w:rPr>
      </w:pPr>
      <w:r w:rsidRPr="002815F4">
        <w:rPr>
          <w:rFonts w:ascii="Calibri" w:hAnsi="Calibri"/>
          <w:bCs/>
        </w:rPr>
        <w:t>Civil society:</w:t>
      </w:r>
    </w:p>
    <w:p w14:paraId="5C7D7928" w14:textId="4BE31575" w:rsidR="00FF2BB8" w:rsidRPr="002815F4" w:rsidRDefault="00FF2BB8" w:rsidP="00FF1374">
      <w:pPr>
        <w:pStyle w:val="ListParagraph"/>
        <w:numPr>
          <w:ilvl w:val="0"/>
          <w:numId w:val="48"/>
        </w:numPr>
      </w:pPr>
      <w:r w:rsidRPr="002815F4">
        <w:t>Seydi GASSAMA, Directeur, Amnesty Sénégal</w:t>
      </w:r>
    </w:p>
    <w:p w14:paraId="4957B985" w14:textId="77777777" w:rsidR="003E626E" w:rsidRPr="00863985" w:rsidRDefault="003E626E" w:rsidP="00FF1374">
      <w:pPr>
        <w:pStyle w:val="ListParagraph"/>
        <w:numPr>
          <w:ilvl w:val="0"/>
          <w:numId w:val="48"/>
        </w:numPr>
        <w:rPr>
          <w:lang w:val="fr-FR"/>
        </w:rPr>
      </w:pPr>
      <w:r w:rsidRPr="00863985">
        <w:rPr>
          <w:lang w:val="fr-FR"/>
        </w:rPr>
        <w:t>Abdoul AZIZ DIOP, Coalition PCVP Sénégal, Forum Civil</w:t>
      </w:r>
      <w:r w:rsidRPr="00863985">
        <w:rPr>
          <w:lang w:val="fr-FR"/>
        </w:rPr>
        <w:tab/>
      </w:r>
    </w:p>
    <w:p w14:paraId="4574F763" w14:textId="77777777" w:rsidR="003E626E" w:rsidRPr="002815F4" w:rsidRDefault="003E626E" w:rsidP="00FF1374">
      <w:pPr>
        <w:pStyle w:val="ListParagraph"/>
        <w:numPr>
          <w:ilvl w:val="0"/>
          <w:numId w:val="48"/>
        </w:numPr>
      </w:pPr>
      <w:r w:rsidRPr="002815F4">
        <w:t>Ibrahima YADE, CONGAD</w:t>
      </w:r>
    </w:p>
    <w:p w14:paraId="3B3FFFB3" w14:textId="0EF1469D" w:rsidR="003E626E" w:rsidRPr="002815F4" w:rsidRDefault="003E626E" w:rsidP="00FF1374">
      <w:pPr>
        <w:pStyle w:val="ListParagraph"/>
        <w:numPr>
          <w:ilvl w:val="0"/>
          <w:numId w:val="48"/>
        </w:numPr>
      </w:pPr>
      <w:r w:rsidRPr="002815F4">
        <w:t>Mor KHOUMA, RADDHO</w:t>
      </w:r>
    </w:p>
    <w:p w14:paraId="61514CF1" w14:textId="592E9C26" w:rsidR="003E626E" w:rsidRPr="002815F4" w:rsidRDefault="003E626E" w:rsidP="00FF1374">
      <w:pPr>
        <w:pStyle w:val="ListParagraph"/>
        <w:numPr>
          <w:ilvl w:val="0"/>
          <w:numId w:val="48"/>
        </w:numPr>
      </w:pPr>
      <w:r w:rsidRPr="002815F4">
        <w:t>Boubacar D TAMBA, Journaliste, AGERNA</w:t>
      </w:r>
    </w:p>
    <w:p w14:paraId="627A7542" w14:textId="033A52C6" w:rsidR="003E626E" w:rsidRPr="00863985" w:rsidRDefault="003E626E" w:rsidP="00FF1374">
      <w:pPr>
        <w:pStyle w:val="ListParagraph"/>
        <w:numPr>
          <w:ilvl w:val="0"/>
          <w:numId w:val="48"/>
        </w:numPr>
        <w:rPr>
          <w:lang w:val="fr-FR"/>
        </w:rPr>
      </w:pPr>
      <w:r w:rsidRPr="00863985">
        <w:rPr>
          <w:lang w:val="fr-FR"/>
        </w:rPr>
        <w:t>Gadiaga DIOP, Secrétaire chargée du Genre, SYNPICS</w:t>
      </w:r>
    </w:p>
    <w:p w14:paraId="56F7F318" w14:textId="6F862CB3" w:rsidR="003E626E" w:rsidRPr="002815F4" w:rsidRDefault="003E626E" w:rsidP="00FF1374">
      <w:pPr>
        <w:pStyle w:val="ListParagraph"/>
        <w:numPr>
          <w:ilvl w:val="0"/>
          <w:numId w:val="48"/>
        </w:numPr>
      </w:pPr>
      <w:r w:rsidRPr="002815F4">
        <w:t>Serigne Moustapha KA, Expert-Comptable, ONECCA</w:t>
      </w:r>
    </w:p>
    <w:p w14:paraId="0FB20416" w14:textId="096DC6C5" w:rsidR="003E626E" w:rsidRPr="002815F4" w:rsidRDefault="003E626E" w:rsidP="00FF1374">
      <w:pPr>
        <w:pStyle w:val="ListParagraph"/>
        <w:numPr>
          <w:ilvl w:val="0"/>
          <w:numId w:val="48"/>
        </w:numPr>
      </w:pPr>
      <w:r w:rsidRPr="002815F4">
        <w:t>Couma NDONG, Elu Local, UAEL</w:t>
      </w:r>
      <w:r w:rsidRPr="002815F4">
        <w:tab/>
      </w:r>
    </w:p>
    <w:p w14:paraId="54912D82" w14:textId="536F21CC" w:rsidR="00FF2BB8" w:rsidRPr="00863985" w:rsidRDefault="00BB23C1" w:rsidP="00FF1374">
      <w:pPr>
        <w:pStyle w:val="ListParagraph"/>
        <w:numPr>
          <w:ilvl w:val="0"/>
          <w:numId w:val="48"/>
        </w:numPr>
        <w:rPr>
          <w:lang w:val="fr-FR"/>
        </w:rPr>
      </w:pPr>
      <w:r w:rsidRPr="00863985">
        <w:rPr>
          <w:lang w:val="fr-FR"/>
        </w:rPr>
        <w:t>Honorable Mamadou FAYE</w:t>
      </w:r>
      <w:r w:rsidR="00FF2BB8" w:rsidRPr="00863985">
        <w:rPr>
          <w:lang w:val="fr-FR"/>
        </w:rPr>
        <w:t>, Vice-Président Commission Aménagement du Territoire, Assemblée nationale</w:t>
      </w:r>
    </w:p>
    <w:p w14:paraId="5D39349E" w14:textId="68D58CEC" w:rsidR="00BB23C1" w:rsidRPr="002815F4" w:rsidRDefault="00BB23C1" w:rsidP="00FF1374">
      <w:pPr>
        <w:pStyle w:val="ListParagraph"/>
        <w:numPr>
          <w:ilvl w:val="0"/>
          <w:numId w:val="48"/>
        </w:numPr>
      </w:pPr>
      <w:r w:rsidRPr="002815F4">
        <w:t>Cheikh SECK</w:t>
      </w:r>
      <w:r w:rsidR="00FF2BB8" w:rsidRPr="002815F4">
        <w:t>, Assemblée nationale</w:t>
      </w:r>
    </w:p>
    <w:p w14:paraId="30509FC1" w14:textId="77777777" w:rsidR="00FF2BB8" w:rsidRPr="002815F4" w:rsidRDefault="00FF2BB8" w:rsidP="00BB23C1">
      <w:pPr>
        <w:widowControl/>
        <w:suppressAutoHyphens w:val="0"/>
        <w:spacing w:after="0" w:line="240" w:lineRule="auto"/>
        <w:rPr>
          <w:rFonts w:ascii="Calibri" w:hAnsi="Calibri"/>
          <w:bCs/>
        </w:rPr>
      </w:pPr>
    </w:p>
    <w:p w14:paraId="5FEFD9CD" w14:textId="5F68C0C3" w:rsidR="008B459A" w:rsidRPr="002815F4" w:rsidRDefault="00112D9C">
      <w:pPr>
        <w:widowControl/>
        <w:suppressAutoHyphens w:val="0"/>
        <w:spacing w:after="0" w:line="240" w:lineRule="auto"/>
        <w:rPr>
          <w:rFonts w:ascii="Calibri" w:hAnsi="Calibri"/>
          <w:color w:val="000000" w:themeColor="text1"/>
        </w:rPr>
      </w:pPr>
      <w:r w:rsidRPr="002815F4">
        <w:rPr>
          <w:rFonts w:ascii="Calibri" w:hAnsi="Calibri"/>
          <w:bCs/>
          <w:color w:val="000000" w:themeColor="text1"/>
        </w:rPr>
        <w:t xml:space="preserve"> </w:t>
      </w:r>
      <w:r w:rsidR="008B459A" w:rsidRPr="002815F4">
        <w:rPr>
          <w:rFonts w:ascii="Calibri" w:hAnsi="Calibri"/>
          <w:bCs/>
          <w:color w:val="000000" w:themeColor="text1"/>
        </w:rPr>
        <w:br w:type="page"/>
      </w:r>
    </w:p>
    <w:p w14:paraId="3442903C" w14:textId="5D16195E" w:rsidR="00D877A2" w:rsidRPr="002815F4" w:rsidRDefault="00112D9C" w:rsidP="009B3E66">
      <w:pPr>
        <w:pStyle w:val="Heading2"/>
      </w:pPr>
      <w:bookmarkStart w:id="477" w:name="_Toc459133211"/>
      <w:bookmarkStart w:id="478" w:name="_Toc461803160"/>
      <w:bookmarkStart w:id="479" w:name="_Toc461787371"/>
      <w:bookmarkStart w:id="480" w:name="_Toc461795883"/>
      <w:bookmarkStart w:id="481" w:name="_Toc462149215"/>
      <w:bookmarkStart w:id="482" w:name="_Toc452707653"/>
      <w:r w:rsidRPr="002815F4">
        <w:t>Annex B – MS</w:t>
      </w:r>
      <w:r w:rsidR="00D877A2" w:rsidRPr="002815F4">
        <w:t>G meeting attendance</w:t>
      </w:r>
      <w:bookmarkEnd w:id="477"/>
      <w:bookmarkEnd w:id="478"/>
      <w:bookmarkEnd w:id="479"/>
      <w:bookmarkEnd w:id="480"/>
      <w:bookmarkEnd w:id="481"/>
    </w:p>
    <w:p w14:paraId="5995149C" w14:textId="011B8BB8" w:rsidR="00BB23C1" w:rsidRPr="002815F4" w:rsidRDefault="00BB23C1">
      <w:pPr>
        <w:widowControl/>
        <w:suppressAutoHyphens w:val="0"/>
        <w:spacing w:after="0" w:line="240" w:lineRule="auto"/>
        <w:rPr>
          <w:rFonts w:ascii="Calibri" w:hAnsi="Calibri"/>
          <w:bCs/>
        </w:rPr>
      </w:pPr>
      <w:r w:rsidRPr="002815F4">
        <w:rPr>
          <w:rFonts w:ascii="Calibri" w:hAnsi="Calibri"/>
          <w:bCs/>
          <w:noProof/>
          <w:lang w:val="en-US"/>
        </w:rPr>
        <w:drawing>
          <wp:inline distT="0" distB="0" distL="0" distR="0" wp14:anchorId="1011A214" wp14:editId="541D3F8B">
            <wp:extent cx="6019800" cy="5972175"/>
            <wp:effectExtent l="0" t="0" r="0" b="0"/>
            <wp:docPr id="1" name="Picture 1" descr="/Users/alexgordy/Desktop/Screen Shot 2017-07-29 at 4.58.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exgordy/Desktop/Screen Shot 2017-07-29 at 4.58.35 P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19800" cy="5972175"/>
                    </a:xfrm>
                    <a:prstGeom prst="rect">
                      <a:avLst/>
                    </a:prstGeom>
                    <a:noFill/>
                    <a:ln>
                      <a:noFill/>
                    </a:ln>
                  </pic:spPr>
                </pic:pic>
              </a:graphicData>
            </a:graphic>
          </wp:inline>
        </w:drawing>
      </w:r>
    </w:p>
    <w:p w14:paraId="2BCFC114" w14:textId="77777777" w:rsidR="00BB23C1" w:rsidRPr="002815F4" w:rsidRDefault="00BB23C1">
      <w:pPr>
        <w:widowControl/>
        <w:suppressAutoHyphens w:val="0"/>
        <w:spacing w:after="0" w:line="240" w:lineRule="auto"/>
        <w:rPr>
          <w:rFonts w:ascii="Calibri" w:hAnsi="Calibri"/>
          <w:bCs/>
        </w:rPr>
      </w:pPr>
    </w:p>
    <w:p w14:paraId="22934921" w14:textId="77777777" w:rsidR="00D877A2" w:rsidRPr="002815F4" w:rsidRDefault="00D877A2">
      <w:pPr>
        <w:widowControl/>
        <w:suppressAutoHyphens w:val="0"/>
        <w:spacing w:after="0" w:line="240" w:lineRule="auto"/>
        <w:rPr>
          <w:rFonts w:ascii="Calibri" w:hAnsi="Calibri"/>
          <w:b/>
          <w:bCs/>
          <w:color w:val="365F91"/>
        </w:rPr>
      </w:pPr>
      <w:r w:rsidRPr="002815F4">
        <w:rPr>
          <w:rFonts w:ascii="Calibri" w:hAnsi="Calibri"/>
        </w:rPr>
        <w:br w:type="page"/>
      </w:r>
    </w:p>
    <w:p w14:paraId="0DF29802" w14:textId="0232C4DA" w:rsidR="005E45A9" w:rsidRPr="002815F4" w:rsidRDefault="00A843C6" w:rsidP="009B3E66">
      <w:pPr>
        <w:pStyle w:val="Heading2"/>
      </w:pPr>
      <w:bookmarkStart w:id="483" w:name="_Toc459133212"/>
      <w:bookmarkStart w:id="484" w:name="_Toc461803161"/>
      <w:bookmarkStart w:id="485" w:name="_Toc461787372"/>
      <w:bookmarkStart w:id="486" w:name="_Toc461795884"/>
      <w:bookmarkStart w:id="487" w:name="_Toc462149216"/>
      <w:r w:rsidRPr="002815F4">
        <w:t xml:space="preserve">Annex </w:t>
      </w:r>
      <w:r w:rsidR="00D877A2" w:rsidRPr="002815F4">
        <w:t>C</w:t>
      </w:r>
      <w:r w:rsidRPr="002815F4">
        <w:t xml:space="preserve"> </w:t>
      </w:r>
      <w:r w:rsidR="005E45A9" w:rsidRPr="002815F4">
        <w:t>–</w:t>
      </w:r>
      <w:r w:rsidRPr="002815F4">
        <w:t xml:space="preserve"> </w:t>
      </w:r>
      <w:r w:rsidR="00112D9C" w:rsidRPr="002815F4">
        <w:t xml:space="preserve">Cost of </w:t>
      </w:r>
      <w:r w:rsidR="005E45A9" w:rsidRPr="002815F4">
        <w:t>EITI Reports</w:t>
      </w:r>
      <w:bookmarkEnd w:id="483"/>
      <w:bookmarkEnd w:id="484"/>
      <w:bookmarkEnd w:id="485"/>
      <w:bookmarkEnd w:id="486"/>
      <w:bookmarkEnd w:id="487"/>
    </w:p>
    <w:tbl>
      <w:tblPr>
        <w:tblStyle w:val="TableGrid"/>
        <w:tblW w:w="0" w:type="auto"/>
        <w:tblLook w:val="04A0" w:firstRow="1" w:lastRow="0" w:firstColumn="1" w:lastColumn="0" w:noHBand="0" w:noVBand="1"/>
      </w:tblPr>
      <w:tblGrid>
        <w:gridCol w:w="2418"/>
        <w:gridCol w:w="2619"/>
        <w:gridCol w:w="2224"/>
        <w:gridCol w:w="2224"/>
      </w:tblGrid>
      <w:tr w:rsidR="007B1743" w:rsidRPr="002815F4" w14:paraId="01028DAA" w14:textId="77777777" w:rsidTr="00E02D8A">
        <w:tc>
          <w:tcPr>
            <w:tcW w:w="2418" w:type="dxa"/>
            <w:shd w:val="clear" w:color="auto" w:fill="C6D9F1" w:themeFill="text2" w:themeFillTint="33"/>
          </w:tcPr>
          <w:p w14:paraId="47420B3E" w14:textId="7EC8E5BF" w:rsidR="007B1743" w:rsidRPr="002815F4" w:rsidRDefault="007B1743">
            <w:pPr>
              <w:widowControl/>
              <w:suppressAutoHyphens w:val="0"/>
              <w:spacing w:after="0" w:line="240" w:lineRule="auto"/>
              <w:rPr>
                <w:rFonts w:ascii="Calibri" w:hAnsi="Calibri"/>
                <w:b/>
                <w:lang w:val="en-GB"/>
              </w:rPr>
            </w:pPr>
            <w:r w:rsidRPr="002815F4">
              <w:rPr>
                <w:rFonts w:ascii="Calibri" w:hAnsi="Calibri"/>
                <w:b/>
                <w:lang w:val="en-GB"/>
              </w:rPr>
              <w:t>EITI Report</w:t>
            </w:r>
          </w:p>
        </w:tc>
        <w:tc>
          <w:tcPr>
            <w:tcW w:w="2619" w:type="dxa"/>
            <w:shd w:val="clear" w:color="auto" w:fill="C6D9F1" w:themeFill="text2" w:themeFillTint="33"/>
          </w:tcPr>
          <w:p w14:paraId="4BB627A2" w14:textId="60948C90" w:rsidR="007B1743" w:rsidRPr="002815F4" w:rsidRDefault="007B1743">
            <w:pPr>
              <w:widowControl/>
              <w:suppressAutoHyphens w:val="0"/>
              <w:spacing w:after="0" w:line="240" w:lineRule="auto"/>
              <w:rPr>
                <w:rFonts w:ascii="Calibri" w:hAnsi="Calibri"/>
                <w:b/>
                <w:lang w:val="en-GB"/>
              </w:rPr>
            </w:pPr>
            <w:r w:rsidRPr="002815F4">
              <w:rPr>
                <w:rFonts w:ascii="Calibri" w:hAnsi="Calibri"/>
                <w:b/>
                <w:lang w:val="en-GB"/>
              </w:rPr>
              <w:t>Name of Independent Administrator</w:t>
            </w:r>
          </w:p>
        </w:tc>
        <w:tc>
          <w:tcPr>
            <w:tcW w:w="2224" w:type="dxa"/>
            <w:shd w:val="clear" w:color="auto" w:fill="C6D9F1" w:themeFill="text2" w:themeFillTint="33"/>
          </w:tcPr>
          <w:p w14:paraId="6D4FE438" w14:textId="0CB75F67" w:rsidR="007B1743" w:rsidRPr="002815F4" w:rsidRDefault="007B1743">
            <w:pPr>
              <w:widowControl/>
              <w:suppressAutoHyphens w:val="0"/>
              <w:spacing w:after="0" w:line="240" w:lineRule="auto"/>
              <w:rPr>
                <w:rFonts w:ascii="Calibri" w:hAnsi="Calibri"/>
                <w:b/>
                <w:lang w:val="en-GB"/>
              </w:rPr>
            </w:pPr>
            <w:r w:rsidRPr="002815F4">
              <w:rPr>
                <w:rFonts w:ascii="Calibri" w:hAnsi="Calibri"/>
                <w:b/>
                <w:lang w:val="en-GB"/>
              </w:rPr>
              <w:t>Selection method</w:t>
            </w:r>
          </w:p>
        </w:tc>
        <w:tc>
          <w:tcPr>
            <w:tcW w:w="2224" w:type="dxa"/>
            <w:shd w:val="clear" w:color="auto" w:fill="C6D9F1" w:themeFill="text2" w:themeFillTint="33"/>
          </w:tcPr>
          <w:p w14:paraId="261B5116" w14:textId="5E53E216" w:rsidR="007B1743" w:rsidRPr="002815F4" w:rsidRDefault="007B1743">
            <w:pPr>
              <w:widowControl/>
              <w:suppressAutoHyphens w:val="0"/>
              <w:spacing w:after="0" w:line="240" w:lineRule="auto"/>
              <w:rPr>
                <w:rFonts w:ascii="Calibri" w:hAnsi="Calibri"/>
                <w:b/>
                <w:lang w:val="en-GB"/>
              </w:rPr>
            </w:pPr>
            <w:r w:rsidRPr="002815F4">
              <w:rPr>
                <w:rFonts w:ascii="Calibri" w:hAnsi="Calibri"/>
                <w:b/>
                <w:lang w:val="en-GB"/>
              </w:rPr>
              <w:t>Cost</w:t>
            </w:r>
          </w:p>
        </w:tc>
      </w:tr>
      <w:tr w:rsidR="007B1743" w:rsidRPr="002815F4" w14:paraId="71FFA158" w14:textId="77777777" w:rsidTr="00E02D8A">
        <w:tc>
          <w:tcPr>
            <w:tcW w:w="2418" w:type="dxa"/>
          </w:tcPr>
          <w:p w14:paraId="5A016FF9" w14:textId="2094A299" w:rsidR="007B1743" w:rsidRPr="002815F4" w:rsidRDefault="007B1743">
            <w:pPr>
              <w:widowControl/>
              <w:suppressAutoHyphens w:val="0"/>
              <w:spacing w:after="0" w:line="240" w:lineRule="auto"/>
              <w:rPr>
                <w:rFonts w:ascii="Calibri" w:hAnsi="Calibri"/>
                <w:lang w:val="en-GB"/>
              </w:rPr>
            </w:pPr>
            <w:r w:rsidRPr="002815F4">
              <w:rPr>
                <w:rFonts w:ascii="Calibri" w:hAnsi="Calibri"/>
                <w:lang w:val="en-GB"/>
              </w:rPr>
              <w:t>2012-2013 EITI Report</w:t>
            </w:r>
          </w:p>
        </w:tc>
        <w:tc>
          <w:tcPr>
            <w:tcW w:w="2619" w:type="dxa"/>
          </w:tcPr>
          <w:p w14:paraId="04318CA9" w14:textId="0F8BEF76" w:rsidR="007B1743" w:rsidRPr="002815F4" w:rsidRDefault="007B1743">
            <w:pPr>
              <w:widowControl/>
              <w:suppressAutoHyphens w:val="0"/>
              <w:spacing w:after="0" w:line="240" w:lineRule="auto"/>
              <w:rPr>
                <w:rFonts w:ascii="Calibri" w:hAnsi="Calibri"/>
                <w:lang w:val="en-GB"/>
              </w:rPr>
            </w:pPr>
            <w:r w:rsidRPr="002815F4">
              <w:rPr>
                <w:rFonts w:ascii="Calibri" w:hAnsi="Calibri"/>
                <w:lang w:val="en-GB"/>
              </w:rPr>
              <w:t>Fair Links</w:t>
            </w:r>
          </w:p>
        </w:tc>
        <w:tc>
          <w:tcPr>
            <w:tcW w:w="2224" w:type="dxa"/>
          </w:tcPr>
          <w:p w14:paraId="06354DFF" w14:textId="7A79EF92" w:rsidR="007B1743" w:rsidRPr="002815F4" w:rsidRDefault="007B1743">
            <w:pPr>
              <w:widowControl/>
              <w:suppressAutoHyphens w:val="0"/>
              <w:spacing w:after="0" w:line="240" w:lineRule="auto"/>
              <w:rPr>
                <w:rFonts w:ascii="Calibri" w:hAnsi="Calibri"/>
                <w:lang w:val="en-GB"/>
              </w:rPr>
            </w:pPr>
            <w:r w:rsidRPr="002815F4">
              <w:rPr>
                <w:rFonts w:ascii="Calibri" w:hAnsi="Calibri"/>
                <w:lang w:val="en-GB"/>
              </w:rPr>
              <w:t>Quality- and Cost-Based Selection</w:t>
            </w:r>
          </w:p>
        </w:tc>
        <w:tc>
          <w:tcPr>
            <w:tcW w:w="2224" w:type="dxa"/>
          </w:tcPr>
          <w:p w14:paraId="7BEDEF3B" w14:textId="12EB1128" w:rsidR="007B1743" w:rsidRPr="002815F4" w:rsidRDefault="007B1743">
            <w:pPr>
              <w:widowControl/>
              <w:suppressAutoHyphens w:val="0"/>
              <w:spacing w:after="0" w:line="240" w:lineRule="auto"/>
              <w:rPr>
                <w:rFonts w:ascii="Calibri" w:hAnsi="Calibri"/>
                <w:lang w:val="en-GB"/>
              </w:rPr>
            </w:pPr>
            <w:r w:rsidRPr="002815F4">
              <w:rPr>
                <w:rFonts w:ascii="Calibri" w:hAnsi="Calibri"/>
                <w:lang w:val="en-GB"/>
              </w:rPr>
              <w:t>USD 127,873</w:t>
            </w:r>
          </w:p>
        </w:tc>
      </w:tr>
      <w:tr w:rsidR="007B1743" w:rsidRPr="002815F4" w14:paraId="39437AFB" w14:textId="77777777" w:rsidTr="00E02D8A">
        <w:tc>
          <w:tcPr>
            <w:tcW w:w="2418" w:type="dxa"/>
          </w:tcPr>
          <w:p w14:paraId="76DD90FF" w14:textId="4D88908A" w:rsidR="007B1743" w:rsidRPr="002815F4" w:rsidRDefault="007B1743">
            <w:pPr>
              <w:widowControl/>
              <w:suppressAutoHyphens w:val="0"/>
              <w:spacing w:after="0" w:line="240" w:lineRule="auto"/>
              <w:rPr>
                <w:rFonts w:ascii="Calibri" w:hAnsi="Calibri"/>
                <w:lang w:val="en-GB"/>
              </w:rPr>
            </w:pPr>
            <w:r w:rsidRPr="002815F4">
              <w:rPr>
                <w:rFonts w:ascii="Calibri" w:hAnsi="Calibri"/>
                <w:lang w:val="en-GB"/>
              </w:rPr>
              <w:t>2014 EITI Report</w:t>
            </w:r>
          </w:p>
        </w:tc>
        <w:tc>
          <w:tcPr>
            <w:tcW w:w="2619" w:type="dxa"/>
          </w:tcPr>
          <w:p w14:paraId="2D10735C" w14:textId="4E5A331F" w:rsidR="007B1743" w:rsidRPr="002815F4" w:rsidRDefault="007B1743">
            <w:pPr>
              <w:widowControl/>
              <w:suppressAutoHyphens w:val="0"/>
              <w:spacing w:after="0" w:line="240" w:lineRule="auto"/>
              <w:rPr>
                <w:rFonts w:ascii="Calibri" w:hAnsi="Calibri"/>
                <w:lang w:val="en-GB"/>
              </w:rPr>
            </w:pPr>
            <w:r w:rsidRPr="002815F4">
              <w:rPr>
                <w:rFonts w:ascii="Calibri" w:hAnsi="Calibri"/>
                <w:lang w:val="en-GB"/>
              </w:rPr>
              <w:t>Moore Stephens</w:t>
            </w:r>
          </w:p>
        </w:tc>
        <w:tc>
          <w:tcPr>
            <w:tcW w:w="2224" w:type="dxa"/>
          </w:tcPr>
          <w:p w14:paraId="3560DF57" w14:textId="424B5CB0" w:rsidR="007B1743" w:rsidRPr="002815F4" w:rsidRDefault="007B1743">
            <w:pPr>
              <w:widowControl/>
              <w:suppressAutoHyphens w:val="0"/>
              <w:spacing w:after="0" w:line="240" w:lineRule="auto"/>
              <w:rPr>
                <w:rFonts w:ascii="Calibri" w:hAnsi="Calibri"/>
                <w:lang w:val="en-GB"/>
              </w:rPr>
            </w:pPr>
            <w:r w:rsidRPr="002815F4">
              <w:rPr>
                <w:rFonts w:ascii="Calibri" w:hAnsi="Calibri"/>
                <w:lang w:val="en-GB"/>
              </w:rPr>
              <w:t>Consultants' Qualifications Based Selection</w:t>
            </w:r>
          </w:p>
        </w:tc>
        <w:tc>
          <w:tcPr>
            <w:tcW w:w="2224" w:type="dxa"/>
          </w:tcPr>
          <w:p w14:paraId="6B26597A" w14:textId="4FD0B9D3" w:rsidR="007B1743" w:rsidRPr="002815F4" w:rsidRDefault="007B1743">
            <w:pPr>
              <w:widowControl/>
              <w:suppressAutoHyphens w:val="0"/>
              <w:spacing w:after="0" w:line="240" w:lineRule="auto"/>
              <w:rPr>
                <w:rFonts w:ascii="Calibri" w:hAnsi="Calibri"/>
                <w:lang w:val="en-GB"/>
              </w:rPr>
            </w:pPr>
            <w:r w:rsidRPr="002815F4">
              <w:rPr>
                <w:rFonts w:ascii="Calibri" w:hAnsi="Calibri"/>
                <w:lang w:val="en-GB"/>
              </w:rPr>
              <w:t>XOF37,226,859</w:t>
            </w:r>
          </w:p>
        </w:tc>
      </w:tr>
    </w:tbl>
    <w:p w14:paraId="4F07D764" w14:textId="4B81A944" w:rsidR="001F5AD9" w:rsidRPr="002815F4" w:rsidRDefault="00030F12">
      <w:pPr>
        <w:widowControl/>
        <w:suppressAutoHyphens w:val="0"/>
        <w:spacing w:after="0" w:line="240" w:lineRule="auto"/>
        <w:rPr>
          <w:rFonts w:ascii="Calibri" w:hAnsi="Calibri"/>
          <w:i/>
          <w:sz w:val="20"/>
          <w:szCs w:val="20"/>
          <w:u w:val="single"/>
        </w:rPr>
      </w:pPr>
      <w:r w:rsidRPr="002815F4">
        <w:rPr>
          <w:rFonts w:ascii="Calibri" w:hAnsi="Calibri"/>
          <w:i/>
          <w:sz w:val="20"/>
          <w:szCs w:val="20"/>
          <w:u w:val="single"/>
        </w:rPr>
        <w:t>Source: Senegal EITI Secretariat</w:t>
      </w:r>
    </w:p>
    <w:p w14:paraId="72DE92A9" w14:textId="11E7FB01" w:rsidR="007B1743" w:rsidRPr="002815F4" w:rsidRDefault="007B1743">
      <w:pPr>
        <w:widowControl/>
        <w:suppressAutoHyphens w:val="0"/>
        <w:spacing w:after="0" w:line="240" w:lineRule="auto"/>
        <w:rPr>
          <w:rFonts w:ascii="Calibri" w:hAnsi="Calibri"/>
        </w:rPr>
      </w:pPr>
    </w:p>
    <w:p w14:paraId="436B9961" w14:textId="77777777" w:rsidR="007B1743" w:rsidRPr="002815F4" w:rsidRDefault="007B1743">
      <w:pPr>
        <w:widowControl/>
        <w:suppressAutoHyphens w:val="0"/>
        <w:spacing w:after="0" w:line="240" w:lineRule="auto"/>
        <w:rPr>
          <w:rFonts w:ascii="Calibri" w:hAnsi="Calibri"/>
        </w:rPr>
      </w:pPr>
    </w:p>
    <w:p w14:paraId="556C9EC5" w14:textId="77777777" w:rsidR="007B1743" w:rsidRPr="002815F4" w:rsidRDefault="007B1743">
      <w:pPr>
        <w:widowControl/>
        <w:suppressAutoHyphens w:val="0"/>
        <w:spacing w:after="0" w:line="240" w:lineRule="auto"/>
        <w:rPr>
          <w:rFonts w:ascii="Calibri" w:hAnsi="Calibri"/>
        </w:rPr>
        <w:sectPr w:rsidR="007B1743" w:rsidRPr="002815F4" w:rsidSect="00505DFB">
          <w:headerReference w:type="default" r:id="rId28"/>
          <w:headerReference w:type="first" r:id="rId29"/>
          <w:pgSz w:w="11905" w:h="16837"/>
          <w:pgMar w:top="1175" w:right="1276" w:bottom="1418" w:left="1134" w:header="567" w:footer="0" w:gutter="0"/>
          <w:cols w:space="708"/>
          <w:titlePg/>
          <w:docGrid w:linePitch="326"/>
        </w:sectPr>
      </w:pPr>
    </w:p>
    <w:p w14:paraId="7F6C22DF" w14:textId="57DA76A7" w:rsidR="00DF124A" w:rsidRPr="002815F4" w:rsidRDefault="005E45A9" w:rsidP="009B3E66">
      <w:pPr>
        <w:pStyle w:val="Heading2"/>
      </w:pPr>
      <w:bookmarkStart w:id="488" w:name="_Toc459133213"/>
      <w:bookmarkStart w:id="489" w:name="_Toc461803162"/>
      <w:bookmarkStart w:id="490" w:name="_Toc461787373"/>
      <w:bookmarkStart w:id="491" w:name="_Toc461795885"/>
      <w:bookmarkStart w:id="492" w:name="_Toc462149217"/>
      <w:r w:rsidRPr="002815F4">
        <w:t>Annex D -</w:t>
      </w:r>
      <w:r w:rsidR="00A843C6" w:rsidRPr="002815F4">
        <w:t xml:space="preserve"> </w:t>
      </w:r>
      <w:r w:rsidR="00DF124A" w:rsidRPr="002815F4">
        <w:t>List of stakeholders consulted</w:t>
      </w:r>
      <w:bookmarkEnd w:id="482"/>
      <w:bookmarkEnd w:id="488"/>
      <w:bookmarkEnd w:id="489"/>
      <w:bookmarkEnd w:id="490"/>
      <w:bookmarkEnd w:id="491"/>
      <w:bookmarkEnd w:id="492"/>
    </w:p>
    <w:p w14:paraId="7282B600" w14:textId="77777777" w:rsidR="00DF124A" w:rsidRPr="002815F4" w:rsidRDefault="00DF124A" w:rsidP="009B3E66">
      <w:pPr>
        <w:pStyle w:val="Heading2notindexed"/>
      </w:pPr>
      <w:r w:rsidRPr="002815F4">
        <w:t>Government</w:t>
      </w:r>
    </w:p>
    <w:p w14:paraId="059B9E91" w14:textId="258F5298" w:rsidR="00F96031" w:rsidRPr="00863985" w:rsidRDefault="003E79EB" w:rsidP="00E2507C">
      <w:pPr>
        <w:pStyle w:val="ListParagraph"/>
        <w:numPr>
          <w:ilvl w:val="0"/>
          <w:numId w:val="61"/>
        </w:numPr>
        <w:rPr>
          <w:lang w:val="fr-FR"/>
        </w:rPr>
      </w:pPr>
      <w:r w:rsidRPr="00863985">
        <w:rPr>
          <w:lang w:val="fr-FR"/>
        </w:rPr>
        <w:t>PROFESSEUR</w:t>
      </w:r>
      <w:r w:rsidR="00F96031" w:rsidRPr="00863985">
        <w:rPr>
          <w:lang w:val="fr-FR"/>
        </w:rPr>
        <w:t xml:space="preserve"> </w:t>
      </w:r>
      <w:r w:rsidRPr="00863985">
        <w:rPr>
          <w:lang w:val="fr-FR"/>
        </w:rPr>
        <w:t xml:space="preserve">ISMAILA </w:t>
      </w:r>
      <w:r w:rsidR="00A800F7" w:rsidRPr="00863985">
        <w:rPr>
          <w:lang w:val="fr-FR"/>
        </w:rPr>
        <w:t xml:space="preserve">MADIOR </w:t>
      </w:r>
      <w:r w:rsidRPr="00863985">
        <w:rPr>
          <w:lang w:val="fr-FR"/>
        </w:rPr>
        <w:t>FALL</w:t>
      </w:r>
      <w:r w:rsidR="00F96031" w:rsidRPr="00863985">
        <w:rPr>
          <w:lang w:val="fr-FR"/>
        </w:rPr>
        <w:t xml:space="preserve">, Ministre de la Justice et Garde des Sceaux, </w:t>
      </w:r>
      <w:r w:rsidR="00B748E6" w:rsidRPr="00863985">
        <w:rPr>
          <w:lang w:val="fr-FR"/>
        </w:rPr>
        <w:t xml:space="preserve">Ancien </w:t>
      </w:r>
      <w:r w:rsidR="00F96031" w:rsidRPr="00863985">
        <w:rPr>
          <w:lang w:val="fr-FR"/>
        </w:rPr>
        <w:t>Président du Comité National ITIE Sénégal</w:t>
      </w:r>
    </w:p>
    <w:p w14:paraId="7F217FBC" w14:textId="7EADC4E8" w:rsidR="003E79EB" w:rsidRPr="00B748E6" w:rsidRDefault="003E79EB" w:rsidP="00E2507C">
      <w:pPr>
        <w:pStyle w:val="ListParagraph"/>
        <w:numPr>
          <w:ilvl w:val="0"/>
          <w:numId w:val="61"/>
        </w:numPr>
      </w:pPr>
      <w:r w:rsidRPr="00B748E6">
        <w:t xml:space="preserve">MAMADOU MBAYE, GMP/PRIMATURE </w:t>
      </w:r>
    </w:p>
    <w:p w14:paraId="5C7B1151" w14:textId="6B67E18E" w:rsidR="00611F33" w:rsidRPr="00E2507C" w:rsidRDefault="003E79EB" w:rsidP="00E2507C">
      <w:pPr>
        <w:pStyle w:val="ListParagraph"/>
        <w:numPr>
          <w:ilvl w:val="0"/>
          <w:numId w:val="61"/>
        </w:numPr>
        <w:rPr>
          <w:lang w:val="nb-NO"/>
        </w:rPr>
      </w:pPr>
      <w:r w:rsidRPr="00E2507C">
        <w:rPr>
          <w:lang w:val="nb-NO"/>
        </w:rPr>
        <w:t>GORGUI FALL</w:t>
      </w:r>
      <w:r w:rsidR="00F96031" w:rsidRPr="00E2507C">
        <w:rPr>
          <w:lang w:val="nb-NO"/>
        </w:rPr>
        <w:t xml:space="preserve">, GMP/DGCPT/MEFP </w:t>
      </w:r>
    </w:p>
    <w:p w14:paraId="35E8AFCE" w14:textId="0B44E65F" w:rsidR="00611F33" w:rsidRPr="00E2507C" w:rsidRDefault="00611F33" w:rsidP="00E2507C">
      <w:pPr>
        <w:pStyle w:val="ListParagraph"/>
        <w:numPr>
          <w:ilvl w:val="0"/>
          <w:numId w:val="61"/>
        </w:numPr>
        <w:rPr>
          <w:lang w:val="nb-NO"/>
        </w:rPr>
      </w:pPr>
      <w:r w:rsidRPr="00E2507C">
        <w:rPr>
          <w:lang w:val="nb-NO"/>
        </w:rPr>
        <w:t xml:space="preserve">MOR FALL, DMP/DGID/MEFP </w:t>
      </w:r>
    </w:p>
    <w:p w14:paraId="01AB10DF" w14:textId="6D467FA2" w:rsidR="00611F33" w:rsidRPr="002815F4" w:rsidRDefault="00611F33" w:rsidP="00E2507C">
      <w:pPr>
        <w:pStyle w:val="ListParagraph"/>
        <w:numPr>
          <w:ilvl w:val="0"/>
          <w:numId w:val="61"/>
        </w:numPr>
      </w:pPr>
      <w:r w:rsidRPr="002815F4">
        <w:t xml:space="preserve">Thierno Mamadou Fall, DGID/RFSA </w:t>
      </w:r>
    </w:p>
    <w:p w14:paraId="70EB2B34" w14:textId="449B61BD" w:rsidR="00611F33" w:rsidRPr="00E2507C" w:rsidRDefault="00F96031" w:rsidP="00E2507C">
      <w:pPr>
        <w:pStyle w:val="ListParagraph"/>
        <w:numPr>
          <w:ilvl w:val="0"/>
          <w:numId w:val="61"/>
        </w:numPr>
        <w:rPr>
          <w:lang w:val="nb-NO"/>
        </w:rPr>
      </w:pPr>
      <w:r w:rsidRPr="00E2507C">
        <w:rPr>
          <w:lang w:val="nb-NO"/>
        </w:rPr>
        <w:t xml:space="preserve">MASSENE GADIAGA, GMP/DGD </w:t>
      </w:r>
    </w:p>
    <w:p w14:paraId="5BB89D19" w14:textId="18015B1E" w:rsidR="00611F33" w:rsidRPr="00E2507C" w:rsidRDefault="00611F33" w:rsidP="00E2507C">
      <w:pPr>
        <w:pStyle w:val="ListParagraph"/>
        <w:numPr>
          <w:ilvl w:val="0"/>
          <w:numId w:val="61"/>
        </w:numPr>
        <w:rPr>
          <w:lang w:val="nb-NO"/>
        </w:rPr>
      </w:pPr>
      <w:r w:rsidRPr="00E2507C">
        <w:rPr>
          <w:lang w:val="nb-NO"/>
        </w:rPr>
        <w:t xml:space="preserve">ELHADJI NDIAGA SENGHOR, GMP/DGD </w:t>
      </w:r>
    </w:p>
    <w:p w14:paraId="3717C656" w14:textId="07113E02" w:rsidR="00611F33" w:rsidRPr="00B748E6" w:rsidRDefault="00611F33" w:rsidP="00E2507C">
      <w:pPr>
        <w:pStyle w:val="ListParagraph"/>
        <w:numPr>
          <w:ilvl w:val="0"/>
          <w:numId w:val="61"/>
        </w:numPr>
      </w:pPr>
      <w:r w:rsidRPr="00B748E6">
        <w:t xml:space="preserve">RAYMOND SAGNA, GMP/DMG </w:t>
      </w:r>
    </w:p>
    <w:p w14:paraId="4E4F1774" w14:textId="3B84775E" w:rsidR="00611F33" w:rsidRPr="002815F4" w:rsidRDefault="00611F33" w:rsidP="00E2507C">
      <w:pPr>
        <w:pStyle w:val="ListParagraph"/>
        <w:numPr>
          <w:ilvl w:val="0"/>
          <w:numId w:val="61"/>
        </w:numPr>
      </w:pPr>
      <w:r w:rsidRPr="002815F4">
        <w:t xml:space="preserve">ABDOULAYE DIOP, DMG </w:t>
      </w:r>
    </w:p>
    <w:p w14:paraId="60F99C53" w14:textId="08727279" w:rsidR="00F96031" w:rsidRPr="00B748E6" w:rsidRDefault="00F96031" w:rsidP="00E2507C">
      <w:pPr>
        <w:pStyle w:val="ListParagraph"/>
        <w:numPr>
          <w:ilvl w:val="0"/>
          <w:numId w:val="61"/>
        </w:numPr>
      </w:pPr>
      <w:r w:rsidRPr="00B748E6">
        <w:t xml:space="preserve">AMINATA NDOYE TOURE, GMP/DH/MEDER </w:t>
      </w:r>
    </w:p>
    <w:p w14:paraId="7E0D65B2" w14:textId="35DAA3AC" w:rsidR="00F96031" w:rsidRPr="002815F4" w:rsidRDefault="00F96031" w:rsidP="00E2507C">
      <w:pPr>
        <w:pStyle w:val="ListParagraph"/>
        <w:numPr>
          <w:ilvl w:val="0"/>
          <w:numId w:val="61"/>
        </w:numPr>
      </w:pPr>
      <w:r w:rsidRPr="002815F4">
        <w:t xml:space="preserve">KHADIDIATOU DRAME, GMP/DEEC/MEDD </w:t>
      </w:r>
    </w:p>
    <w:p w14:paraId="127A07E1" w14:textId="1FC5C4BE" w:rsidR="00F96031" w:rsidRPr="002815F4" w:rsidRDefault="00F96031" w:rsidP="00E2507C">
      <w:pPr>
        <w:pStyle w:val="ListParagraph"/>
        <w:numPr>
          <w:ilvl w:val="0"/>
          <w:numId w:val="61"/>
        </w:numPr>
      </w:pPr>
      <w:r w:rsidRPr="002815F4">
        <w:t xml:space="preserve">AMINATA NDOYE TOURE, GMP/DH/MEDER </w:t>
      </w:r>
    </w:p>
    <w:p w14:paraId="05927378" w14:textId="01197CE7" w:rsidR="00F96031" w:rsidRPr="00863985" w:rsidRDefault="00F96031" w:rsidP="00E2507C">
      <w:pPr>
        <w:pStyle w:val="ListParagraph"/>
        <w:numPr>
          <w:ilvl w:val="0"/>
          <w:numId w:val="61"/>
        </w:numPr>
        <w:rPr>
          <w:lang w:val="fr-FR"/>
        </w:rPr>
      </w:pPr>
      <w:r w:rsidRPr="00863985">
        <w:rPr>
          <w:lang w:val="fr-FR"/>
        </w:rPr>
        <w:t xml:space="preserve">MOUSTAPHA NIANG, CAISSE DE SECURITE SOCIALE </w:t>
      </w:r>
    </w:p>
    <w:p w14:paraId="4E1CDEC3" w14:textId="49D94F28" w:rsidR="00F96031" w:rsidRPr="00E2507C" w:rsidRDefault="00F96031" w:rsidP="00E2507C">
      <w:pPr>
        <w:pStyle w:val="ListParagraph"/>
        <w:numPr>
          <w:ilvl w:val="0"/>
          <w:numId w:val="61"/>
        </w:numPr>
        <w:rPr>
          <w:lang w:val="nb-NO"/>
        </w:rPr>
      </w:pPr>
      <w:r w:rsidRPr="00E2507C">
        <w:rPr>
          <w:lang w:val="nb-NO"/>
        </w:rPr>
        <w:t xml:space="preserve">EMILIE DIOP, PETROSEN </w:t>
      </w:r>
    </w:p>
    <w:p w14:paraId="4B4E2EB6" w14:textId="30BE95F0" w:rsidR="00F96031" w:rsidRPr="00863985" w:rsidRDefault="00F96031" w:rsidP="00E2507C">
      <w:pPr>
        <w:pStyle w:val="ListParagraph"/>
        <w:numPr>
          <w:ilvl w:val="0"/>
          <w:numId w:val="61"/>
        </w:numPr>
        <w:rPr>
          <w:lang w:val="fr-FR"/>
        </w:rPr>
      </w:pPr>
      <w:r w:rsidRPr="00863985">
        <w:rPr>
          <w:lang w:val="fr-FR"/>
        </w:rPr>
        <w:t xml:space="preserve">TAMALL AMROU SOW, VERIFICATEUR, COUR DES COMPTES </w:t>
      </w:r>
    </w:p>
    <w:p w14:paraId="1162DFB3" w14:textId="1A8AE66A" w:rsidR="00F96031" w:rsidRPr="00863985" w:rsidRDefault="00F96031" w:rsidP="00E2507C">
      <w:pPr>
        <w:pStyle w:val="ListParagraph"/>
        <w:numPr>
          <w:ilvl w:val="0"/>
          <w:numId w:val="61"/>
        </w:numPr>
        <w:rPr>
          <w:lang w:val="fr-FR"/>
        </w:rPr>
      </w:pPr>
      <w:r w:rsidRPr="00863985">
        <w:rPr>
          <w:lang w:val="fr-FR"/>
        </w:rPr>
        <w:t xml:space="preserve">MALICK NGARY FAYE, VERIFICATEUR, COUR DES COMPTES </w:t>
      </w:r>
    </w:p>
    <w:p w14:paraId="192C98DE" w14:textId="5DB63C42" w:rsidR="00F96031" w:rsidRPr="00863985" w:rsidRDefault="00F96031" w:rsidP="00E2507C">
      <w:pPr>
        <w:pStyle w:val="ListParagraph"/>
        <w:numPr>
          <w:ilvl w:val="0"/>
          <w:numId w:val="61"/>
        </w:numPr>
        <w:rPr>
          <w:lang w:val="fr-FR"/>
        </w:rPr>
      </w:pPr>
      <w:r w:rsidRPr="00863985">
        <w:rPr>
          <w:lang w:val="fr-FR"/>
        </w:rPr>
        <w:t>CHEIKH TIDIANE SAMB, VERIFICATEUR, COUR DES COMPTES</w:t>
      </w:r>
    </w:p>
    <w:p w14:paraId="5EF13106" w14:textId="3889DE4F" w:rsidR="00F96031" w:rsidRPr="00863985" w:rsidRDefault="00F96031" w:rsidP="00E2507C">
      <w:pPr>
        <w:pStyle w:val="ListParagraph"/>
        <w:numPr>
          <w:ilvl w:val="0"/>
          <w:numId w:val="61"/>
        </w:numPr>
        <w:rPr>
          <w:lang w:val="fr-FR"/>
        </w:rPr>
      </w:pPr>
      <w:r w:rsidRPr="00863985">
        <w:rPr>
          <w:lang w:val="fr-FR"/>
        </w:rPr>
        <w:t xml:space="preserve">THIERNO I. ARONA DIA, MAGISTRAT, COUR DES COMPTES </w:t>
      </w:r>
    </w:p>
    <w:p w14:paraId="65F28BBE" w14:textId="77777777" w:rsidR="00F96031" w:rsidRPr="00863985" w:rsidRDefault="00F96031" w:rsidP="00E2507C">
      <w:pPr>
        <w:pStyle w:val="ListParagraph"/>
        <w:numPr>
          <w:ilvl w:val="0"/>
          <w:numId w:val="61"/>
        </w:numPr>
        <w:rPr>
          <w:lang w:val="fr-FR"/>
        </w:rPr>
      </w:pPr>
      <w:r w:rsidRPr="00863985">
        <w:rPr>
          <w:lang w:val="fr-FR"/>
        </w:rPr>
        <w:t>MALICK MANSOR NDONG, GREFFIER DE CHAMBRE, COUR DES COMPTES</w:t>
      </w:r>
      <w:r w:rsidRPr="00863985">
        <w:rPr>
          <w:lang w:val="fr-FR"/>
        </w:rPr>
        <w:tab/>
      </w:r>
    </w:p>
    <w:p w14:paraId="24E7ECB0" w14:textId="1C225139" w:rsidR="00F96031" w:rsidRPr="00863985" w:rsidRDefault="00F96031" w:rsidP="00E2507C">
      <w:pPr>
        <w:pStyle w:val="ListParagraph"/>
        <w:numPr>
          <w:ilvl w:val="0"/>
          <w:numId w:val="61"/>
        </w:numPr>
        <w:rPr>
          <w:lang w:val="fr-FR"/>
        </w:rPr>
      </w:pPr>
      <w:r w:rsidRPr="00863985">
        <w:rPr>
          <w:lang w:val="fr-FR"/>
        </w:rPr>
        <w:t xml:space="preserve">MAMADOU FAYE, PRESIDENT DE CHAMBRE, COUR DES COMPTES </w:t>
      </w:r>
    </w:p>
    <w:p w14:paraId="09BF1EC8" w14:textId="6B92A6FC" w:rsidR="003E79EB" w:rsidRPr="002815F4" w:rsidRDefault="003E79EB" w:rsidP="00E2507C">
      <w:pPr>
        <w:pStyle w:val="ListParagraph"/>
        <w:numPr>
          <w:ilvl w:val="0"/>
          <w:numId w:val="61"/>
        </w:numPr>
      </w:pPr>
      <w:r w:rsidRPr="002815F4">
        <w:t xml:space="preserve">MBASSA SENE, GOUVERNANCE </w:t>
      </w:r>
    </w:p>
    <w:p w14:paraId="0501604C" w14:textId="741D02FC" w:rsidR="00F96031" w:rsidRPr="002815F4" w:rsidRDefault="003E79EB" w:rsidP="00E2507C">
      <w:pPr>
        <w:pStyle w:val="ListParagraph"/>
        <w:numPr>
          <w:ilvl w:val="0"/>
          <w:numId w:val="61"/>
        </w:numPr>
      </w:pPr>
      <w:r w:rsidRPr="002815F4">
        <w:t xml:space="preserve">JUSTIN DIEDHIOU, DREEC </w:t>
      </w:r>
    </w:p>
    <w:p w14:paraId="178A1B11" w14:textId="0BA0A2EF" w:rsidR="000A7A93" w:rsidRPr="002815F4" w:rsidRDefault="00DF124A" w:rsidP="009B3E66">
      <w:pPr>
        <w:pStyle w:val="Heading2notindexed"/>
      </w:pPr>
      <w:r w:rsidRPr="002815F4">
        <w:t>Industry</w:t>
      </w:r>
    </w:p>
    <w:p w14:paraId="246D276D" w14:textId="18087E0D" w:rsidR="00F96031" w:rsidRPr="002815F4" w:rsidRDefault="00F96031" w:rsidP="00E2507C">
      <w:pPr>
        <w:pStyle w:val="ListParagraph"/>
        <w:numPr>
          <w:ilvl w:val="0"/>
          <w:numId w:val="62"/>
        </w:numPr>
      </w:pPr>
      <w:r w:rsidRPr="002815F4">
        <w:t xml:space="preserve">BRUNO DELANOUE, GMP/GCO </w:t>
      </w:r>
    </w:p>
    <w:p w14:paraId="0A8E42FD" w14:textId="44B2900F" w:rsidR="00F96031" w:rsidRPr="002815F4" w:rsidRDefault="00F96031" w:rsidP="00E2507C">
      <w:pPr>
        <w:pStyle w:val="ListParagraph"/>
        <w:numPr>
          <w:ilvl w:val="0"/>
          <w:numId w:val="62"/>
        </w:numPr>
      </w:pPr>
      <w:r w:rsidRPr="002815F4">
        <w:t xml:space="preserve">SEYNI TOURE, GMP/CE </w:t>
      </w:r>
    </w:p>
    <w:p w14:paraId="000E53AA" w14:textId="114D5B0E" w:rsidR="008E5F3B" w:rsidRPr="002815F4" w:rsidRDefault="008E5F3B" w:rsidP="00E2507C">
      <w:pPr>
        <w:pStyle w:val="ListParagraph"/>
        <w:numPr>
          <w:ilvl w:val="0"/>
          <w:numId w:val="62"/>
        </w:numPr>
      </w:pPr>
      <w:r w:rsidRPr="002815F4">
        <w:t xml:space="preserve">IBRAHIMA FAYE, SEPHOS/SENEGAL </w:t>
      </w:r>
    </w:p>
    <w:p w14:paraId="40AC4B51" w14:textId="5FAAE620" w:rsidR="008E5F3B" w:rsidRPr="002815F4" w:rsidRDefault="008E5F3B" w:rsidP="00E2507C">
      <w:pPr>
        <w:pStyle w:val="ListParagraph"/>
        <w:numPr>
          <w:ilvl w:val="0"/>
          <w:numId w:val="62"/>
        </w:numPr>
      </w:pPr>
      <w:r w:rsidRPr="002815F4">
        <w:t xml:space="preserve">MBODJI SADIBOU, RAF/ MIFERSO </w:t>
      </w:r>
    </w:p>
    <w:p w14:paraId="2CD242DD" w14:textId="744C9384" w:rsidR="008E5F3B" w:rsidRPr="002815F4" w:rsidRDefault="008E5F3B" w:rsidP="00E2507C">
      <w:pPr>
        <w:pStyle w:val="ListParagraph"/>
        <w:numPr>
          <w:ilvl w:val="0"/>
          <w:numId w:val="62"/>
        </w:numPr>
      </w:pPr>
      <w:r w:rsidRPr="002815F4">
        <w:t xml:space="preserve">IBRAHIMA Samb, AI/ICS </w:t>
      </w:r>
    </w:p>
    <w:p w14:paraId="195BD0A2" w14:textId="38C43201" w:rsidR="008E5F3B" w:rsidRPr="002815F4" w:rsidRDefault="008E5F3B" w:rsidP="00E2507C">
      <w:pPr>
        <w:pStyle w:val="ListParagraph"/>
        <w:numPr>
          <w:ilvl w:val="0"/>
          <w:numId w:val="62"/>
        </w:numPr>
      </w:pPr>
      <w:r w:rsidRPr="002815F4">
        <w:t xml:space="preserve">FRANCOIS CHERPION, SSPT </w:t>
      </w:r>
    </w:p>
    <w:p w14:paraId="725FA11A" w14:textId="59BF1E5D" w:rsidR="008E5F3B" w:rsidRPr="002815F4" w:rsidRDefault="008E5F3B" w:rsidP="00E2507C">
      <w:pPr>
        <w:pStyle w:val="ListParagraph"/>
        <w:numPr>
          <w:ilvl w:val="0"/>
          <w:numId w:val="62"/>
        </w:numPr>
      </w:pPr>
      <w:r w:rsidRPr="002815F4">
        <w:t xml:space="preserve">DIENE THIAM, SGO </w:t>
      </w:r>
    </w:p>
    <w:p w14:paraId="59B462DF" w14:textId="13FCB300" w:rsidR="008E5F3B" w:rsidRPr="002815F4" w:rsidRDefault="008E5F3B" w:rsidP="00E2507C">
      <w:pPr>
        <w:pStyle w:val="ListParagraph"/>
        <w:numPr>
          <w:ilvl w:val="0"/>
          <w:numId w:val="62"/>
        </w:numPr>
      </w:pPr>
      <w:r w:rsidRPr="002815F4">
        <w:t xml:space="preserve">MAMADOU MAR FAYE, KOSMOS </w:t>
      </w:r>
    </w:p>
    <w:p w14:paraId="7841EBBC" w14:textId="606BB8FA" w:rsidR="008E5F3B" w:rsidRPr="002815F4" w:rsidRDefault="008E5F3B" w:rsidP="00E2507C">
      <w:pPr>
        <w:pStyle w:val="ListParagraph"/>
        <w:numPr>
          <w:ilvl w:val="0"/>
          <w:numId w:val="62"/>
        </w:numPr>
      </w:pPr>
      <w:r w:rsidRPr="002815F4">
        <w:t xml:space="preserve">EL HADJI DIALLO, FORTESA </w:t>
      </w:r>
    </w:p>
    <w:p w14:paraId="13FD8CA0" w14:textId="1FA42E95" w:rsidR="008E5F3B" w:rsidRPr="00863985" w:rsidRDefault="008E5F3B" w:rsidP="00E2507C">
      <w:pPr>
        <w:pStyle w:val="ListParagraph"/>
        <w:numPr>
          <w:ilvl w:val="0"/>
          <w:numId w:val="62"/>
        </w:numPr>
        <w:rPr>
          <w:lang w:val="fr-FR"/>
        </w:rPr>
      </w:pPr>
      <w:r w:rsidRPr="00863985">
        <w:rPr>
          <w:lang w:val="fr-FR"/>
        </w:rPr>
        <w:t xml:space="preserve">CAMILLE DEMBA SALL, CIMENTS DU SAHEL </w:t>
      </w:r>
    </w:p>
    <w:p w14:paraId="74426A6C" w14:textId="789BC2D9" w:rsidR="008E5F3B" w:rsidRPr="002815F4" w:rsidRDefault="003E79EB" w:rsidP="00E2507C">
      <w:pPr>
        <w:pStyle w:val="ListParagraph"/>
        <w:numPr>
          <w:ilvl w:val="0"/>
          <w:numId w:val="62"/>
        </w:numPr>
      </w:pPr>
      <w:r w:rsidRPr="002815F4">
        <w:t xml:space="preserve">ASTHOU MBAYE, DANGOTE </w:t>
      </w:r>
    </w:p>
    <w:p w14:paraId="3781FA9B" w14:textId="77777777" w:rsidR="00DF124A" w:rsidRPr="002815F4" w:rsidRDefault="00DF124A" w:rsidP="009B3E66">
      <w:pPr>
        <w:pStyle w:val="Heading2notindexed"/>
      </w:pPr>
      <w:r w:rsidRPr="002815F4">
        <w:t>Civil Society</w:t>
      </w:r>
    </w:p>
    <w:p w14:paraId="12214436" w14:textId="0A8EEBEE" w:rsidR="00F96031" w:rsidRPr="002815F4" w:rsidRDefault="00F96031" w:rsidP="00E2507C">
      <w:pPr>
        <w:pStyle w:val="ListParagraph"/>
        <w:numPr>
          <w:ilvl w:val="0"/>
          <w:numId w:val="63"/>
        </w:numPr>
      </w:pPr>
      <w:r w:rsidRPr="002815F4">
        <w:t xml:space="preserve">ABDOUL AZIZ DIOP, GMP/PCQVP </w:t>
      </w:r>
    </w:p>
    <w:p w14:paraId="21428829" w14:textId="27FDCEEC" w:rsidR="00F96031" w:rsidRPr="002815F4" w:rsidRDefault="00F96031" w:rsidP="00E2507C">
      <w:pPr>
        <w:pStyle w:val="ListParagraph"/>
        <w:numPr>
          <w:ilvl w:val="0"/>
          <w:numId w:val="63"/>
        </w:numPr>
      </w:pPr>
      <w:r w:rsidRPr="002815F4">
        <w:t xml:space="preserve">MOR KHOUMA, GMP/PCQVP </w:t>
      </w:r>
    </w:p>
    <w:p w14:paraId="47A8AA31" w14:textId="199E5B13" w:rsidR="00611F33" w:rsidRPr="002815F4" w:rsidRDefault="00611F33" w:rsidP="00E2507C">
      <w:pPr>
        <w:pStyle w:val="ListParagraph"/>
        <w:numPr>
          <w:ilvl w:val="0"/>
          <w:numId w:val="63"/>
        </w:numPr>
      </w:pPr>
      <w:r w:rsidRPr="002815F4">
        <w:t>ABDOUL MALICKY BOUSSO, PCQVP/SENEGAL</w:t>
      </w:r>
    </w:p>
    <w:p w14:paraId="2C95F969" w14:textId="6B189CF3" w:rsidR="00611F33" w:rsidRPr="002815F4" w:rsidRDefault="00611F33" w:rsidP="00E2507C">
      <w:pPr>
        <w:pStyle w:val="ListParagraph"/>
        <w:numPr>
          <w:ilvl w:val="0"/>
          <w:numId w:val="63"/>
        </w:numPr>
      </w:pPr>
      <w:r w:rsidRPr="002815F4">
        <w:t xml:space="preserve">AMADOU SOW, RADDHO/PCQVP </w:t>
      </w:r>
    </w:p>
    <w:p w14:paraId="108E024C" w14:textId="2A4A0732" w:rsidR="00611F33" w:rsidRPr="002815F4" w:rsidRDefault="00611F33" w:rsidP="00E2507C">
      <w:pPr>
        <w:pStyle w:val="ListParagraph"/>
        <w:numPr>
          <w:ilvl w:val="0"/>
          <w:numId w:val="63"/>
        </w:numPr>
      </w:pPr>
      <w:r w:rsidRPr="002815F4">
        <w:t xml:space="preserve">AYNI AW, RADDHO/PCQVP </w:t>
      </w:r>
    </w:p>
    <w:p w14:paraId="40F8750F" w14:textId="7502D8CF" w:rsidR="00611F33" w:rsidRPr="002815F4" w:rsidRDefault="00F96031" w:rsidP="00E2507C">
      <w:pPr>
        <w:pStyle w:val="ListParagraph"/>
        <w:numPr>
          <w:ilvl w:val="0"/>
          <w:numId w:val="63"/>
        </w:numPr>
      </w:pPr>
      <w:r w:rsidRPr="002815F4">
        <w:t xml:space="preserve">IBRAHIMA YADE, GMP/CONGAD </w:t>
      </w:r>
    </w:p>
    <w:p w14:paraId="2A5DFA63" w14:textId="094480A1" w:rsidR="008E5F3B" w:rsidRPr="002815F4" w:rsidRDefault="00F96031" w:rsidP="00E2507C">
      <w:pPr>
        <w:pStyle w:val="ListParagraph"/>
        <w:numPr>
          <w:ilvl w:val="0"/>
          <w:numId w:val="63"/>
        </w:numPr>
      </w:pPr>
      <w:r w:rsidRPr="002815F4">
        <w:t xml:space="preserve">COUMA NDONG, GMP/UAEL </w:t>
      </w:r>
    </w:p>
    <w:p w14:paraId="725B66E7" w14:textId="240744AE" w:rsidR="008E5F3B" w:rsidRPr="002815F4" w:rsidRDefault="008E5F3B" w:rsidP="00E2507C">
      <w:pPr>
        <w:pStyle w:val="ListParagraph"/>
        <w:numPr>
          <w:ilvl w:val="0"/>
          <w:numId w:val="63"/>
        </w:numPr>
      </w:pPr>
      <w:r w:rsidRPr="002815F4">
        <w:t xml:space="preserve">ABDOURAKHMANE SOW, COS/M23 </w:t>
      </w:r>
    </w:p>
    <w:p w14:paraId="37879BF0" w14:textId="45E296C9" w:rsidR="008E5F3B" w:rsidRPr="002815F4" w:rsidRDefault="008E5F3B" w:rsidP="00E2507C">
      <w:pPr>
        <w:pStyle w:val="ListParagraph"/>
        <w:numPr>
          <w:ilvl w:val="0"/>
          <w:numId w:val="63"/>
        </w:numPr>
      </w:pPr>
      <w:r w:rsidRPr="002815F4">
        <w:t xml:space="preserve">ELHADJI ABDOULAYE SECK, AMNESTY INTERNATIONAL </w:t>
      </w:r>
    </w:p>
    <w:p w14:paraId="1DFA0B90" w14:textId="20BF731D" w:rsidR="00611F33" w:rsidRPr="00E2507C" w:rsidRDefault="00611F33" w:rsidP="00E2507C">
      <w:pPr>
        <w:pStyle w:val="ListParagraph"/>
        <w:numPr>
          <w:ilvl w:val="0"/>
          <w:numId w:val="63"/>
        </w:numPr>
        <w:rPr>
          <w:lang w:val="nb-NO"/>
        </w:rPr>
      </w:pPr>
      <w:r w:rsidRPr="00E2507C">
        <w:rPr>
          <w:lang w:val="nb-NO"/>
        </w:rPr>
        <w:t xml:space="preserve">SEYDI GASSAMA, GMP/AI </w:t>
      </w:r>
    </w:p>
    <w:p w14:paraId="68760EF1" w14:textId="6BAFEE0F" w:rsidR="008E5F3B" w:rsidRPr="002815F4" w:rsidRDefault="008E5F3B" w:rsidP="00E2507C">
      <w:pPr>
        <w:pStyle w:val="ListParagraph"/>
        <w:numPr>
          <w:ilvl w:val="0"/>
          <w:numId w:val="63"/>
        </w:numPr>
      </w:pPr>
      <w:r w:rsidRPr="002815F4">
        <w:t xml:space="preserve">OUMAR DIALLO, SIDH/SENEGAL </w:t>
      </w:r>
    </w:p>
    <w:p w14:paraId="61BB8E4C" w14:textId="574C9D13" w:rsidR="008E5F3B" w:rsidRPr="002815F4" w:rsidRDefault="008E5F3B" w:rsidP="00E2507C">
      <w:pPr>
        <w:pStyle w:val="ListParagraph"/>
        <w:numPr>
          <w:ilvl w:val="0"/>
          <w:numId w:val="63"/>
        </w:numPr>
      </w:pPr>
      <w:r w:rsidRPr="002815F4">
        <w:t xml:space="preserve">PAUL DOMINIQUE CORREA, WORLDVISION </w:t>
      </w:r>
    </w:p>
    <w:p w14:paraId="734EE581" w14:textId="038FABBB" w:rsidR="008E5F3B" w:rsidRPr="002815F4" w:rsidRDefault="008E5F3B" w:rsidP="00E2507C">
      <w:pPr>
        <w:pStyle w:val="ListParagraph"/>
        <w:numPr>
          <w:ilvl w:val="0"/>
          <w:numId w:val="63"/>
        </w:numPr>
      </w:pPr>
      <w:r w:rsidRPr="002815F4">
        <w:t xml:space="preserve">THIALY FAYE, </w:t>
      </w:r>
      <w:r w:rsidR="00B748E6" w:rsidRPr="002815F4">
        <w:t xml:space="preserve">FORUM CIVIL </w:t>
      </w:r>
    </w:p>
    <w:p w14:paraId="0B1ADF61" w14:textId="39BBE73F" w:rsidR="00611F33" w:rsidRPr="002815F4" w:rsidRDefault="00611F33" w:rsidP="00E2507C">
      <w:pPr>
        <w:pStyle w:val="ListParagraph"/>
        <w:numPr>
          <w:ilvl w:val="0"/>
          <w:numId w:val="63"/>
        </w:numPr>
      </w:pPr>
      <w:r w:rsidRPr="002815F4">
        <w:t xml:space="preserve">ABDOULAYE KANE, FORUM CIVIL </w:t>
      </w:r>
    </w:p>
    <w:p w14:paraId="34C77548" w14:textId="78A32C35" w:rsidR="008E5F3B" w:rsidRPr="002815F4" w:rsidRDefault="008E5F3B" w:rsidP="00E2507C">
      <w:pPr>
        <w:pStyle w:val="ListParagraph"/>
        <w:numPr>
          <w:ilvl w:val="0"/>
          <w:numId w:val="63"/>
        </w:numPr>
      </w:pPr>
      <w:r w:rsidRPr="002815F4">
        <w:t xml:space="preserve">DIARY SOW, WATHI </w:t>
      </w:r>
    </w:p>
    <w:p w14:paraId="62EB28E4" w14:textId="26E3E2AB" w:rsidR="008E5F3B" w:rsidRPr="002815F4" w:rsidRDefault="008E5F3B" w:rsidP="00E2507C">
      <w:pPr>
        <w:pStyle w:val="ListParagraph"/>
        <w:numPr>
          <w:ilvl w:val="0"/>
          <w:numId w:val="63"/>
        </w:numPr>
      </w:pPr>
      <w:r w:rsidRPr="002815F4">
        <w:t>OUMAR CISSE,</w:t>
      </w:r>
      <w:r w:rsidRPr="002815F4">
        <w:tab/>
        <w:t xml:space="preserve">ENDA LEAD </w:t>
      </w:r>
    </w:p>
    <w:p w14:paraId="728C9595" w14:textId="0F7B85E0" w:rsidR="008E5F3B" w:rsidRPr="002815F4" w:rsidRDefault="008E5F3B" w:rsidP="00E2507C">
      <w:pPr>
        <w:pStyle w:val="ListParagraph"/>
        <w:numPr>
          <w:ilvl w:val="0"/>
          <w:numId w:val="63"/>
        </w:numPr>
      </w:pPr>
      <w:r w:rsidRPr="002815F4">
        <w:t xml:space="preserve">PAPE SENE, CSDH </w:t>
      </w:r>
    </w:p>
    <w:p w14:paraId="27967A1B" w14:textId="10CBAE5B" w:rsidR="008E5F3B" w:rsidRPr="002815F4" w:rsidRDefault="008E5F3B" w:rsidP="00E2507C">
      <w:pPr>
        <w:pStyle w:val="ListParagraph"/>
        <w:numPr>
          <w:ilvl w:val="0"/>
          <w:numId w:val="63"/>
        </w:numPr>
      </w:pPr>
      <w:r w:rsidRPr="002815F4">
        <w:t xml:space="preserve">DJIBRIL BADIANE, ONDH/FOSCAU </w:t>
      </w:r>
    </w:p>
    <w:p w14:paraId="52D72D62" w14:textId="70EC9393" w:rsidR="008E5F3B" w:rsidRPr="002815F4" w:rsidRDefault="008E5F3B" w:rsidP="00E2507C">
      <w:pPr>
        <w:pStyle w:val="ListParagraph"/>
        <w:numPr>
          <w:ilvl w:val="0"/>
          <w:numId w:val="63"/>
        </w:numPr>
      </w:pPr>
      <w:r w:rsidRPr="002815F4">
        <w:t xml:space="preserve">DIAW NDONGO, ONG 3D </w:t>
      </w:r>
    </w:p>
    <w:p w14:paraId="1489196A" w14:textId="3EE66949" w:rsidR="003E79EB" w:rsidRPr="00E2507C" w:rsidRDefault="003E79EB" w:rsidP="00E2507C">
      <w:pPr>
        <w:pStyle w:val="ListParagraph"/>
        <w:numPr>
          <w:ilvl w:val="0"/>
          <w:numId w:val="63"/>
        </w:numPr>
        <w:rPr>
          <w:lang w:val="nb-NO"/>
        </w:rPr>
      </w:pPr>
      <w:r w:rsidRPr="00E2507C">
        <w:rPr>
          <w:lang w:val="nb-NO"/>
        </w:rPr>
        <w:t xml:space="preserve">Pr. IBRAHIMA DIALLO, IPAR </w:t>
      </w:r>
    </w:p>
    <w:p w14:paraId="6AA0BD0A" w14:textId="2861EB2A" w:rsidR="003E79EB" w:rsidRPr="002815F4" w:rsidRDefault="003E79EB" w:rsidP="00E2507C">
      <w:pPr>
        <w:pStyle w:val="ListParagraph"/>
        <w:numPr>
          <w:ilvl w:val="0"/>
          <w:numId w:val="63"/>
        </w:numPr>
      </w:pPr>
      <w:r w:rsidRPr="002815F4">
        <w:t xml:space="preserve">ABDOULAYE NDIAYE, ASDEA </w:t>
      </w:r>
    </w:p>
    <w:p w14:paraId="3381180D" w14:textId="4F877556" w:rsidR="003E79EB" w:rsidRPr="00E2507C" w:rsidRDefault="003E79EB" w:rsidP="00E2507C">
      <w:pPr>
        <w:pStyle w:val="ListParagraph"/>
        <w:numPr>
          <w:ilvl w:val="0"/>
          <w:numId w:val="63"/>
        </w:numPr>
        <w:rPr>
          <w:lang w:val="nb-NO"/>
        </w:rPr>
      </w:pPr>
      <w:r w:rsidRPr="00E2507C">
        <w:rPr>
          <w:lang w:val="nb-NO"/>
        </w:rPr>
        <w:t xml:space="preserve">SERIGNE MOMAR DIEYE, ASDEA </w:t>
      </w:r>
    </w:p>
    <w:p w14:paraId="7A848861" w14:textId="1AAD3E3C" w:rsidR="003E79EB" w:rsidRPr="002815F4" w:rsidRDefault="003E79EB" w:rsidP="00E2507C">
      <w:pPr>
        <w:pStyle w:val="ListParagraph"/>
        <w:numPr>
          <w:ilvl w:val="0"/>
          <w:numId w:val="63"/>
        </w:numPr>
      </w:pPr>
      <w:r w:rsidRPr="002815F4">
        <w:t xml:space="preserve">IDRISSA BODIAN, ASDEA </w:t>
      </w:r>
    </w:p>
    <w:p w14:paraId="4970F363" w14:textId="03393D0C" w:rsidR="003E79EB" w:rsidRPr="002815F4" w:rsidRDefault="003E79EB" w:rsidP="00E2507C">
      <w:pPr>
        <w:pStyle w:val="ListParagraph"/>
        <w:numPr>
          <w:ilvl w:val="0"/>
          <w:numId w:val="63"/>
        </w:numPr>
      </w:pPr>
      <w:r w:rsidRPr="002815F4">
        <w:t xml:space="preserve">IBRAHIMA BACHIR DRAME </w:t>
      </w:r>
    </w:p>
    <w:p w14:paraId="44E061FE" w14:textId="45E7A025" w:rsidR="003E79EB" w:rsidRPr="002815F4" w:rsidRDefault="003E79EB" w:rsidP="00E2507C">
      <w:pPr>
        <w:pStyle w:val="ListParagraph"/>
        <w:numPr>
          <w:ilvl w:val="0"/>
          <w:numId w:val="63"/>
        </w:numPr>
      </w:pPr>
      <w:r w:rsidRPr="002815F4">
        <w:t xml:space="preserve">DEMBA FALL DIOUF, PAPOM </w:t>
      </w:r>
    </w:p>
    <w:p w14:paraId="263213EA" w14:textId="61F77A6B" w:rsidR="003E79EB" w:rsidRPr="002815F4" w:rsidRDefault="003E79EB" w:rsidP="00E2507C">
      <w:pPr>
        <w:pStyle w:val="ListParagraph"/>
        <w:numPr>
          <w:ilvl w:val="0"/>
          <w:numId w:val="63"/>
        </w:numPr>
      </w:pPr>
      <w:r w:rsidRPr="002815F4">
        <w:t xml:space="preserve">LAMINE DIOUF, SRM </w:t>
      </w:r>
    </w:p>
    <w:p w14:paraId="6A32CE8C" w14:textId="6E203695" w:rsidR="003E79EB" w:rsidRPr="002815F4" w:rsidRDefault="003E79EB" w:rsidP="00E2507C">
      <w:pPr>
        <w:pStyle w:val="ListParagraph"/>
        <w:numPr>
          <w:ilvl w:val="0"/>
          <w:numId w:val="63"/>
        </w:numPr>
      </w:pPr>
      <w:r w:rsidRPr="002815F4">
        <w:t xml:space="preserve">ABDOULAYE GUEYE </w:t>
      </w:r>
    </w:p>
    <w:p w14:paraId="3A2AC932" w14:textId="64DAD88E" w:rsidR="003E79EB" w:rsidRPr="002815F4" w:rsidRDefault="003E79EB" w:rsidP="00E2507C">
      <w:pPr>
        <w:pStyle w:val="ListParagraph"/>
        <w:numPr>
          <w:ilvl w:val="0"/>
          <w:numId w:val="63"/>
        </w:numPr>
      </w:pPr>
      <w:r w:rsidRPr="002815F4">
        <w:t xml:space="preserve">AHMADOU MOUSTAPHA AIDARA, RELOGOM </w:t>
      </w:r>
    </w:p>
    <w:p w14:paraId="16C29FCC" w14:textId="3AB2A51D" w:rsidR="003E79EB" w:rsidRPr="002815F4" w:rsidRDefault="003E79EB" w:rsidP="00E2507C">
      <w:pPr>
        <w:pStyle w:val="ListParagraph"/>
        <w:numPr>
          <w:ilvl w:val="0"/>
          <w:numId w:val="63"/>
        </w:numPr>
      </w:pPr>
      <w:r w:rsidRPr="002815F4">
        <w:t xml:space="preserve">ABDOU KARIM SOW, ARD </w:t>
      </w:r>
    </w:p>
    <w:p w14:paraId="67DB9B5F" w14:textId="72752818" w:rsidR="008E5F3B" w:rsidRPr="00E2507C" w:rsidRDefault="003E79EB" w:rsidP="00E2507C">
      <w:pPr>
        <w:pStyle w:val="ListParagraph"/>
        <w:numPr>
          <w:ilvl w:val="0"/>
          <w:numId w:val="63"/>
        </w:numPr>
        <w:rPr>
          <w:lang w:val="nb-NO"/>
        </w:rPr>
      </w:pPr>
      <w:r w:rsidRPr="00E2507C">
        <w:rPr>
          <w:lang w:val="nb-NO"/>
        </w:rPr>
        <w:t xml:space="preserve">ELIMANE KANE, OXFAM </w:t>
      </w:r>
    </w:p>
    <w:p w14:paraId="21347C17" w14:textId="44EB175C" w:rsidR="003E79EB" w:rsidRPr="002815F4" w:rsidRDefault="00F96031" w:rsidP="007474FE">
      <w:pPr>
        <w:pStyle w:val="Heading2notindexed"/>
      </w:pPr>
      <w:r w:rsidRPr="002815F4">
        <w:rPr>
          <w:bCs w:val="0"/>
        </w:rPr>
        <w:t>Parliament</w:t>
      </w:r>
    </w:p>
    <w:p w14:paraId="09BE4BFF" w14:textId="13900367" w:rsidR="003E79EB" w:rsidRPr="002815F4" w:rsidRDefault="003E79EB" w:rsidP="00E2507C">
      <w:pPr>
        <w:pStyle w:val="ListParagraph"/>
        <w:numPr>
          <w:ilvl w:val="0"/>
          <w:numId w:val="64"/>
        </w:numPr>
      </w:pPr>
      <w:r w:rsidRPr="002815F4">
        <w:t xml:space="preserve">CHEIKH OUMAR SY, RGM </w:t>
      </w:r>
    </w:p>
    <w:p w14:paraId="6476201F" w14:textId="16DF4270" w:rsidR="003E79EB" w:rsidRPr="00E2507C" w:rsidRDefault="003E79EB" w:rsidP="00E2507C">
      <w:pPr>
        <w:pStyle w:val="ListParagraph"/>
        <w:numPr>
          <w:ilvl w:val="0"/>
          <w:numId w:val="64"/>
        </w:numPr>
        <w:rPr>
          <w:lang w:val="nb-NO"/>
        </w:rPr>
      </w:pPr>
      <w:r w:rsidRPr="00E2507C">
        <w:rPr>
          <w:lang w:val="nb-NO"/>
        </w:rPr>
        <w:t xml:space="preserve">PAPA M. K.MBODJI, RGM </w:t>
      </w:r>
    </w:p>
    <w:p w14:paraId="590A481F" w14:textId="0E048920" w:rsidR="00F96031" w:rsidRPr="00E2507C" w:rsidRDefault="003E79EB" w:rsidP="00E2507C">
      <w:pPr>
        <w:pStyle w:val="ListParagraph"/>
        <w:numPr>
          <w:ilvl w:val="0"/>
          <w:numId w:val="64"/>
        </w:numPr>
        <w:rPr>
          <w:lang w:val="fr-FR"/>
        </w:rPr>
      </w:pPr>
      <w:r w:rsidRPr="00E2507C">
        <w:rPr>
          <w:lang w:val="fr-FR"/>
        </w:rPr>
        <w:t xml:space="preserve">MAMADOU DIALANE FAYE, A.N </w:t>
      </w:r>
    </w:p>
    <w:p w14:paraId="2BE14363" w14:textId="77777777" w:rsidR="00F96031" w:rsidRPr="00E2507C" w:rsidRDefault="00F96031" w:rsidP="00F96031">
      <w:pPr>
        <w:pStyle w:val="Heading2notindexed"/>
        <w:rPr>
          <w:lang w:val="nb-NO"/>
        </w:rPr>
      </w:pPr>
      <w:r w:rsidRPr="00E2507C">
        <w:rPr>
          <w:lang w:val="nb-NO"/>
        </w:rPr>
        <w:t>Media</w:t>
      </w:r>
    </w:p>
    <w:p w14:paraId="17531A20" w14:textId="197EFC31" w:rsidR="003E79EB" w:rsidRPr="00E2507C" w:rsidRDefault="00F96031" w:rsidP="00E2507C">
      <w:pPr>
        <w:pStyle w:val="ListParagraph"/>
        <w:numPr>
          <w:ilvl w:val="0"/>
          <w:numId w:val="65"/>
        </w:numPr>
        <w:rPr>
          <w:lang w:val="nb-NO"/>
        </w:rPr>
      </w:pPr>
      <w:r w:rsidRPr="00E2507C">
        <w:rPr>
          <w:lang w:val="nb-NO"/>
        </w:rPr>
        <w:t>GADIAGA DIOP, GMP/SYNPICS</w:t>
      </w:r>
    </w:p>
    <w:p w14:paraId="2BE549E5" w14:textId="379D9DB9" w:rsidR="003E79EB" w:rsidRPr="002815F4" w:rsidRDefault="003E79EB" w:rsidP="00E2507C">
      <w:pPr>
        <w:pStyle w:val="ListParagraph"/>
        <w:numPr>
          <w:ilvl w:val="0"/>
          <w:numId w:val="65"/>
        </w:numPr>
      </w:pPr>
      <w:r w:rsidRPr="002815F4">
        <w:t xml:space="preserve">MOR AMAR, ENQUETE </w:t>
      </w:r>
    </w:p>
    <w:p w14:paraId="165094C2" w14:textId="34B88558" w:rsidR="003E79EB" w:rsidRPr="002815F4" w:rsidRDefault="003E79EB" w:rsidP="00E2507C">
      <w:pPr>
        <w:pStyle w:val="ListParagraph"/>
        <w:numPr>
          <w:ilvl w:val="0"/>
          <w:numId w:val="65"/>
        </w:numPr>
      </w:pPr>
      <w:r w:rsidRPr="002815F4">
        <w:t xml:space="preserve">ABDOU DIOUF, RFM </w:t>
      </w:r>
    </w:p>
    <w:p w14:paraId="2C67A3A7" w14:textId="25E05138" w:rsidR="003E79EB" w:rsidRPr="00863985" w:rsidRDefault="003E79EB" w:rsidP="00E2507C">
      <w:pPr>
        <w:pStyle w:val="ListParagraph"/>
        <w:numPr>
          <w:ilvl w:val="0"/>
          <w:numId w:val="65"/>
        </w:numPr>
        <w:rPr>
          <w:lang w:val="fr-FR"/>
        </w:rPr>
      </w:pPr>
      <w:r w:rsidRPr="00863985">
        <w:rPr>
          <w:lang w:val="fr-FR"/>
        </w:rPr>
        <w:t xml:space="preserve">MAME WOURY THIOUBOU, LE QUOTIDIEN </w:t>
      </w:r>
    </w:p>
    <w:p w14:paraId="1EFE1AF5" w14:textId="2998996D" w:rsidR="003E79EB" w:rsidRPr="002815F4" w:rsidRDefault="003E79EB" w:rsidP="00E2507C">
      <w:pPr>
        <w:pStyle w:val="ListParagraph"/>
        <w:numPr>
          <w:ilvl w:val="0"/>
          <w:numId w:val="65"/>
        </w:numPr>
      </w:pPr>
      <w:r w:rsidRPr="002815F4">
        <w:t xml:space="preserve">MOHAMED GUEYE, LE QUOTIDIEN </w:t>
      </w:r>
    </w:p>
    <w:p w14:paraId="155CE1F4" w14:textId="5E42BA65" w:rsidR="003E79EB" w:rsidRPr="00863985" w:rsidRDefault="003E79EB" w:rsidP="00E2507C">
      <w:pPr>
        <w:pStyle w:val="ListParagraph"/>
        <w:numPr>
          <w:ilvl w:val="0"/>
          <w:numId w:val="65"/>
        </w:numPr>
        <w:rPr>
          <w:lang w:val="fr-FR"/>
        </w:rPr>
      </w:pPr>
      <w:r w:rsidRPr="00863985">
        <w:rPr>
          <w:lang w:val="fr-FR"/>
        </w:rPr>
        <w:t>ALIOU NGAMBY NDIAYE, LE SOLEIL</w:t>
      </w:r>
    </w:p>
    <w:p w14:paraId="275502EB" w14:textId="40F59FB0" w:rsidR="003E79EB" w:rsidRPr="002815F4" w:rsidRDefault="003E79EB" w:rsidP="00E2507C">
      <w:pPr>
        <w:pStyle w:val="ListParagraph"/>
        <w:numPr>
          <w:ilvl w:val="0"/>
          <w:numId w:val="65"/>
        </w:numPr>
      </w:pPr>
      <w:r w:rsidRPr="002815F4">
        <w:t xml:space="preserve">CHEIKH NDONG </w:t>
      </w:r>
    </w:p>
    <w:p w14:paraId="035DAA78" w14:textId="29FC0B77" w:rsidR="003E79EB" w:rsidRPr="002815F4" w:rsidRDefault="003E79EB" w:rsidP="00E2507C">
      <w:pPr>
        <w:pStyle w:val="ListParagraph"/>
        <w:numPr>
          <w:ilvl w:val="0"/>
          <w:numId w:val="65"/>
        </w:numPr>
      </w:pPr>
      <w:r w:rsidRPr="002815F4">
        <w:t xml:space="preserve">MBAYE SARR DIAKHATE </w:t>
      </w:r>
    </w:p>
    <w:p w14:paraId="3B6180CE" w14:textId="4550969E" w:rsidR="003E79EB" w:rsidRPr="002815F4" w:rsidRDefault="003E79EB" w:rsidP="00E2507C">
      <w:pPr>
        <w:pStyle w:val="ListParagraph"/>
        <w:numPr>
          <w:ilvl w:val="0"/>
          <w:numId w:val="65"/>
        </w:numPr>
      </w:pPr>
      <w:r w:rsidRPr="002815F4">
        <w:t xml:space="preserve">BALDE IBRAHIMA </w:t>
      </w:r>
    </w:p>
    <w:p w14:paraId="5A15B8C1" w14:textId="38070B3B" w:rsidR="003E79EB" w:rsidRPr="00863985" w:rsidRDefault="005B2E86" w:rsidP="00E2507C">
      <w:pPr>
        <w:pStyle w:val="ListParagraph"/>
        <w:numPr>
          <w:ilvl w:val="0"/>
          <w:numId w:val="65"/>
        </w:numPr>
        <w:rPr>
          <w:lang w:val="fr-FR"/>
        </w:rPr>
      </w:pPr>
      <w:r w:rsidRPr="00863985">
        <w:rPr>
          <w:lang w:val="fr-FR"/>
        </w:rPr>
        <w:t>PAPE AMADOU FALL</w:t>
      </w:r>
      <w:r w:rsidR="003E79EB" w:rsidRPr="00863985">
        <w:rPr>
          <w:lang w:val="fr-FR"/>
        </w:rPr>
        <w:t xml:space="preserve">, LA GAZETTE </w:t>
      </w:r>
    </w:p>
    <w:p w14:paraId="7BE30262" w14:textId="0146A27D" w:rsidR="00F96031" w:rsidRPr="002815F4" w:rsidRDefault="003E79EB" w:rsidP="00E2507C">
      <w:pPr>
        <w:pStyle w:val="ListParagraph"/>
        <w:numPr>
          <w:ilvl w:val="0"/>
          <w:numId w:val="65"/>
        </w:numPr>
      </w:pPr>
      <w:r w:rsidRPr="002815F4">
        <w:t xml:space="preserve">MOMAR MBAYE, SENEWEB </w:t>
      </w:r>
    </w:p>
    <w:p w14:paraId="5820BB55" w14:textId="5A230D4D" w:rsidR="00436F01" w:rsidRPr="002815F4" w:rsidRDefault="00436F01" w:rsidP="009B3E66">
      <w:pPr>
        <w:pStyle w:val="Heading2notindexed"/>
      </w:pPr>
      <w:r w:rsidRPr="002815F4">
        <w:t>Independent administrators</w:t>
      </w:r>
    </w:p>
    <w:p w14:paraId="18108E6B" w14:textId="261685F5" w:rsidR="003E79EB" w:rsidRPr="00B748E6" w:rsidRDefault="005B2E86" w:rsidP="00E2507C">
      <w:pPr>
        <w:pStyle w:val="ListParagraph"/>
      </w:pPr>
      <w:r>
        <w:t>KARIM LOURIMI</w:t>
      </w:r>
      <w:r w:rsidR="003E79EB" w:rsidRPr="00B748E6">
        <w:t xml:space="preserve">, Public Sector Group, Moore Stephens </w:t>
      </w:r>
    </w:p>
    <w:p w14:paraId="0B6FB09E" w14:textId="1E5786C3" w:rsidR="008307CF" w:rsidRPr="002815F4" w:rsidRDefault="008307CF" w:rsidP="009B3E66">
      <w:pPr>
        <w:pStyle w:val="Heading2notindexed"/>
      </w:pPr>
      <w:r w:rsidRPr="002815F4">
        <w:t>Development partners</w:t>
      </w:r>
    </w:p>
    <w:p w14:paraId="27E27761" w14:textId="15D4D21A" w:rsidR="003E79EB" w:rsidRPr="00B748E6" w:rsidRDefault="003E79EB" w:rsidP="00E2507C">
      <w:pPr>
        <w:pStyle w:val="ListParagraph"/>
      </w:pPr>
      <w:r w:rsidRPr="00B748E6">
        <w:t xml:space="preserve">NINA INAMAHORO, </w:t>
      </w:r>
      <w:r w:rsidR="00B748E6" w:rsidRPr="00B748E6">
        <w:t>BANQUE MONDIALE</w:t>
      </w:r>
      <w:r w:rsidRPr="00B748E6">
        <w:t xml:space="preserve"> </w:t>
      </w:r>
    </w:p>
    <w:p w14:paraId="3DA08B92" w14:textId="1C947959" w:rsidR="00900B46" w:rsidRPr="00B748E6" w:rsidRDefault="00B748E6" w:rsidP="00E2507C">
      <w:pPr>
        <w:pStyle w:val="ListParagraph"/>
      </w:pPr>
      <w:r w:rsidRPr="00B748E6">
        <w:t>ILHEM SALOMON, SENIOR ENERGY ECONOMIST, BANQUE MONDIALE</w:t>
      </w:r>
    </w:p>
    <w:p w14:paraId="6F89FD45" w14:textId="208CF548" w:rsidR="003E79EB" w:rsidRPr="002815F4" w:rsidRDefault="003E79EB" w:rsidP="00E2507C">
      <w:pPr>
        <w:pStyle w:val="ListParagraph"/>
      </w:pPr>
      <w:r w:rsidRPr="002815F4">
        <w:t xml:space="preserve">TOUSSAINT HOUENINVO, BAD </w:t>
      </w:r>
    </w:p>
    <w:p w14:paraId="1BC6346F" w14:textId="5AAA89B8" w:rsidR="003E79EB" w:rsidRPr="002815F4" w:rsidRDefault="003E79EB" w:rsidP="00E2507C">
      <w:pPr>
        <w:pStyle w:val="ListParagraph"/>
      </w:pPr>
      <w:r w:rsidRPr="002815F4">
        <w:t xml:space="preserve">BARNABE NDARISHIKAYE, AMBASSADE DU CANADA </w:t>
      </w:r>
    </w:p>
    <w:p w14:paraId="08A46C48" w14:textId="116CD723" w:rsidR="00B748E6" w:rsidRPr="00863985" w:rsidRDefault="003E79EB" w:rsidP="00E2507C">
      <w:pPr>
        <w:pStyle w:val="ListParagraph"/>
        <w:rPr>
          <w:lang w:val="fr-FR"/>
        </w:rPr>
      </w:pPr>
      <w:r w:rsidRPr="00863985">
        <w:rPr>
          <w:lang w:val="fr-FR"/>
        </w:rPr>
        <w:t xml:space="preserve">PIERRE YVES BERTRAND, AMBASSADE DE FRANCE </w:t>
      </w:r>
    </w:p>
    <w:p w14:paraId="2EA61DD2" w14:textId="0E3A94A6" w:rsidR="00B748E6" w:rsidRPr="00B748E6" w:rsidRDefault="00B748E6" w:rsidP="00E2507C">
      <w:pPr>
        <w:pStyle w:val="Heading2notindexed"/>
      </w:pPr>
      <w:r>
        <w:t>National Secretariat</w:t>
      </w:r>
    </w:p>
    <w:p w14:paraId="0B7CD2B6" w14:textId="17861CEE" w:rsidR="008916BF" w:rsidRPr="00B748E6" w:rsidRDefault="008916BF" w:rsidP="00E2507C">
      <w:pPr>
        <w:pStyle w:val="ListParagraph"/>
      </w:pPr>
      <w:r w:rsidRPr="00B748E6">
        <w:t xml:space="preserve">MARIEME DIAWARA THIAW </w:t>
      </w:r>
    </w:p>
    <w:p w14:paraId="4EAC4371" w14:textId="0F108751" w:rsidR="008916BF" w:rsidRPr="00B748E6" w:rsidRDefault="008916BF" w:rsidP="00E2507C">
      <w:pPr>
        <w:pStyle w:val="ListParagraph"/>
      </w:pPr>
      <w:r w:rsidRPr="00B748E6">
        <w:t xml:space="preserve">PAPA ALIOUNE BADARA PAYE </w:t>
      </w:r>
    </w:p>
    <w:p w14:paraId="41A43026" w14:textId="0823F264" w:rsidR="008916BF" w:rsidRPr="00B748E6" w:rsidRDefault="008916BF" w:rsidP="00E2507C">
      <w:pPr>
        <w:pStyle w:val="ListParagraph"/>
      </w:pPr>
      <w:r w:rsidRPr="00B748E6">
        <w:t xml:space="preserve">MOUSTAPHA FALL </w:t>
      </w:r>
    </w:p>
    <w:p w14:paraId="52D8036F" w14:textId="0AA47632" w:rsidR="008916BF" w:rsidRPr="00B748E6" w:rsidRDefault="008916BF" w:rsidP="00E2507C">
      <w:pPr>
        <w:pStyle w:val="ListParagraph"/>
      </w:pPr>
      <w:r w:rsidRPr="00B748E6">
        <w:t>HABSATOU BA</w:t>
      </w:r>
      <w:r w:rsidRPr="00B748E6">
        <w:tab/>
        <w:t xml:space="preserve"> </w:t>
      </w:r>
    </w:p>
    <w:p w14:paraId="4408AD2A" w14:textId="625709B8" w:rsidR="008916BF" w:rsidRPr="00B748E6" w:rsidRDefault="008916BF" w:rsidP="00E2507C">
      <w:pPr>
        <w:pStyle w:val="ListParagraph"/>
      </w:pPr>
      <w:r w:rsidRPr="00B748E6">
        <w:t xml:space="preserve">ELHADJI ABDOULAYE MBENGUE </w:t>
      </w:r>
    </w:p>
    <w:p w14:paraId="1BE7F70E" w14:textId="2A5D3B47" w:rsidR="008916BF" w:rsidRPr="00B748E6" w:rsidRDefault="008916BF" w:rsidP="00E2507C">
      <w:pPr>
        <w:pStyle w:val="ListParagraph"/>
      </w:pPr>
      <w:r w:rsidRPr="00B748E6">
        <w:t xml:space="preserve">FODE NDAO </w:t>
      </w:r>
    </w:p>
    <w:p w14:paraId="3ECB0CB8" w14:textId="77777777" w:rsidR="00770D74" w:rsidRDefault="008916BF" w:rsidP="00E2507C">
      <w:pPr>
        <w:pStyle w:val="ListParagraph"/>
      </w:pPr>
      <w:r w:rsidRPr="00B748E6">
        <w:t xml:space="preserve">JEAN FRANCOIS FAYE </w:t>
      </w:r>
    </w:p>
    <w:p w14:paraId="2CFDA2E9" w14:textId="55B7E9C9" w:rsidR="008916BF" w:rsidRPr="00B748E6" w:rsidRDefault="00770D74" w:rsidP="00E2507C">
      <w:pPr>
        <w:pStyle w:val="ListParagraph"/>
      </w:pPr>
      <w:r>
        <w:t>CHEIKH TIDIANE TOURE</w:t>
      </w:r>
    </w:p>
    <w:p w14:paraId="6084EE7E" w14:textId="77777777" w:rsidR="001F5AD9" w:rsidRPr="002815F4" w:rsidRDefault="001F5AD9">
      <w:pPr>
        <w:widowControl/>
        <w:suppressAutoHyphens w:val="0"/>
        <w:spacing w:after="0" w:line="240" w:lineRule="auto"/>
        <w:rPr>
          <w:rFonts w:ascii="Calibri" w:hAnsi="Calibri"/>
        </w:rPr>
        <w:sectPr w:rsidR="001F5AD9" w:rsidRPr="002815F4" w:rsidSect="00505DFB">
          <w:headerReference w:type="first" r:id="rId30"/>
          <w:pgSz w:w="11905" w:h="16837"/>
          <w:pgMar w:top="1175" w:right="1276" w:bottom="1418" w:left="1134" w:header="567" w:footer="0" w:gutter="0"/>
          <w:cols w:space="708"/>
          <w:titlePg/>
          <w:docGrid w:linePitch="326"/>
        </w:sectPr>
      </w:pPr>
    </w:p>
    <w:p w14:paraId="4DEAEBE5" w14:textId="261B22CF" w:rsidR="00CB2928" w:rsidRPr="002815F4" w:rsidRDefault="00A843C6" w:rsidP="007474FE">
      <w:pPr>
        <w:pStyle w:val="Heading2"/>
      </w:pPr>
      <w:bookmarkStart w:id="493" w:name="_Toc452707654"/>
      <w:bookmarkStart w:id="494" w:name="_Toc459133214"/>
      <w:bookmarkStart w:id="495" w:name="_Toc461803163"/>
      <w:bookmarkStart w:id="496" w:name="_Toc461787374"/>
      <w:bookmarkStart w:id="497" w:name="_Toc461795886"/>
      <w:bookmarkStart w:id="498" w:name="_Toc462149218"/>
      <w:r w:rsidRPr="002815F4">
        <w:t xml:space="preserve">Annex </w:t>
      </w:r>
      <w:r w:rsidR="00206C03" w:rsidRPr="002815F4">
        <w:t>E</w:t>
      </w:r>
      <w:r w:rsidRPr="002815F4">
        <w:t xml:space="preserve"> - </w:t>
      </w:r>
      <w:r w:rsidR="00AE51FA" w:rsidRPr="002815F4">
        <w:t>List of reference documents</w:t>
      </w:r>
      <w:bookmarkEnd w:id="493"/>
      <w:bookmarkEnd w:id="494"/>
      <w:bookmarkEnd w:id="495"/>
      <w:bookmarkEnd w:id="496"/>
      <w:bookmarkEnd w:id="497"/>
      <w:bookmarkEnd w:id="498"/>
      <w:r w:rsidR="00AE51FA" w:rsidRPr="002815F4">
        <w:t xml:space="preserve"> </w:t>
      </w:r>
    </w:p>
    <w:sdt>
      <w:sdtPr>
        <w:rPr>
          <w:bCs w:val="0"/>
          <w:color w:val="auto"/>
          <w:sz w:val="22"/>
        </w:rPr>
        <w:id w:val="-1766458394"/>
        <w:docPartObj>
          <w:docPartGallery w:val="Bibliographies"/>
          <w:docPartUnique/>
        </w:docPartObj>
      </w:sdtPr>
      <w:sdtEndPr/>
      <w:sdtContent>
        <w:p w14:paraId="48688C21" w14:textId="6BB9A0CF" w:rsidR="00CB2928" w:rsidRPr="002815F4" w:rsidRDefault="00CB2928">
          <w:pPr>
            <w:pStyle w:val="Heading1"/>
          </w:pPr>
          <w:r w:rsidRPr="002815F4">
            <w:t>Bibliography</w:t>
          </w:r>
        </w:p>
        <w:sdt>
          <w:sdtPr>
            <w:id w:val="111145805"/>
            <w:bibliography/>
          </w:sdtPr>
          <w:sdtEndPr/>
          <w:sdtContent>
            <w:p w14:paraId="0D6688C3" w14:textId="77777777" w:rsidR="003E626E" w:rsidRPr="002815F4" w:rsidRDefault="00CB2928" w:rsidP="003E626E">
              <w:pPr>
                <w:pStyle w:val="Bibliography"/>
                <w:rPr>
                  <w:noProof/>
                  <w:sz w:val="24"/>
                  <w:szCs w:val="24"/>
                </w:rPr>
              </w:pPr>
              <w:r w:rsidRPr="002815F4">
                <w:fldChar w:fldCharType="begin"/>
              </w:r>
              <w:r w:rsidRPr="002815F4">
                <w:instrText xml:space="preserve"> BIBLIOGRAPHY </w:instrText>
              </w:r>
              <w:r w:rsidRPr="002815F4">
                <w:fldChar w:fldCharType="separate"/>
              </w:r>
              <w:r w:rsidR="003E626E" w:rsidRPr="002815F4">
                <w:rPr>
                  <w:noProof/>
                </w:rPr>
                <w:t xml:space="preserve">ITIE Senegal, 2016. </w:t>
              </w:r>
              <w:r w:rsidR="003E626E" w:rsidRPr="002815F4">
                <w:rPr>
                  <w:i/>
                  <w:iCs/>
                  <w:noProof/>
                </w:rPr>
                <w:t xml:space="preserve">Rapport ITIE 2014. </w:t>
              </w:r>
              <w:r w:rsidR="003E626E" w:rsidRPr="002815F4">
                <w:rPr>
                  <w:noProof/>
                </w:rPr>
                <w:t xml:space="preserve">[Online] </w:t>
              </w:r>
              <w:r w:rsidR="003E626E" w:rsidRPr="002815F4">
                <w:rPr>
                  <w:noProof/>
                </w:rPr>
                <w:br/>
                <w:t xml:space="preserve">Available at: </w:t>
              </w:r>
              <w:r w:rsidR="003E626E" w:rsidRPr="002815F4">
                <w:rPr>
                  <w:noProof/>
                  <w:u w:val="single"/>
                </w:rPr>
                <w:t>http://itie.sn/?offshore_dl=986</w:t>
              </w:r>
              <w:r w:rsidR="003E626E" w:rsidRPr="002815F4">
                <w:rPr>
                  <w:noProof/>
                </w:rPr>
                <w:br/>
                <w:t>[Accessed July 2017].</w:t>
              </w:r>
            </w:p>
            <w:p w14:paraId="31994E06" w14:textId="77777777" w:rsidR="003E626E" w:rsidRPr="002815F4" w:rsidRDefault="003E626E" w:rsidP="003E626E">
              <w:pPr>
                <w:pStyle w:val="Bibliography"/>
                <w:rPr>
                  <w:noProof/>
                </w:rPr>
              </w:pPr>
              <w:r w:rsidRPr="002815F4">
                <w:rPr>
                  <w:noProof/>
                </w:rPr>
                <w:t xml:space="preserve">ITIE Senegal, 2015. </w:t>
              </w:r>
              <w:r w:rsidRPr="002815F4">
                <w:rPr>
                  <w:i/>
                  <w:iCs/>
                  <w:noProof/>
                </w:rPr>
                <w:t xml:space="preserve">Rapport ITIE 2013. </w:t>
              </w:r>
              <w:r w:rsidRPr="002815F4">
                <w:rPr>
                  <w:noProof/>
                </w:rPr>
                <w:t xml:space="preserve">[Online] </w:t>
              </w:r>
              <w:r w:rsidRPr="002815F4">
                <w:rPr>
                  <w:noProof/>
                </w:rPr>
                <w:br/>
                <w:t xml:space="preserve">Available at: </w:t>
              </w:r>
              <w:r w:rsidRPr="002815F4">
                <w:rPr>
                  <w:noProof/>
                  <w:u w:val="single"/>
                </w:rPr>
                <w:t>http://itie.sn/?offshore_dl=980</w:t>
              </w:r>
              <w:r w:rsidRPr="002815F4">
                <w:rPr>
                  <w:noProof/>
                </w:rPr>
                <w:br/>
                <w:t>[Accessed July 2017].</w:t>
              </w:r>
            </w:p>
            <w:p w14:paraId="615303F6"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Comprendre pour agir 2014. </w:t>
              </w:r>
              <w:r w:rsidRPr="002815F4">
                <w:rPr>
                  <w:noProof/>
                </w:rPr>
                <w:t xml:space="preserve">[Online] </w:t>
              </w:r>
              <w:r w:rsidRPr="002815F4">
                <w:rPr>
                  <w:noProof/>
                </w:rPr>
                <w:br/>
                <w:t xml:space="preserve">Available at: </w:t>
              </w:r>
              <w:r w:rsidRPr="002815F4">
                <w:rPr>
                  <w:noProof/>
                  <w:u w:val="single"/>
                </w:rPr>
                <w:t>http://itie.sn/?offshore_dl=990</w:t>
              </w:r>
              <w:r w:rsidRPr="002815F4">
                <w:rPr>
                  <w:noProof/>
                </w:rPr>
                <w:br/>
                <w:t>[Accessed July 2017].</w:t>
              </w:r>
            </w:p>
            <w:p w14:paraId="48CBCEA8"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Donnees chiffrees Rapport ITIE 2014. </w:t>
              </w:r>
              <w:r w:rsidRPr="002815F4">
                <w:rPr>
                  <w:noProof/>
                </w:rPr>
                <w:t xml:space="preserve">[Online] </w:t>
              </w:r>
              <w:r w:rsidRPr="002815F4">
                <w:rPr>
                  <w:noProof/>
                </w:rPr>
                <w:br/>
                <w:t xml:space="preserve">Available at: </w:t>
              </w:r>
              <w:r w:rsidRPr="002815F4">
                <w:rPr>
                  <w:noProof/>
                  <w:u w:val="single"/>
                </w:rPr>
                <w:t>http://itie.sn/?offshore_dl=990</w:t>
              </w:r>
              <w:r w:rsidRPr="002815F4">
                <w:rPr>
                  <w:noProof/>
                </w:rPr>
                <w:br/>
                <w:t>[Accessed July 2017].</w:t>
              </w:r>
            </w:p>
            <w:p w14:paraId="4DC3D826" w14:textId="77777777" w:rsidR="003E626E" w:rsidRPr="002815F4" w:rsidRDefault="003E626E" w:rsidP="003E626E">
              <w:pPr>
                <w:pStyle w:val="Bibliography"/>
                <w:rPr>
                  <w:noProof/>
                </w:rPr>
              </w:pPr>
              <w:r w:rsidRPr="002815F4">
                <w:rPr>
                  <w:noProof/>
                </w:rPr>
                <w:t xml:space="preserve">ITIE Senegal, 2015. </w:t>
              </w:r>
              <w:r w:rsidRPr="002815F4">
                <w:rPr>
                  <w:i/>
                  <w:iCs/>
                  <w:noProof/>
                </w:rPr>
                <w:t xml:space="preserve">Donnees chifrees Rapport ITIE 2013. </w:t>
              </w:r>
              <w:r w:rsidRPr="002815F4">
                <w:rPr>
                  <w:noProof/>
                </w:rPr>
                <w:t xml:space="preserve">[Online] </w:t>
              </w:r>
              <w:r w:rsidRPr="002815F4">
                <w:rPr>
                  <w:noProof/>
                </w:rPr>
                <w:br/>
                <w:t xml:space="preserve">Available at: </w:t>
              </w:r>
              <w:r w:rsidRPr="002815F4">
                <w:rPr>
                  <w:noProof/>
                  <w:u w:val="single"/>
                </w:rPr>
                <w:t>http://itie.sn/?offshore_dl=978</w:t>
              </w:r>
              <w:r w:rsidRPr="002815F4">
                <w:rPr>
                  <w:noProof/>
                </w:rPr>
                <w:br/>
                <w:t>[Accessed July 2017].</w:t>
              </w:r>
            </w:p>
            <w:p w14:paraId="6D4810D4" w14:textId="77777777" w:rsidR="003E626E" w:rsidRPr="002815F4" w:rsidRDefault="003E626E" w:rsidP="003E626E">
              <w:pPr>
                <w:pStyle w:val="Bibliography"/>
                <w:rPr>
                  <w:noProof/>
                </w:rPr>
              </w:pPr>
              <w:r w:rsidRPr="002815F4">
                <w:rPr>
                  <w:noProof/>
                </w:rPr>
                <w:t xml:space="preserve">ITIE Senegal, 2015. </w:t>
              </w:r>
              <w:r w:rsidRPr="002815F4">
                <w:rPr>
                  <w:i/>
                  <w:iCs/>
                  <w:noProof/>
                </w:rPr>
                <w:t xml:space="preserve">Comprendre pour agir 2013. </w:t>
              </w:r>
              <w:r w:rsidRPr="002815F4">
                <w:rPr>
                  <w:noProof/>
                </w:rPr>
                <w:t xml:space="preserve">[Online] </w:t>
              </w:r>
              <w:r w:rsidRPr="002815F4">
                <w:rPr>
                  <w:noProof/>
                </w:rPr>
                <w:br/>
                <w:t xml:space="preserve">Available at: </w:t>
              </w:r>
              <w:r w:rsidRPr="002815F4">
                <w:rPr>
                  <w:noProof/>
                  <w:u w:val="single"/>
                </w:rPr>
                <w:t>http://itie.sn/?offshore_dl=965</w:t>
              </w:r>
              <w:r w:rsidRPr="002815F4">
                <w:rPr>
                  <w:noProof/>
                </w:rPr>
                <w:br/>
                <w:t>[Accessed July 2017].</w:t>
              </w:r>
            </w:p>
            <w:p w14:paraId="00BA8BDB" w14:textId="77777777" w:rsidR="003E626E" w:rsidRPr="002815F4" w:rsidRDefault="003E626E" w:rsidP="003E626E">
              <w:pPr>
                <w:pStyle w:val="Bibliography"/>
                <w:rPr>
                  <w:noProof/>
                </w:rPr>
              </w:pPr>
              <w:r w:rsidRPr="00863985">
                <w:rPr>
                  <w:lang w:val="fr-FR"/>
                </w:rPr>
                <w:t xml:space="preserve">ITIE Senegal, 2017. </w:t>
              </w:r>
              <w:r w:rsidRPr="00863985">
                <w:rPr>
                  <w:i/>
                  <w:lang w:val="fr-FR"/>
                </w:rPr>
                <w:t xml:space="preserve">Politique de donnees ouvertes ITIE Senegal. </w:t>
              </w:r>
              <w:r w:rsidRPr="002815F4">
                <w:rPr>
                  <w:noProof/>
                </w:rPr>
                <w:t xml:space="preserve">[Online] </w:t>
              </w:r>
              <w:r w:rsidRPr="002815F4">
                <w:rPr>
                  <w:noProof/>
                </w:rPr>
                <w:br/>
                <w:t xml:space="preserve">Available at: </w:t>
              </w:r>
              <w:r w:rsidRPr="002815F4">
                <w:rPr>
                  <w:noProof/>
                  <w:u w:val="single"/>
                </w:rPr>
                <w:t>http://itie.sn/?offshore_dl=1125</w:t>
              </w:r>
              <w:r w:rsidRPr="002815F4">
                <w:rPr>
                  <w:noProof/>
                </w:rPr>
                <w:br/>
                <w:t>[Accessed July 2017].</w:t>
              </w:r>
            </w:p>
            <w:p w14:paraId="0F940756" w14:textId="77777777" w:rsidR="003E626E" w:rsidRPr="002815F4" w:rsidRDefault="003E626E" w:rsidP="003E626E">
              <w:pPr>
                <w:pStyle w:val="Bibliography"/>
                <w:rPr>
                  <w:noProof/>
                </w:rPr>
              </w:pPr>
              <w:r w:rsidRPr="00863985">
                <w:rPr>
                  <w:lang w:val="fr-FR"/>
                </w:rPr>
                <w:t xml:space="preserve">ITIE Senegal , 2015. </w:t>
              </w:r>
              <w:r w:rsidRPr="00863985">
                <w:rPr>
                  <w:i/>
                  <w:lang w:val="fr-FR"/>
                </w:rPr>
                <w:t xml:space="preserve">Etude de cadrage ITIE Senegal - Fairlinks. </w:t>
              </w:r>
              <w:r w:rsidRPr="002815F4">
                <w:rPr>
                  <w:noProof/>
                </w:rPr>
                <w:t xml:space="preserve">[Online] </w:t>
              </w:r>
              <w:r w:rsidRPr="002815F4">
                <w:rPr>
                  <w:noProof/>
                </w:rPr>
                <w:br/>
                <w:t xml:space="preserve">Available at: </w:t>
              </w:r>
              <w:r w:rsidRPr="002815F4">
                <w:rPr>
                  <w:noProof/>
                  <w:u w:val="single"/>
                </w:rPr>
                <w:t>http://itie.sn/?offshore_dl=2001</w:t>
              </w:r>
              <w:r w:rsidRPr="002815F4">
                <w:rPr>
                  <w:noProof/>
                </w:rPr>
                <w:br/>
                <w:t>[Accessed July 2017].</w:t>
              </w:r>
            </w:p>
            <w:p w14:paraId="3CEA1941"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Feuille de route divulgation Propriété Réelle – CN ITIE Sénégal. </w:t>
              </w:r>
              <w:r w:rsidRPr="002815F4">
                <w:rPr>
                  <w:noProof/>
                </w:rPr>
                <w:t xml:space="preserve">[Online] </w:t>
              </w:r>
              <w:r w:rsidRPr="002815F4">
                <w:rPr>
                  <w:noProof/>
                </w:rPr>
                <w:br/>
                <w:t xml:space="preserve">Available at: </w:t>
              </w:r>
              <w:r w:rsidRPr="002815F4">
                <w:rPr>
                  <w:noProof/>
                  <w:u w:val="single"/>
                </w:rPr>
                <w:t>http://itie.sn/?offshore_dl=1127</w:t>
              </w:r>
              <w:r w:rsidRPr="002815F4">
                <w:rPr>
                  <w:noProof/>
                </w:rPr>
                <w:br/>
                <w:t>[Accessed July 2017].</w:t>
              </w:r>
            </w:p>
            <w:p w14:paraId="7BD79BA1" w14:textId="77777777" w:rsidR="003E626E" w:rsidRPr="002815F4" w:rsidRDefault="003E626E" w:rsidP="003E626E">
              <w:pPr>
                <w:pStyle w:val="Bibliography"/>
                <w:rPr>
                  <w:noProof/>
                </w:rPr>
              </w:pPr>
              <w:r w:rsidRPr="002815F4">
                <w:rPr>
                  <w:noProof/>
                </w:rPr>
                <w:t xml:space="preserve">ITIE Senegal, 2016. </w:t>
              </w:r>
              <w:r w:rsidRPr="002815F4">
                <w:rPr>
                  <w:i/>
                  <w:iCs/>
                  <w:noProof/>
                </w:rPr>
                <w:t xml:space="preserve">Plaquete ITIE Senegal. </w:t>
              </w:r>
              <w:r w:rsidRPr="002815F4">
                <w:rPr>
                  <w:noProof/>
                </w:rPr>
                <w:t xml:space="preserve">[Online] </w:t>
              </w:r>
              <w:r w:rsidRPr="002815F4">
                <w:rPr>
                  <w:noProof/>
                </w:rPr>
                <w:br/>
                <w:t xml:space="preserve">Available at: </w:t>
              </w:r>
              <w:r w:rsidRPr="002815F4">
                <w:rPr>
                  <w:noProof/>
                  <w:u w:val="single"/>
                </w:rPr>
                <w:t>http://itie.sn/?offshore_dl=2002</w:t>
              </w:r>
              <w:r w:rsidRPr="002815F4">
                <w:rPr>
                  <w:noProof/>
                </w:rPr>
                <w:br/>
                <w:t>[Accessed July 2017].</w:t>
              </w:r>
            </w:p>
            <w:p w14:paraId="197A5CE3" w14:textId="77777777" w:rsidR="003E626E" w:rsidRPr="002815F4" w:rsidRDefault="003E626E" w:rsidP="003E626E">
              <w:pPr>
                <w:pStyle w:val="Bibliography"/>
                <w:rPr>
                  <w:noProof/>
                </w:rPr>
              </w:pPr>
              <w:r w:rsidRPr="00E2507C">
                <w:rPr>
                  <w:lang w:val="fr-FR"/>
                </w:rPr>
                <w:t xml:space="preserve">PWYP Senegal, 2016. </w:t>
              </w:r>
              <w:r w:rsidRPr="00E2507C">
                <w:rPr>
                  <w:i/>
                  <w:lang w:val="fr-FR"/>
                </w:rPr>
                <w:t xml:space="preserve">Compte rendu de la caravane de sensibilisation et de vulgarisation de l'ITIE. </w:t>
              </w:r>
              <w:r w:rsidRPr="002815F4">
                <w:rPr>
                  <w:noProof/>
                </w:rPr>
                <w:t xml:space="preserve">[Online] </w:t>
              </w:r>
              <w:r w:rsidRPr="002815F4">
                <w:rPr>
                  <w:noProof/>
                </w:rPr>
                <w:br/>
                <w:t xml:space="preserve">Available at: </w:t>
              </w:r>
              <w:r w:rsidRPr="002815F4">
                <w:rPr>
                  <w:noProof/>
                  <w:u w:val="single"/>
                </w:rPr>
                <w:t>http://itie.sn/?offshore_dl=2003</w:t>
              </w:r>
              <w:r w:rsidRPr="002815F4">
                <w:rPr>
                  <w:noProof/>
                </w:rPr>
                <w:br/>
                <w:t>[Accessed July 2017].</w:t>
              </w:r>
            </w:p>
            <w:p w14:paraId="064A2B70" w14:textId="77777777" w:rsidR="003E626E" w:rsidRPr="002815F4" w:rsidRDefault="003E626E" w:rsidP="003E626E">
              <w:pPr>
                <w:pStyle w:val="Bibliography"/>
                <w:rPr>
                  <w:noProof/>
                </w:rPr>
              </w:pPr>
              <w:r w:rsidRPr="00863985">
                <w:rPr>
                  <w:lang w:val="fr-FR"/>
                </w:rPr>
                <w:t xml:space="preserve">ITIE Senegal, 2015. </w:t>
              </w:r>
              <w:r w:rsidRPr="00863985">
                <w:rPr>
                  <w:i/>
                  <w:lang w:val="fr-FR"/>
                </w:rPr>
                <w:t xml:space="preserve">Les activités extractives : Quel contrôle public ?. </w:t>
              </w:r>
              <w:r w:rsidRPr="002815F4">
                <w:rPr>
                  <w:noProof/>
                </w:rPr>
                <w:t xml:space="preserve">[Online] </w:t>
              </w:r>
              <w:r w:rsidRPr="002815F4">
                <w:rPr>
                  <w:noProof/>
                </w:rPr>
                <w:br/>
                <w:t xml:space="preserve">Available at: </w:t>
              </w:r>
              <w:r w:rsidRPr="002815F4">
                <w:rPr>
                  <w:noProof/>
                  <w:u w:val="single"/>
                </w:rPr>
                <w:t>http://itie.sn/?offshore_dl=1129</w:t>
              </w:r>
              <w:r w:rsidRPr="002815F4">
                <w:rPr>
                  <w:noProof/>
                </w:rPr>
                <w:br/>
                <w:t>[Accessed July 2017].</w:t>
              </w:r>
            </w:p>
            <w:p w14:paraId="6671194A" w14:textId="77777777" w:rsidR="003E626E" w:rsidRPr="002815F4" w:rsidRDefault="003E626E" w:rsidP="003E626E">
              <w:pPr>
                <w:pStyle w:val="Bibliography"/>
                <w:rPr>
                  <w:noProof/>
                </w:rPr>
              </w:pPr>
              <w:r w:rsidRPr="00863985">
                <w:rPr>
                  <w:lang w:val="fr-FR"/>
                </w:rPr>
                <w:t xml:space="preserve">PWYP Senegal, 2015. </w:t>
              </w:r>
              <w:r w:rsidRPr="00863985">
                <w:rPr>
                  <w:i/>
                  <w:lang w:val="fr-FR"/>
                </w:rPr>
                <w:t xml:space="preserve">Contribution de la coalition sur la révision du code minier - FINAL. </w:t>
              </w:r>
              <w:r w:rsidRPr="002815F4">
                <w:rPr>
                  <w:noProof/>
                </w:rPr>
                <w:t xml:space="preserve">[Online] </w:t>
              </w:r>
              <w:r w:rsidRPr="002815F4">
                <w:rPr>
                  <w:noProof/>
                </w:rPr>
                <w:br/>
                <w:t xml:space="preserve">Available at: </w:t>
              </w:r>
              <w:r w:rsidRPr="002815F4">
                <w:rPr>
                  <w:noProof/>
                  <w:u w:val="single"/>
                </w:rPr>
                <w:t>http://itie.sn/?offshore_dl=1145</w:t>
              </w:r>
              <w:r w:rsidRPr="002815F4">
                <w:rPr>
                  <w:noProof/>
                </w:rPr>
                <w:br/>
                <w:t>[Accessed July 2017].</w:t>
              </w:r>
            </w:p>
            <w:p w14:paraId="1BE40F2A" w14:textId="77777777" w:rsidR="003E626E" w:rsidRPr="002815F4" w:rsidRDefault="003E626E" w:rsidP="003E626E">
              <w:pPr>
                <w:pStyle w:val="Bibliography"/>
                <w:rPr>
                  <w:noProof/>
                </w:rPr>
              </w:pPr>
              <w:r w:rsidRPr="00E2507C">
                <w:rPr>
                  <w:lang w:val="fr-FR"/>
                </w:rPr>
                <w:t xml:space="preserve">ITIE Senegal, 2014. </w:t>
              </w:r>
              <w:r w:rsidRPr="00E2507C">
                <w:rPr>
                  <w:i/>
                  <w:lang w:val="fr-FR"/>
                </w:rPr>
                <w:t xml:space="preserve">Rapport Atelier de mise à niveau de l'Administration Août 2014. </w:t>
              </w:r>
              <w:r w:rsidRPr="002815F4">
                <w:rPr>
                  <w:noProof/>
                </w:rPr>
                <w:t xml:space="preserve">[Online] </w:t>
              </w:r>
              <w:r w:rsidRPr="002815F4">
                <w:rPr>
                  <w:noProof/>
                </w:rPr>
                <w:br/>
                <w:t xml:space="preserve">Available at: </w:t>
              </w:r>
              <w:r w:rsidRPr="002815F4">
                <w:rPr>
                  <w:noProof/>
                  <w:u w:val="single"/>
                </w:rPr>
                <w:t>http://itie.sn/?offshore_dl=2006</w:t>
              </w:r>
              <w:r w:rsidRPr="002815F4">
                <w:rPr>
                  <w:noProof/>
                </w:rPr>
                <w:br/>
                <w:t>[Accessed July 2017].</w:t>
              </w:r>
            </w:p>
            <w:p w14:paraId="17268B96" w14:textId="77777777" w:rsidR="003E626E" w:rsidRPr="002815F4" w:rsidRDefault="003E626E" w:rsidP="003E626E">
              <w:pPr>
                <w:pStyle w:val="Bibliography"/>
                <w:rPr>
                  <w:noProof/>
                </w:rPr>
              </w:pPr>
              <w:r w:rsidRPr="00E2507C">
                <w:rPr>
                  <w:lang w:val="fr-FR"/>
                </w:rPr>
                <w:t xml:space="preserve">ITIE Senegal, 2014. </w:t>
              </w:r>
              <w:r w:rsidRPr="00E2507C">
                <w:rPr>
                  <w:i/>
                  <w:lang w:val="fr-FR"/>
                </w:rPr>
                <w:t xml:space="preserve">Rapport Atelier de mise à niveau des OSC - Août 2014. </w:t>
              </w:r>
              <w:r w:rsidRPr="002815F4">
                <w:rPr>
                  <w:noProof/>
                </w:rPr>
                <w:t xml:space="preserve">[Online] </w:t>
              </w:r>
              <w:r w:rsidRPr="002815F4">
                <w:rPr>
                  <w:noProof/>
                </w:rPr>
                <w:br/>
                <w:t xml:space="preserve">Available at: </w:t>
              </w:r>
              <w:r w:rsidRPr="002815F4">
                <w:rPr>
                  <w:noProof/>
                  <w:u w:val="single"/>
                </w:rPr>
                <w:t>http://itie.sn/?offshore_dl=2007</w:t>
              </w:r>
              <w:r w:rsidRPr="002815F4">
                <w:rPr>
                  <w:noProof/>
                </w:rPr>
                <w:br/>
                <w:t>[Accessed July 2017].</w:t>
              </w:r>
            </w:p>
            <w:p w14:paraId="3CC5BE5A" w14:textId="77777777" w:rsidR="003E626E" w:rsidRPr="002815F4" w:rsidRDefault="003E626E" w:rsidP="003E626E">
              <w:pPr>
                <w:pStyle w:val="Bibliography"/>
                <w:rPr>
                  <w:noProof/>
                </w:rPr>
              </w:pPr>
              <w:r w:rsidRPr="00863985">
                <w:rPr>
                  <w:lang w:val="fr-FR"/>
                </w:rPr>
                <w:t xml:space="preserve">ITIE Senegal, 2015. </w:t>
              </w:r>
              <w:r w:rsidRPr="00863985">
                <w:rPr>
                  <w:i/>
                  <w:lang w:val="fr-FR"/>
                </w:rPr>
                <w:t xml:space="preserve">Rapport Atelier de sensibilisation à Kédougou 13 Mai 2015. </w:t>
              </w:r>
              <w:r w:rsidRPr="002815F4">
                <w:rPr>
                  <w:noProof/>
                </w:rPr>
                <w:t xml:space="preserve">[Online] </w:t>
              </w:r>
              <w:r w:rsidRPr="002815F4">
                <w:rPr>
                  <w:noProof/>
                </w:rPr>
                <w:br/>
                <w:t xml:space="preserve">Available at: </w:t>
              </w:r>
              <w:r w:rsidRPr="002815F4">
                <w:rPr>
                  <w:noProof/>
                  <w:u w:val="single"/>
                </w:rPr>
                <w:t>http://itie.sn/?offshore_dl=2008</w:t>
              </w:r>
              <w:r w:rsidRPr="002815F4">
                <w:rPr>
                  <w:noProof/>
                </w:rPr>
                <w:br/>
                <w:t>[Accessed July 2017].</w:t>
              </w:r>
            </w:p>
            <w:p w14:paraId="092459C4" w14:textId="77777777" w:rsidR="003E626E" w:rsidRPr="002815F4" w:rsidRDefault="003E626E" w:rsidP="003E626E">
              <w:pPr>
                <w:pStyle w:val="Bibliography"/>
                <w:rPr>
                  <w:noProof/>
                </w:rPr>
              </w:pPr>
              <w:r w:rsidRPr="00863985">
                <w:rPr>
                  <w:lang w:val="fr-FR"/>
                </w:rPr>
                <w:t xml:space="preserve">ITIE Senegal, 2014. </w:t>
              </w:r>
              <w:r w:rsidRPr="00863985">
                <w:rPr>
                  <w:i/>
                  <w:lang w:val="fr-FR"/>
                </w:rPr>
                <w:t xml:space="preserve">Rapport Atelier de sensibilisation des Communautés THIES Décembre 2014. </w:t>
              </w:r>
              <w:r w:rsidRPr="002815F4">
                <w:rPr>
                  <w:noProof/>
                </w:rPr>
                <w:t xml:space="preserve">[Online] </w:t>
              </w:r>
              <w:r w:rsidRPr="002815F4">
                <w:rPr>
                  <w:noProof/>
                </w:rPr>
                <w:br/>
                <w:t xml:space="preserve">Available at: </w:t>
              </w:r>
              <w:r w:rsidRPr="002815F4">
                <w:rPr>
                  <w:noProof/>
                  <w:u w:val="single"/>
                </w:rPr>
                <w:t>http://itie.sn/?offshore_dl=2009</w:t>
              </w:r>
              <w:r w:rsidRPr="002815F4">
                <w:rPr>
                  <w:noProof/>
                </w:rPr>
                <w:br/>
                <w:t>[Accessed July 2017].</w:t>
              </w:r>
            </w:p>
            <w:p w14:paraId="52946A3A" w14:textId="77777777" w:rsidR="003E626E" w:rsidRPr="002815F4" w:rsidRDefault="003E626E" w:rsidP="003E626E">
              <w:pPr>
                <w:pStyle w:val="Bibliography"/>
                <w:rPr>
                  <w:noProof/>
                </w:rPr>
              </w:pPr>
              <w:r w:rsidRPr="00E2507C">
                <w:rPr>
                  <w:lang w:val="fr-FR"/>
                </w:rPr>
                <w:t xml:space="preserve">ITIE Senegal, 2014. </w:t>
              </w:r>
              <w:r w:rsidRPr="00E2507C">
                <w:rPr>
                  <w:i/>
                  <w:lang w:val="fr-FR"/>
                </w:rPr>
                <w:t xml:space="preserve">Rapport Atelier de sensibilisation des entreprises minières et pétrolières JUIN 2014. </w:t>
              </w:r>
              <w:r w:rsidRPr="002815F4">
                <w:rPr>
                  <w:noProof/>
                </w:rPr>
                <w:t xml:space="preserve">[Online] </w:t>
              </w:r>
              <w:r w:rsidRPr="002815F4">
                <w:rPr>
                  <w:noProof/>
                </w:rPr>
                <w:br/>
                <w:t xml:space="preserve">Available at: </w:t>
              </w:r>
              <w:r w:rsidRPr="002815F4">
                <w:rPr>
                  <w:noProof/>
                  <w:u w:val="single"/>
                </w:rPr>
                <w:t>http://itie.sn/?offshore_dl=2010</w:t>
              </w:r>
              <w:r w:rsidRPr="002815F4">
                <w:rPr>
                  <w:noProof/>
                </w:rPr>
                <w:br/>
                <w:t>[Accessed July 2017].</w:t>
              </w:r>
            </w:p>
            <w:p w14:paraId="22BC0B7D" w14:textId="77777777" w:rsidR="003E626E" w:rsidRPr="002815F4" w:rsidRDefault="003E626E" w:rsidP="003E626E">
              <w:pPr>
                <w:pStyle w:val="Bibliography"/>
                <w:rPr>
                  <w:noProof/>
                </w:rPr>
              </w:pPr>
              <w:r w:rsidRPr="00E2507C">
                <w:rPr>
                  <w:lang w:val="fr-FR"/>
                </w:rPr>
                <w:t xml:space="preserve">ITIE Senegal, 2014. </w:t>
              </w:r>
              <w:r w:rsidRPr="00E2507C">
                <w:rPr>
                  <w:i/>
                  <w:lang w:val="fr-FR"/>
                </w:rPr>
                <w:t xml:space="preserve">Rapport Atelier Parlementaire Mai 2014. </w:t>
              </w:r>
              <w:r w:rsidRPr="002815F4">
                <w:rPr>
                  <w:noProof/>
                </w:rPr>
                <w:t xml:space="preserve">[Online] </w:t>
              </w:r>
              <w:r w:rsidRPr="002815F4">
                <w:rPr>
                  <w:noProof/>
                </w:rPr>
                <w:br/>
                <w:t xml:space="preserve">Available at: </w:t>
              </w:r>
              <w:r w:rsidRPr="002815F4">
                <w:rPr>
                  <w:noProof/>
                  <w:u w:val="single"/>
                </w:rPr>
                <w:t>http://itie.sn/?offshore_dl=2011</w:t>
              </w:r>
              <w:r w:rsidRPr="002815F4">
                <w:rPr>
                  <w:noProof/>
                </w:rPr>
                <w:br/>
                <w:t>[Accessed July 2017].</w:t>
              </w:r>
            </w:p>
            <w:p w14:paraId="23117AC7" w14:textId="77777777" w:rsidR="003E626E" w:rsidRPr="002815F4" w:rsidRDefault="003E626E" w:rsidP="003E626E">
              <w:pPr>
                <w:pStyle w:val="Bibliography"/>
                <w:rPr>
                  <w:noProof/>
                </w:rPr>
              </w:pPr>
              <w:r w:rsidRPr="00863985">
                <w:rPr>
                  <w:lang w:val="fr-FR"/>
                </w:rPr>
                <w:t xml:space="preserve">ITIE Senegal, 2015. </w:t>
              </w:r>
              <w:r w:rsidRPr="00863985">
                <w:rPr>
                  <w:i/>
                  <w:lang w:val="fr-FR"/>
                </w:rPr>
                <w:t xml:space="preserve">Rapport Forum Communautaire Rufisque. </w:t>
              </w:r>
              <w:r w:rsidRPr="002815F4">
                <w:rPr>
                  <w:noProof/>
                </w:rPr>
                <w:t xml:space="preserve">[Online] </w:t>
              </w:r>
              <w:r w:rsidRPr="002815F4">
                <w:rPr>
                  <w:noProof/>
                </w:rPr>
                <w:br/>
                <w:t xml:space="preserve">Available at: </w:t>
              </w:r>
              <w:r w:rsidRPr="002815F4">
                <w:rPr>
                  <w:noProof/>
                  <w:u w:val="single"/>
                </w:rPr>
                <w:t>http://itie.sn/?offshore_dl=2012</w:t>
              </w:r>
              <w:r w:rsidRPr="002815F4">
                <w:rPr>
                  <w:noProof/>
                </w:rPr>
                <w:br/>
                <w:t>[Accessed July 2017].</w:t>
              </w:r>
            </w:p>
            <w:p w14:paraId="709FD8E4" w14:textId="77777777" w:rsidR="003E626E" w:rsidRPr="002815F4" w:rsidRDefault="003E626E" w:rsidP="003E626E">
              <w:pPr>
                <w:pStyle w:val="Bibliography"/>
                <w:rPr>
                  <w:noProof/>
                </w:rPr>
              </w:pPr>
              <w:r w:rsidRPr="00863985">
                <w:rPr>
                  <w:lang w:val="fr-FR"/>
                </w:rPr>
                <w:t xml:space="preserve">PWYP Senegal, 2015. </w:t>
              </w:r>
              <w:r w:rsidRPr="00863985">
                <w:rPr>
                  <w:i/>
                  <w:lang w:val="fr-FR"/>
                </w:rPr>
                <w:t xml:space="preserve">Rapport Mobilisation Communautaire KEDOUGOU. </w:t>
              </w:r>
              <w:r w:rsidRPr="002815F4">
                <w:rPr>
                  <w:noProof/>
                </w:rPr>
                <w:t xml:space="preserve">[Online] </w:t>
              </w:r>
              <w:r w:rsidRPr="002815F4">
                <w:rPr>
                  <w:noProof/>
                </w:rPr>
                <w:br/>
                <w:t xml:space="preserve">Available at: </w:t>
              </w:r>
              <w:r w:rsidRPr="002815F4">
                <w:rPr>
                  <w:noProof/>
                  <w:u w:val="single"/>
                </w:rPr>
                <w:t>http://itie.sn/?offshore_dl=2013</w:t>
              </w:r>
              <w:r w:rsidRPr="002815F4">
                <w:rPr>
                  <w:noProof/>
                </w:rPr>
                <w:br/>
                <w:t>[Accessed July 2017].</w:t>
              </w:r>
            </w:p>
            <w:p w14:paraId="3F50904C" w14:textId="77777777" w:rsidR="003E626E" w:rsidRPr="002815F4" w:rsidRDefault="003E626E" w:rsidP="003E626E">
              <w:pPr>
                <w:pStyle w:val="Bibliography"/>
                <w:rPr>
                  <w:noProof/>
                </w:rPr>
              </w:pPr>
              <w:r w:rsidRPr="00863985">
                <w:rPr>
                  <w:lang w:val="fr-FR"/>
                </w:rPr>
                <w:t xml:space="preserve">PWYP Senegal, 2014. </w:t>
              </w:r>
              <w:r w:rsidRPr="00863985">
                <w:rPr>
                  <w:i/>
                  <w:lang w:val="fr-FR"/>
                </w:rPr>
                <w:t xml:space="preserve">Statuts de la Coalition « Publiez Ce Que Vous Payez/Sénégal ». </w:t>
              </w:r>
              <w:r w:rsidRPr="002815F4">
                <w:rPr>
                  <w:noProof/>
                </w:rPr>
                <w:t xml:space="preserve">[Online] </w:t>
              </w:r>
              <w:r w:rsidRPr="002815F4">
                <w:rPr>
                  <w:noProof/>
                </w:rPr>
                <w:br/>
                <w:t xml:space="preserve">Available at: </w:t>
              </w:r>
              <w:r w:rsidRPr="002815F4">
                <w:rPr>
                  <w:noProof/>
                  <w:u w:val="single"/>
                </w:rPr>
                <w:t>http://itie.sn/?offshore_dl=1143</w:t>
              </w:r>
              <w:r w:rsidRPr="002815F4">
                <w:rPr>
                  <w:noProof/>
                </w:rPr>
                <w:br/>
                <w:t>[Accessed July 2017].</w:t>
              </w:r>
            </w:p>
            <w:p w14:paraId="10BC9BFD" w14:textId="77777777" w:rsidR="003E626E" w:rsidRPr="002815F4" w:rsidRDefault="003E626E" w:rsidP="003E626E">
              <w:pPr>
                <w:pStyle w:val="Bibliography"/>
                <w:rPr>
                  <w:noProof/>
                </w:rPr>
              </w:pPr>
              <w:r w:rsidRPr="00863985">
                <w:rPr>
                  <w:lang w:val="fr-FR"/>
                </w:rPr>
                <w:t xml:space="preserve">PWYP Senegal, 2015. </w:t>
              </w:r>
              <w:r w:rsidRPr="00863985">
                <w:rPr>
                  <w:i/>
                  <w:lang w:val="fr-FR"/>
                </w:rPr>
                <w:t xml:space="preserve">Déclaration de la Coalition PCVP-Sénégal-2015. </w:t>
              </w:r>
              <w:r w:rsidRPr="002815F4">
                <w:rPr>
                  <w:noProof/>
                </w:rPr>
                <w:t xml:space="preserve">[Online] </w:t>
              </w:r>
              <w:r w:rsidRPr="002815F4">
                <w:rPr>
                  <w:noProof/>
                </w:rPr>
                <w:br/>
                <w:t xml:space="preserve">Available at: </w:t>
              </w:r>
              <w:r w:rsidRPr="002815F4">
                <w:rPr>
                  <w:noProof/>
                  <w:u w:val="single"/>
                </w:rPr>
                <w:t>http://itie.sn/?offshore_dl=1147</w:t>
              </w:r>
              <w:r w:rsidRPr="002815F4">
                <w:rPr>
                  <w:noProof/>
                </w:rPr>
                <w:br/>
                <w:t>[Accessed July 2017].</w:t>
              </w:r>
            </w:p>
            <w:p w14:paraId="2EB8ED5D" w14:textId="77777777" w:rsidR="003E626E" w:rsidRPr="002815F4" w:rsidRDefault="003E626E" w:rsidP="003E626E">
              <w:pPr>
                <w:pStyle w:val="Bibliography"/>
                <w:rPr>
                  <w:noProof/>
                </w:rPr>
              </w:pPr>
              <w:r w:rsidRPr="00863985">
                <w:rPr>
                  <w:lang w:val="fr-FR"/>
                </w:rPr>
                <w:t xml:space="preserve">PWYP Senegal, 2015. </w:t>
              </w:r>
              <w:r w:rsidRPr="00863985">
                <w:rPr>
                  <w:i/>
                  <w:lang w:val="fr-FR"/>
                </w:rPr>
                <w:t xml:space="preserve">Contribution de la Coalition Publiez Ce Que Vous Payez / Sénégal sur l’avant projet de Code Minier. </w:t>
              </w:r>
              <w:r w:rsidRPr="002815F4">
                <w:rPr>
                  <w:noProof/>
                </w:rPr>
                <w:t xml:space="preserve">[Online] </w:t>
              </w:r>
              <w:r w:rsidRPr="002815F4">
                <w:rPr>
                  <w:noProof/>
                </w:rPr>
                <w:br/>
                <w:t xml:space="preserve">Available at: </w:t>
              </w:r>
              <w:r w:rsidRPr="002815F4">
                <w:rPr>
                  <w:noProof/>
                  <w:u w:val="single"/>
                </w:rPr>
                <w:t>http://itie.sn/?offshore_dl=1145</w:t>
              </w:r>
              <w:r w:rsidRPr="002815F4">
                <w:rPr>
                  <w:noProof/>
                </w:rPr>
                <w:br/>
                <w:t>[Accessed July 2017].</w:t>
              </w:r>
            </w:p>
            <w:p w14:paraId="0776C1F6" w14:textId="77777777" w:rsidR="003E626E" w:rsidRPr="002815F4" w:rsidRDefault="003E626E" w:rsidP="003E626E">
              <w:pPr>
                <w:pStyle w:val="Bibliography"/>
                <w:rPr>
                  <w:noProof/>
                </w:rPr>
              </w:pPr>
              <w:r w:rsidRPr="002815F4">
                <w:rPr>
                  <w:noProof/>
                </w:rPr>
                <w:t xml:space="preserve">ITIE Senegal, 2016. </w:t>
              </w:r>
              <w:r w:rsidRPr="002815F4">
                <w:rPr>
                  <w:i/>
                  <w:iCs/>
                  <w:noProof/>
                </w:rPr>
                <w:t xml:space="preserve">Plan d'Action 2016-2017. </w:t>
              </w:r>
              <w:r w:rsidRPr="002815F4">
                <w:rPr>
                  <w:noProof/>
                </w:rPr>
                <w:t xml:space="preserve">[Online] </w:t>
              </w:r>
              <w:r w:rsidRPr="002815F4">
                <w:rPr>
                  <w:noProof/>
                </w:rPr>
                <w:br/>
                <w:t xml:space="preserve">Available at: </w:t>
              </w:r>
              <w:r w:rsidRPr="002815F4">
                <w:rPr>
                  <w:noProof/>
                  <w:u w:val="single"/>
                </w:rPr>
                <w:t>http://itie.sn/?offshore_dl=1992</w:t>
              </w:r>
              <w:r w:rsidRPr="002815F4">
                <w:rPr>
                  <w:noProof/>
                </w:rPr>
                <w:br/>
                <w:t>[Accessed July 2017].</w:t>
              </w:r>
            </w:p>
            <w:p w14:paraId="71FB9E2E" w14:textId="77777777" w:rsidR="003E626E" w:rsidRPr="002815F4" w:rsidRDefault="003E626E" w:rsidP="003E626E">
              <w:pPr>
                <w:pStyle w:val="Bibliography"/>
                <w:rPr>
                  <w:noProof/>
                </w:rPr>
              </w:pPr>
              <w:r w:rsidRPr="00863985">
                <w:rPr>
                  <w:noProof/>
                </w:rPr>
                <w:t xml:space="preserve">ITIE Senegal, 2015. </w:t>
              </w:r>
              <w:r w:rsidRPr="00EA04FD">
                <w:rPr>
                  <w:i/>
                  <w:iCs/>
                  <w:noProof/>
                </w:rPr>
                <w:t xml:space="preserve">Workplan ITIE du 10 Février 2015. </w:t>
              </w:r>
              <w:r w:rsidRPr="002815F4">
                <w:rPr>
                  <w:noProof/>
                </w:rPr>
                <w:t xml:space="preserve">[Online] </w:t>
              </w:r>
              <w:r w:rsidRPr="002815F4">
                <w:rPr>
                  <w:noProof/>
                </w:rPr>
                <w:br/>
                <w:t xml:space="preserve">Available at: </w:t>
              </w:r>
              <w:r w:rsidRPr="002815F4">
                <w:rPr>
                  <w:noProof/>
                  <w:u w:val="single"/>
                </w:rPr>
                <w:t>http://itie.sn/?offshore_dl=1993</w:t>
              </w:r>
              <w:r w:rsidRPr="002815F4">
                <w:rPr>
                  <w:noProof/>
                </w:rPr>
                <w:br/>
                <w:t>[Accessed July 2017].</w:t>
              </w:r>
            </w:p>
            <w:p w14:paraId="5CF0442B" w14:textId="77777777" w:rsidR="003E626E" w:rsidRPr="002815F4" w:rsidRDefault="003E626E" w:rsidP="003E626E">
              <w:pPr>
                <w:pStyle w:val="Bibliography"/>
                <w:rPr>
                  <w:noProof/>
                </w:rPr>
              </w:pPr>
              <w:r w:rsidRPr="00863985">
                <w:rPr>
                  <w:lang w:val="fr-FR"/>
                </w:rPr>
                <w:t xml:space="preserve">President de la Republique, 2016. </w:t>
              </w:r>
              <w:r w:rsidRPr="00863985">
                <w:rPr>
                  <w:i/>
                  <w:lang w:val="fr-FR"/>
                </w:rPr>
                <w:t xml:space="preserve">Arrêté portant Nomination des membres du comité national de l'ITIE. </w:t>
              </w:r>
              <w:r w:rsidRPr="002815F4">
                <w:rPr>
                  <w:noProof/>
                </w:rPr>
                <w:t xml:space="preserve">[Online] </w:t>
              </w:r>
              <w:r w:rsidRPr="002815F4">
                <w:rPr>
                  <w:noProof/>
                </w:rPr>
                <w:br/>
                <w:t xml:space="preserve">Available at: </w:t>
              </w:r>
              <w:r w:rsidRPr="002815F4">
                <w:rPr>
                  <w:noProof/>
                  <w:u w:val="single"/>
                </w:rPr>
                <w:t>http://itie.sn/?offshore_dl=621</w:t>
              </w:r>
              <w:r w:rsidRPr="002815F4">
                <w:rPr>
                  <w:noProof/>
                </w:rPr>
                <w:br/>
                <w:t>[Accessed July 2017].</w:t>
              </w:r>
            </w:p>
            <w:p w14:paraId="08741066" w14:textId="77777777" w:rsidR="003E626E" w:rsidRPr="002815F4" w:rsidRDefault="003E626E" w:rsidP="003E626E">
              <w:pPr>
                <w:pStyle w:val="Bibliography"/>
                <w:rPr>
                  <w:noProof/>
                </w:rPr>
              </w:pPr>
              <w:r w:rsidRPr="00E2507C">
                <w:rPr>
                  <w:lang w:val="fr-FR"/>
                </w:rPr>
                <w:t xml:space="preserve">ITIE Senegal, 2014. </w:t>
              </w:r>
              <w:r w:rsidRPr="00E2507C">
                <w:rPr>
                  <w:i/>
                  <w:lang w:val="fr-FR"/>
                </w:rPr>
                <w:t xml:space="preserve">Atelier de dissémination du rapport ITIE 2013. </w:t>
              </w:r>
              <w:r w:rsidRPr="002815F4">
                <w:rPr>
                  <w:noProof/>
                </w:rPr>
                <w:t xml:space="preserve">[Online] </w:t>
              </w:r>
              <w:r w:rsidRPr="002815F4">
                <w:rPr>
                  <w:noProof/>
                </w:rPr>
                <w:br/>
                <w:t xml:space="preserve">Available at: </w:t>
              </w:r>
              <w:r w:rsidRPr="002815F4">
                <w:rPr>
                  <w:noProof/>
                  <w:u w:val="single"/>
                </w:rPr>
                <w:t>http://itie.sn/wp-content/uploads/2017/03/Atelier-de-diss%C3%A9mination-du-rapport-ITIE-2013-du-S%C3%A9n%C3%A9gal-1.pdf</w:t>
              </w:r>
              <w:r w:rsidRPr="002815F4">
                <w:rPr>
                  <w:noProof/>
                </w:rPr>
                <w:br/>
                <w:t>[Accessed July 2017].</w:t>
              </w:r>
            </w:p>
            <w:p w14:paraId="67A5C64F" w14:textId="77777777" w:rsidR="003E626E" w:rsidRPr="002815F4" w:rsidRDefault="003E626E" w:rsidP="003E626E">
              <w:pPr>
                <w:pStyle w:val="Bibliography"/>
                <w:rPr>
                  <w:noProof/>
                </w:rPr>
              </w:pPr>
              <w:r w:rsidRPr="00E2507C">
                <w:rPr>
                  <w:lang w:val="fr-FR"/>
                </w:rPr>
                <w:t xml:space="preserve">ITIE Senegal, 2013. </w:t>
              </w:r>
              <w:r w:rsidRPr="00E2507C">
                <w:rPr>
                  <w:i/>
                  <w:lang w:val="fr-FR"/>
                </w:rPr>
                <w:t xml:space="preserve">PV RÉUNION DU GMP – 27 JUILLET 2013. </w:t>
              </w:r>
              <w:r w:rsidRPr="002815F4">
                <w:rPr>
                  <w:noProof/>
                </w:rPr>
                <w:t xml:space="preserve">[Online] </w:t>
              </w:r>
              <w:r w:rsidRPr="002815F4">
                <w:rPr>
                  <w:noProof/>
                </w:rPr>
                <w:br/>
                <w:t xml:space="preserve">Available at: </w:t>
              </w:r>
              <w:r w:rsidRPr="002815F4">
                <w:rPr>
                  <w:noProof/>
                  <w:u w:val="single"/>
                </w:rPr>
                <w:t>http://itie.sn/wp-content/uploads/2017/03/Compte-Rendu-reunion-27-Juillet-2013.pdf</w:t>
              </w:r>
              <w:r w:rsidRPr="002815F4">
                <w:rPr>
                  <w:noProof/>
                </w:rPr>
                <w:br/>
                <w:t>[Accessed July 2017].</w:t>
              </w:r>
            </w:p>
            <w:p w14:paraId="5DB5B9D0" w14:textId="77777777" w:rsidR="003E626E" w:rsidRPr="002815F4" w:rsidRDefault="003E626E" w:rsidP="003E626E">
              <w:pPr>
                <w:pStyle w:val="Bibliography"/>
                <w:rPr>
                  <w:noProof/>
                </w:rPr>
              </w:pPr>
              <w:r w:rsidRPr="00863985">
                <w:rPr>
                  <w:lang w:val="fr-FR"/>
                </w:rPr>
                <w:t xml:space="preserve">ITIE Senegal, 2013. </w:t>
              </w:r>
              <w:r w:rsidRPr="00863985">
                <w:rPr>
                  <w:i/>
                  <w:lang w:val="fr-FR"/>
                </w:rPr>
                <w:t xml:space="preserve">PV RÉUNION DU GMP – 02 OCTOBRE 2013. </w:t>
              </w:r>
              <w:r w:rsidRPr="002815F4">
                <w:rPr>
                  <w:noProof/>
                </w:rPr>
                <w:t xml:space="preserve">[Online] </w:t>
              </w:r>
              <w:r w:rsidRPr="002815F4">
                <w:rPr>
                  <w:noProof/>
                </w:rPr>
                <w:br/>
                <w:t xml:space="preserve">Available at: </w:t>
              </w:r>
              <w:r w:rsidRPr="002815F4">
                <w:rPr>
                  <w:noProof/>
                  <w:u w:val="single"/>
                </w:rPr>
                <w:t>http://itie.sn/wp-content/uploads/2017/03/Compte-Rendu-R%C3%A9union-du-GMP-02-Octobre-2013.pdf</w:t>
              </w:r>
              <w:r w:rsidRPr="002815F4">
                <w:rPr>
                  <w:noProof/>
                </w:rPr>
                <w:br/>
                <w:t>[Accessed July 2017].</w:t>
              </w:r>
            </w:p>
            <w:p w14:paraId="1FA636BB" w14:textId="77777777" w:rsidR="003E626E" w:rsidRPr="002815F4" w:rsidRDefault="003E626E" w:rsidP="003E626E">
              <w:pPr>
                <w:pStyle w:val="Bibliography"/>
                <w:rPr>
                  <w:noProof/>
                </w:rPr>
              </w:pPr>
              <w:r w:rsidRPr="00E2507C">
                <w:rPr>
                  <w:lang w:val="fr-FR"/>
                </w:rPr>
                <w:t xml:space="preserve">ITIE Senegal, 2013. </w:t>
              </w:r>
              <w:r w:rsidRPr="00E2507C">
                <w:rPr>
                  <w:i/>
                  <w:lang w:val="fr-FR"/>
                </w:rPr>
                <w:t xml:space="preserve">PV RÉUNION DU GMP – 11 DÉCEMBRE 2013. </w:t>
              </w:r>
              <w:r w:rsidRPr="002815F4">
                <w:rPr>
                  <w:noProof/>
                </w:rPr>
                <w:t xml:space="preserve">[Online] </w:t>
              </w:r>
              <w:r w:rsidRPr="002815F4">
                <w:rPr>
                  <w:noProof/>
                </w:rPr>
                <w:br/>
                <w:t xml:space="preserve">Available at: </w:t>
              </w:r>
              <w:r w:rsidRPr="002815F4">
                <w:rPr>
                  <w:noProof/>
                  <w:u w:val="single"/>
                </w:rPr>
                <w:t>http://itie.sn/wp-content/uploads/2017/03/Compte-R-r%C3%A9union-GMP-11122013.pdf</w:t>
              </w:r>
              <w:r w:rsidRPr="002815F4">
                <w:rPr>
                  <w:noProof/>
                </w:rPr>
                <w:br/>
                <w:t>[Accessed July 2017].</w:t>
              </w:r>
            </w:p>
            <w:p w14:paraId="468E796D" w14:textId="77777777" w:rsidR="003E626E" w:rsidRPr="002815F4" w:rsidRDefault="003E626E" w:rsidP="003E626E">
              <w:pPr>
                <w:pStyle w:val="Bibliography"/>
                <w:rPr>
                  <w:noProof/>
                </w:rPr>
              </w:pPr>
              <w:r w:rsidRPr="00E2507C">
                <w:rPr>
                  <w:lang w:val="fr-FR"/>
                </w:rPr>
                <w:t xml:space="preserve">ITIE Senegal, 2013. </w:t>
              </w:r>
              <w:r w:rsidRPr="00E2507C">
                <w:rPr>
                  <w:i/>
                  <w:lang w:val="fr-FR"/>
                </w:rPr>
                <w:t xml:space="preserve">PV RÉUNION DU GMP – 13 DÉCEMBRE 2013. </w:t>
              </w:r>
              <w:r w:rsidRPr="002815F4">
                <w:rPr>
                  <w:noProof/>
                </w:rPr>
                <w:t xml:space="preserve">[Online] </w:t>
              </w:r>
              <w:r w:rsidRPr="002815F4">
                <w:rPr>
                  <w:noProof/>
                </w:rPr>
                <w:br/>
                <w:t xml:space="preserve">Available at: </w:t>
              </w:r>
              <w:r w:rsidRPr="002815F4">
                <w:rPr>
                  <w:noProof/>
                  <w:u w:val="single"/>
                </w:rPr>
                <w:t>http://itie.sn/wp-content/uploads/2017/02/Compte-R-re%CC%81union-GMP.pdf</w:t>
              </w:r>
              <w:r w:rsidRPr="002815F4">
                <w:rPr>
                  <w:noProof/>
                </w:rPr>
                <w:br/>
                <w:t>[Accessed July 2017].</w:t>
              </w:r>
            </w:p>
            <w:p w14:paraId="62D52E1A" w14:textId="77777777" w:rsidR="003E626E" w:rsidRPr="002815F4" w:rsidRDefault="003E626E" w:rsidP="003E626E">
              <w:pPr>
                <w:pStyle w:val="Bibliography"/>
                <w:rPr>
                  <w:noProof/>
                </w:rPr>
              </w:pPr>
              <w:r w:rsidRPr="00E2507C">
                <w:rPr>
                  <w:lang w:val="fr-FR"/>
                </w:rPr>
                <w:t xml:space="preserve">ITIE Senegal, 2014. </w:t>
              </w:r>
              <w:r w:rsidRPr="00E2507C">
                <w:rPr>
                  <w:i/>
                  <w:lang w:val="fr-FR"/>
                </w:rPr>
                <w:t xml:space="preserve">PV RÉUNION DU GMP – 04 MAI 2014. </w:t>
              </w:r>
              <w:r w:rsidRPr="002815F4">
                <w:rPr>
                  <w:noProof/>
                </w:rPr>
                <w:t xml:space="preserve">[Online] </w:t>
              </w:r>
              <w:r w:rsidRPr="002815F4">
                <w:rPr>
                  <w:noProof/>
                </w:rPr>
                <w:br/>
                <w:t xml:space="preserve">Available at: </w:t>
              </w:r>
              <w:r w:rsidRPr="002815F4">
                <w:rPr>
                  <w:noProof/>
                  <w:u w:val="single"/>
                </w:rPr>
                <w:t>http://itie.sn/wp-content/uploads/2017/03/2-Compte-Rendu-r%C3%A9union-GMP-04-mai-14.pdf</w:t>
              </w:r>
              <w:r w:rsidRPr="002815F4">
                <w:rPr>
                  <w:noProof/>
                </w:rPr>
                <w:br/>
                <w:t>[Accessed July 2017].</w:t>
              </w:r>
            </w:p>
            <w:p w14:paraId="27567DAE" w14:textId="77777777" w:rsidR="003E626E" w:rsidRPr="002815F4" w:rsidRDefault="003E626E" w:rsidP="003E626E">
              <w:pPr>
                <w:pStyle w:val="Bibliography"/>
                <w:rPr>
                  <w:noProof/>
                </w:rPr>
              </w:pPr>
              <w:r w:rsidRPr="00863985">
                <w:rPr>
                  <w:lang w:val="fr-FR"/>
                </w:rPr>
                <w:t xml:space="preserve">ITIE Senegal, 2014. </w:t>
              </w:r>
              <w:r w:rsidRPr="00863985">
                <w:rPr>
                  <w:i/>
                  <w:lang w:val="fr-FR"/>
                </w:rPr>
                <w:t xml:space="preserve">PV RÉUNION DU GMP – 24 OCTOBRE 2014. </w:t>
              </w:r>
              <w:r w:rsidRPr="002815F4">
                <w:rPr>
                  <w:noProof/>
                </w:rPr>
                <w:t xml:space="preserve">[Online] </w:t>
              </w:r>
              <w:r w:rsidRPr="002815F4">
                <w:rPr>
                  <w:noProof/>
                </w:rPr>
                <w:br/>
                <w:t xml:space="preserve">Available at: </w:t>
              </w:r>
              <w:r w:rsidRPr="002815F4">
                <w:rPr>
                  <w:noProof/>
                  <w:u w:val="single"/>
                </w:rPr>
                <w:t>http://itie.sn/wp-content/uploads/2017/03/4-Compte-Rendu-r%C3%A9union-GMP-24-oct-14.pdf</w:t>
              </w:r>
              <w:r w:rsidRPr="002815F4">
                <w:rPr>
                  <w:noProof/>
                </w:rPr>
                <w:br/>
                <w:t>[Accessed July 2017].</w:t>
              </w:r>
            </w:p>
            <w:p w14:paraId="3C2034B5" w14:textId="77777777" w:rsidR="003E626E" w:rsidRPr="002815F4" w:rsidRDefault="003E626E" w:rsidP="003E626E">
              <w:pPr>
                <w:pStyle w:val="Bibliography"/>
                <w:rPr>
                  <w:noProof/>
                </w:rPr>
              </w:pPr>
              <w:r w:rsidRPr="00E2507C">
                <w:rPr>
                  <w:lang w:val="fr-FR"/>
                </w:rPr>
                <w:t xml:space="preserve">ITIE Senegal, 2014. </w:t>
              </w:r>
              <w:r w:rsidRPr="00E2507C">
                <w:rPr>
                  <w:i/>
                  <w:lang w:val="fr-FR"/>
                </w:rPr>
                <w:t xml:space="preserve">PV RÉUNION DU GMP – 12 DÉCEMBRE 2014. </w:t>
              </w:r>
              <w:r w:rsidRPr="002815F4">
                <w:rPr>
                  <w:noProof/>
                </w:rPr>
                <w:t xml:space="preserve">[Online] </w:t>
              </w:r>
              <w:r w:rsidRPr="002815F4">
                <w:rPr>
                  <w:noProof/>
                </w:rPr>
                <w:br/>
                <w:t xml:space="preserve">Available at: </w:t>
              </w:r>
              <w:r w:rsidRPr="002815F4">
                <w:rPr>
                  <w:noProof/>
                  <w:u w:val="single"/>
                </w:rPr>
                <w:t>http://itie.sn/wp-content/uploads/2017/03/5-Compte-rendu-r%C3%A9union-GMP-12-D%C3%A9cembre-14.pdf</w:t>
              </w:r>
              <w:r w:rsidRPr="002815F4">
                <w:rPr>
                  <w:noProof/>
                </w:rPr>
                <w:br/>
                <w:t>[Accessed July 2017].</w:t>
              </w:r>
            </w:p>
            <w:p w14:paraId="3A92DBF2" w14:textId="77777777" w:rsidR="003E626E" w:rsidRPr="002815F4" w:rsidRDefault="003E626E" w:rsidP="003E626E">
              <w:pPr>
                <w:pStyle w:val="Bibliography"/>
                <w:rPr>
                  <w:noProof/>
                </w:rPr>
              </w:pPr>
              <w:r w:rsidRPr="00E2507C">
                <w:rPr>
                  <w:lang w:val="fr-FR"/>
                </w:rPr>
                <w:t xml:space="preserve">ITIE Senegal, 2015. </w:t>
              </w:r>
              <w:r w:rsidRPr="00E2507C">
                <w:rPr>
                  <w:i/>
                  <w:lang w:val="fr-FR"/>
                </w:rPr>
                <w:t xml:space="preserve">PV RÉUNION DU GMP-19 FÉVRIER 2015. </w:t>
              </w:r>
              <w:r w:rsidRPr="002815F4">
                <w:rPr>
                  <w:noProof/>
                </w:rPr>
                <w:t xml:space="preserve">[Online] </w:t>
              </w:r>
              <w:r w:rsidRPr="002815F4">
                <w:rPr>
                  <w:noProof/>
                </w:rPr>
                <w:br/>
                <w:t xml:space="preserve">Available at: </w:t>
              </w:r>
              <w:r w:rsidRPr="002815F4">
                <w:rPr>
                  <w:noProof/>
                  <w:u w:val="single"/>
                </w:rPr>
                <w:t>http://itie.sn/wp-content/uploads/2017/03/Compte-R%C3%A9union-Ordinaire-du-GMP-19-F%C3%A9vrier-2015.pdf</w:t>
              </w:r>
              <w:r w:rsidRPr="002815F4">
                <w:rPr>
                  <w:noProof/>
                </w:rPr>
                <w:br/>
                <w:t>[Accessed July 2017].</w:t>
              </w:r>
            </w:p>
            <w:p w14:paraId="2F0CA4BD" w14:textId="77777777" w:rsidR="003E626E" w:rsidRPr="002815F4" w:rsidRDefault="003E626E" w:rsidP="003E626E">
              <w:pPr>
                <w:pStyle w:val="Bibliography"/>
                <w:rPr>
                  <w:noProof/>
                </w:rPr>
              </w:pPr>
              <w:r w:rsidRPr="00E2507C">
                <w:rPr>
                  <w:lang w:val="fr-FR"/>
                </w:rPr>
                <w:t xml:space="preserve">ITIE Senegal, 2015. </w:t>
              </w:r>
              <w:r w:rsidRPr="00E2507C">
                <w:rPr>
                  <w:i/>
                  <w:lang w:val="fr-FR"/>
                </w:rPr>
                <w:t xml:space="preserve">PV RÉUNION DU GMP – 03 AVRIL 2015. </w:t>
              </w:r>
              <w:r w:rsidRPr="002815F4">
                <w:rPr>
                  <w:noProof/>
                </w:rPr>
                <w:t xml:space="preserve">[Online] </w:t>
              </w:r>
              <w:r w:rsidRPr="002815F4">
                <w:rPr>
                  <w:noProof/>
                </w:rPr>
                <w:br/>
                <w:t xml:space="preserve">Available at: </w:t>
              </w:r>
              <w:r w:rsidRPr="002815F4">
                <w:rPr>
                  <w:noProof/>
                  <w:u w:val="single"/>
                </w:rPr>
                <w:t>http://itie.sn/wp-content/uploads/2017/03/PV-R%C3%A9union-extraordinaire-du-GMP-03-Avril-2015.pdf</w:t>
              </w:r>
              <w:r w:rsidRPr="002815F4">
                <w:rPr>
                  <w:noProof/>
                </w:rPr>
                <w:br/>
                <w:t>[Accessed July 2017].</w:t>
              </w:r>
            </w:p>
            <w:p w14:paraId="1318A7A0" w14:textId="77777777" w:rsidR="003E626E" w:rsidRPr="002815F4" w:rsidRDefault="003E626E" w:rsidP="003E626E">
              <w:pPr>
                <w:pStyle w:val="Bibliography"/>
                <w:rPr>
                  <w:noProof/>
                </w:rPr>
              </w:pPr>
              <w:r w:rsidRPr="00E2507C">
                <w:rPr>
                  <w:lang w:val="fr-FR"/>
                </w:rPr>
                <w:t xml:space="preserve">ITIE Senegal, 2015. </w:t>
              </w:r>
              <w:r w:rsidRPr="00E2507C">
                <w:rPr>
                  <w:i/>
                  <w:lang w:val="fr-FR"/>
                </w:rPr>
                <w:t xml:space="preserve">PV RÉUNION DU GMP-07 AOÛT 2015. </w:t>
              </w:r>
              <w:r w:rsidRPr="002815F4">
                <w:rPr>
                  <w:noProof/>
                </w:rPr>
                <w:t xml:space="preserve">[Online] </w:t>
              </w:r>
              <w:r w:rsidRPr="002815F4">
                <w:rPr>
                  <w:noProof/>
                </w:rPr>
                <w:br/>
                <w:t xml:space="preserve">Available at: </w:t>
              </w:r>
              <w:r w:rsidRPr="002815F4">
                <w:rPr>
                  <w:noProof/>
                  <w:u w:val="single"/>
                </w:rPr>
                <w:t>http://itie.sn/wp-content/uploads/2017/03/Compte-rendu-R%C3%A9union-Ordinaire-du-GMP-07-Aout-2015.pdf</w:t>
              </w:r>
              <w:r w:rsidRPr="002815F4">
                <w:rPr>
                  <w:noProof/>
                </w:rPr>
                <w:br/>
                <w:t>[Accessed July 2017].</w:t>
              </w:r>
            </w:p>
            <w:p w14:paraId="33E36B1C" w14:textId="77777777" w:rsidR="003E626E" w:rsidRPr="002815F4" w:rsidRDefault="003E626E" w:rsidP="003E626E">
              <w:pPr>
                <w:pStyle w:val="Bibliography"/>
                <w:rPr>
                  <w:noProof/>
                </w:rPr>
              </w:pPr>
              <w:r w:rsidRPr="00E2507C">
                <w:rPr>
                  <w:lang w:val="fr-FR"/>
                </w:rPr>
                <w:t xml:space="preserve">ITIE Senegal, 2015. </w:t>
              </w:r>
              <w:r w:rsidRPr="00E2507C">
                <w:rPr>
                  <w:i/>
                  <w:lang w:val="fr-FR"/>
                </w:rPr>
                <w:t xml:space="preserve">PV RÉUNION DU GMP – 30 SEPTEMBRE 2015. </w:t>
              </w:r>
              <w:r w:rsidRPr="002815F4">
                <w:rPr>
                  <w:noProof/>
                </w:rPr>
                <w:t xml:space="preserve">[Online] </w:t>
              </w:r>
              <w:r w:rsidRPr="002815F4">
                <w:rPr>
                  <w:noProof/>
                </w:rPr>
                <w:br/>
                <w:t xml:space="preserve">Available at: </w:t>
              </w:r>
              <w:r w:rsidRPr="002815F4">
                <w:rPr>
                  <w:noProof/>
                  <w:u w:val="single"/>
                </w:rPr>
                <w:t>http://itie.sn/wp-content/uploads/2017/03/Compte-Rendu-r%C3%A9union-du-GMP-30-Septembre-2015-1.pdf</w:t>
              </w:r>
              <w:r w:rsidRPr="002815F4">
                <w:rPr>
                  <w:noProof/>
                </w:rPr>
                <w:br/>
                <w:t>[Accessed July 2017].</w:t>
              </w:r>
            </w:p>
            <w:p w14:paraId="3690DDAD" w14:textId="77777777" w:rsidR="003E626E" w:rsidRPr="002815F4" w:rsidRDefault="003E626E" w:rsidP="003E626E">
              <w:pPr>
                <w:pStyle w:val="Bibliography"/>
                <w:rPr>
                  <w:noProof/>
                </w:rPr>
              </w:pPr>
              <w:r w:rsidRPr="00E2507C">
                <w:rPr>
                  <w:lang w:val="fr-FR"/>
                </w:rPr>
                <w:t xml:space="preserve">ITIE Senegal, 2016. </w:t>
              </w:r>
              <w:r w:rsidRPr="00E2507C">
                <w:rPr>
                  <w:i/>
                  <w:lang w:val="fr-FR"/>
                </w:rPr>
                <w:t xml:space="preserve">PV RÉUNION ORDINAIRE DU GMP – 08 JANVIER 2016. </w:t>
              </w:r>
              <w:r w:rsidRPr="002815F4">
                <w:rPr>
                  <w:noProof/>
                </w:rPr>
                <w:t xml:space="preserve">[Online] </w:t>
              </w:r>
              <w:r w:rsidRPr="002815F4">
                <w:rPr>
                  <w:noProof/>
                </w:rPr>
                <w:br/>
                <w:t xml:space="preserve">Available at: </w:t>
              </w:r>
              <w:r w:rsidRPr="002815F4">
                <w:rPr>
                  <w:noProof/>
                  <w:u w:val="single"/>
                </w:rPr>
                <w:t>http://itie.sn/wp-content/uploads/2017/03/Compte-rendu-R%C3%A9union-Ordinaire-GMP-08-Janvier-2016.pdf</w:t>
              </w:r>
              <w:r w:rsidRPr="002815F4">
                <w:rPr>
                  <w:noProof/>
                </w:rPr>
                <w:br/>
                <w:t>[Accessed July 2017].</w:t>
              </w:r>
            </w:p>
            <w:p w14:paraId="6E94FAC7" w14:textId="77777777" w:rsidR="003E626E" w:rsidRPr="002815F4" w:rsidRDefault="003E626E" w:rsidP="003E626E">
              <w:pPr>
                <w:pStyle w:val="Bibliography"/>
                <w:rPr>
                  <w:noProof/>
                </w:rPr>
              </w:pPr>
              <w:r w:rsidRPr="00E2507C">
                <w:rPr>
                  <w:lang w:val="fr-FR"/>
                </w:rPr>
                <w:t xml:space="preserve">ITIE Senegal, 2016. </w:t>
              </w:r>
              <w:r w:rsidRPr="00E2507C">
                <w:rPr>
                  <w:i/>
                  <w:lang w:val="fr-FR"/>
                </w:rPr>
                <w:t xml:space="preserve">PV RÉUNION DU GMP – 27 JANVIER 2016. </w:t>
              </w:r>
              <w:r w:rsidRPr="002815F4">
                <w:rPr>
                  <w:noProof/>
                </w:rPr>
                <w:t xml:space="preserve">[Online] </w:t>
              </w:r>
              <w:r w:rsidRPr="002815F4">
                <w:rPr>
                  <w:noProof/>
                </w:rPr>
                <w:br/>
                <w:t xml:space="preserve">Available at: </w:t>
              </w:r>
              <w:r w:rsidRPr="002815F4">
                <w:rPr>
                  <w:noProof/>
                  <w:u w:val="single"/>
                </w:rPr>
                <w:t>http://itie.sn/wp-content/uploads/2017/03/1ere-r%C3%A9union-extraordinaire-du-GMP-27-Janvier-2016.pdf</w:t>
              </w:r>
              <w:r w:rsidRPr="002815F4">
                <w:rPr>
                  <w:noProof/>
                </w:rPr>
                <w:br/>
                <w:t>[Accessed July 2017].</w:t>
              </w:r>
            </w:p>
            <w:p w14:paraId="6465A8B0" w14:textId="77777777" w:rsidR="003E626E" w:rsidRPr="002815F4" w:rsidRDefault="003E626E" w:rsidP="003E626E">
              <w:pPr>
                <w:pStyle w:val="Bibliography"/>
                <w:rPr>
                  <w:noProof/>
                </w:rPr>
              </w:pPr>
              <w:r w:rsidRPr="00E2507C">
                <w:rPr>
                  <w:lang w:val="fr-FR"/>
                </w:rPr>
                <w:t xml:space="preserve">ITIE Senegal, 2016. </w:t>
              </w:r>
              <w:r w:rsidRPr="00E2507C">
                <w:rPr>
                  <w:i/>
                  <w:lang w:val="fr-FR"/>
                </w:rPr>
                <w:t xml:space="preserve">PV RÉUNION DU GMP-SEC INTERNATIONAL – 25 MARS 2016. </w:t>
              </w:r>
              <w:r w:rsidRPr="002815F4">
                <w:rPr>
                  <w:noProof/>
                </w:rPr>
                <w:t xml:space="preserve">[Online] </w:t>
              </w:r>
              <w:r w:rsidRPr="002815F4">
                <w:rPr>
                  <w:noProof/>
                </w:rPr>
                <w:br/>
                <w:t xml:space="preserve">Available at: </w:t>
              </w:r>
              <w:r w:rsidRPr="002815F4">
                <w:rPr>
                  <w:noProof/>
                  <w:u w:val="single"/>
                </w:rPr>
                <w:t>http://itie.sn/wp-content/uploads/2017/03/Compte-rendu-R%C3%A9union-GMP-Sec-International-25-Mars-2016.pdf</w:t>
              </w:r>
              <w:r w:rsidRPr="002815F4">
                <w:rPr>
                  <w:noProof/>
                </w:rPr>
                <w:br/>
                <w:t>[Accessed July 2017].</w:t>
              </w:r>
            </w:p>
            <w:p w14:paraId="2B0566A5" w14:textId="77777777" w:rsidR="003E626E" w:rsidRPr="002815F4" w:rsidRDefault="003E626E" w:rsidP="003E626E">
              <w:pPr>
                <w:pStyle w:val="Bibliography"/>
                <w:rPr>
                  <w:noProof/>
                </w:rPr>
              </w:pPr>
              <w:r w:rsidRPr="00E2507C">
                <w:rPr>
                  <w:lang w:val="fr-FR"/>
                </w:rPr>
                <w:t xml:space="preserve">ITIE Senegal, 2016. </w:t>
              </w:r>
              <w:r w:rsidRPr="00E2507C">
                <w:rPr>
                  <w:i/>
                  <w:lang w:val="fr-FR"/>
                </w:rPr>
                <w:t xml:space="preserve">PV REUNION DU GMP – 11 MAI 2016. </w:t>
              </w:r>
              <w:r w:rsidRPr="002815F4">
                <w:rPr>
                  <w:noProof/>
                </w:rPr>
                <w:t xml:space="preserve">[Online] </w:t>
              </w:r>
              <w:r w:rsidRPr="002815F4">
                <w:rPr>
                  <w:noProof/>
                </w:rPr>
                <w:br/>
                <w:t xml:space="preserve">Available at: </w:t>
              </w:r>
              <w:r w:rsidRPr="002815F4">
                <w:rPr>
                  <w:noProof/>
                  <w:u w:val="single"/>
                </w:rPr>
                <w:t>http://itie.sn/wp-content/uploads/2017/02/CR-2eme-re%CC%81union-ordinaire.pdf</w:t>
              </w:r>
              <w:r w:rsidRPr="002815F4">
                <w:rPr>
                  <w:noProof/>
                </w:rPr>
                <w:br/>
                <w:t>[Accessed July 2017].</w:t>
              </w:r>
            </w:p>
            <w:p w14:paraId="093F8157" w14:textId="77777777" w:rsidR="003E626E" w:rsidRPr="002815F4" w:rsidRDefault="003E626E" w:rsidP="003E626E">
              <w:pPr>
                <w:pStyle w:val="Bibliography"/>
                <w:rPr>
                  <w:noProof/>
                </w:rPr>
              </w:pPr>
              <w:r w:rsidRPr="00E2507C">
                <w:rPr>
                  <w:lang w:val="fr-FR"/>
                </w:rPr>
                <w:t xml:space="preserve">ITIE Senegal, 2016. </w:t>
              </w:r>
              <w:r w:rsidRPr="00E2507C">
                <w:rPr>
                  <w:i/>
                  <w:lang w:val="fr-FR"/>
                </w:rPr>
                <w:t xml:space="preserve">PV REUNION DU GMP – 24 MAI 2016. </w:t>
              </w:r>
              <w:r w:rsidRPr="002815F4">
                <w:rPr>
                  <w:noProof/>
                </w:rPr>
                <w:t xml:space="preserve">[Online] </w:t>
              </w:r>
              <w:r w:rsidRPr="002815F4">
                <w:rPr>
                  <w:noProof/>
                </w:rPr>
                <w:br/>
                <w:t xml:space="preserve">Available at: </w:t>
              </w:r>
              <w:r w:rsidRPr="002815F4">
                <w:rPr>
                  <w:noProof/>
                  <w:u w:val="single"/>
                </w:rPr>
                <w:t>http://itie.sn/wp-content/uploads/2017/02/CR-2eme-re%CC%81union-extraordinaire.pdf</w:t>
              </w:r>
              <w:r w:rsidRPr="002815F4">
                <w:rPr>
                  <w:noProof/>
                </w:rPr>
                <w:br/>
                <w:t>[Accessed July 2017].</w:t>
              </w:r>
            </w:p>
            <w:p w14:paraId="64519F53" w14:textId="77777777" w:rsidR="003E626E" w:rsidRPr="002815F4" w:rsidRDefault="003E626E" w:rsidP="003E626E">
              <w:pPr>
                <w:pStyle w:val="Bibliography"/>
                <w:rPr>
                  <w:noProof/>
                </w:rPr>
              </w:pPr>
              <w:r w:rsidRPr="00E2507C">
                <w:rPr>
                  <w:lang w:val="fr-FR"/>
                </w:rPr>
                <w:t xml:space="preserve">ITIE Senegal, 2016. </w:t>
              </w:r>
              <w:r w:rsidRPr="00E2507C">
                <w:rPr>
                  <w:i/>
                  <w:lang w:val="fr-FR"/>
                </w:rPr>
                <w:t xml:space="preserve">PV RÉUNION DU GMP – 12 AOÛT 2016. </w:t>
              </w:r>
              <w:r w:rsidRPr="002815F4">
                <w:rPr>
                  <w:noProof/>
                </w:rPr>
                <w:t xml:space="preserve">[Online] </w:t>
              </w:r>
              <w:r w:rsidRPr="002815F4">
                <w:rPr>
                  <w:noProof/>
                </w:rPr>
                <w:br/>
                <w:t xml:space="preserve">Available at: </w:t>
              </w:r>
              <w:r w:rsidRPr="002815F4">
                <w:rPr>
                  <w:noProof/>
                  <w:u w:val="single"/>
                </w:rPr>
                <w:t>http://itie.sn/wp-content/uploads/2017/03/Compte-rendu-R%C3%A9union-Extraordinaire-GMP-12-Aout-2016.pdf</w:t>
              </w:r>
              <w:r w:rsidRPr="002815F4">
                <w:rPr>
                  <w:noProof/>
                </w:rPr>
                <w:br/>
                <w:t>[Accessed July 2017].</w:t>
              </w:r>
            </w:p>
            <w:p w14:paraId="2A5A2040" w14:textId="77777777" w:rsidR="003E626E" w:rsidRPr="002815F4" w:rsidRDefault="003E626E" w:rsidP="003E626E">
              <w:pPr>
                <w:pStyle w:val="Bibliography"/>
                <w:rPr>
                  <w:noProof/>
                </w:rPr>
              </w:pPr>
              <w:r w:rsidRPr="00E2507C">
                <w:rPr>
                  <w:lang w:val="fr-FR"/>
                </w:rPr>
                <w:t xml:space="preserve">ITIE Senegal, 2016. </w:t>
              </w:r>
              <w:r w:rsidRPr="00E2507C">
                <w:rPr>
                  <w:i/>
                  <w:lang w:val="fr-FR"/>
                </w:rPr>
                <w:t xml:space="preserve">PV RÉUNION DU GMP – 20 SEPTEMBRE 2016. </w:t>
              </w:r>
              <w:r w:rsidRPr="002815F4">
                <w:rPr>
                  <w:noProof/>
                </w:rPr>
                <w:t xml:space="preserve">[Online] </w:t>
              </w:r>
              <w:r w:rsidRPr="002815F4">
                <w:rPr>
                  <w:noProof/>
                </w:rPr>
                <w:br/>
                <w:t xml:space="preserve">Available at: </w:t>
              </w:r>
              <w:r w:rsidRPr="002815F4">
                <w:rPr>
                  <w:noProof/>
                  <w:u w:val="single"/>
                </w:rPr>
                <w:t>http://itie.sn/wp-content/uploads/2017/03/Compte-rendu-r%C3%A9union-Ordinaire-GMP-20-Septembre-2016.pdf</w:t>
              </w:r>
              <w:r w:rsidRPr="002815F4">
                <w:rPr>
                  <w:noProof/>
                </w:rPr>
                <w:br/>
                <w:t>[Accessed July 2017].</w:t>
              </w:r>
            </w:p>
            <w:p w14:paraId="5E93FCB5" w14:textId="77777777" w:rsidR="003E626E" w:rsidRPr="002815F4" w:rsidRDefault="003E626E" w:rsidP="003E626E">
              <w:pPr>
                <w:pStyle w:val="Bibliography"/>
                <w:rPr>
                  <w:noProof/>
                </w:rPr>
              </w:pPr>
              <w:r w:rsidRPr="00E2507C">
                <w:rPr>
                  <w:lang w:val="fr-FR"/>
                </w:rPr>
                <w:t xml:space="preserve">ITIE Senegal, 2016. </w:t>
              </w:r>
              <w:r w:rsidRPr="00E2507C">
                <w:rPr>
                  <w:i/>
                  <w:lang w:val="fr-FR"/>
                </w:rPr>
                <w:t xml:space="preserve">PV REUNION DU GMP – 16 DÉCEMBRE 2016. </w:t>
              </w:r>
              <w:r w:rsidRPr="002815F4">
                <w:rPr>
                  <w:noProof/>
                </w:rPr>
                <w:t xml:space="preserve">[Online] </w:t>
              </w:r>
              <w:r w:rsidRPr="002815F4">
                <w:rPr>
                  <w:noProof/>
                </w:rPr>
                <w:br/>
                <w:t xml:space="preserve">Available at: </w:t>
              </w:r>
              <w:r w:rsidRPr="002815F4">
                <w:rPr>
                  <w:noProof/>
                  <w:u w:val="single"/>
                </w:rPr>
                <w:t>http://itie.sn/wp-content/uploads/2017/02/CR-GMP.pdf</w:t>
              </w:r>
              <w:r w:rsidRPr="002815F4">
                <w:rPr>
                  <w:noProof/>
                </w:rPr>
                <w:br/>
                <w:t>[Accessed July 2017].</w:t>
              </w:r>
            </w:p>
            <w:p w14:paraId="6E529434" w14:textId="77777777" w:rsidR="003E626E" w:rsidRPr="002815F4" w:rsidRDefault="003E626E" w:rsidP="003E626E">
              <w:pPr>
                <w:pStyle w:val="Bibliography"/>
                <w:rPr>
                  <w:noProof/>
                </w:rPr>
              </w:pPr>
              <w:r w:rsidRPr="00E2507C">
                <w:rPr>
                  <w:lang w:val="fr-FR"/>
                </w:rPr>
                <w:t xml:space="preserve">ITIE Senegal, 2017. </w:t>
              </w:r>
              <w:r w:rsidRPr="00E2507C">
                <w:rPr>
                  <w:i/>
                  <w:lang w:val="fr-FR"/>
                </w:rPr>
                <w:t xml:space="preserve">PV RÉUNION GMP N°1- 08 FÉVRIER 2O17. </w:t>
              </w:r>
              <w:r w:rsidRPr="002815F4">
                <w:rPr>
                  <w:noProof/>
                </w:rPr>
                <w:t xml:space="preserve">[Online] </w:t>
              </w:r>
              <w:r w:rsidRPr="002815F4">
                <w:rPr>
                  <w:noProof/>
                </w:rPr>
                <w:br/>
                <w:t xml:space="preserve">Available at: </w:t>
              </w:r>
              <w:r w:rsidRPr="002815F4">
                <w:rPr>
                  <w:noProof/>
                  <w:u w:val="single"/>
                </w:rPr>
                <w:t>http://itie.sn/wp-content/uploads/2017/02/CR-1-2017-1.pdf</w:t>
              </w:r>
              <w:r w:rsidRPr="002815F4">
                <w:rPr>
                  <w:noProof/>
                </w:rPr>
                <w:br/>
                <w:t>[Accessed July 2017].</w:t>
              </w:r>
            </w:p>
            <w:p w14:paraId="710C70AB" w14:textId="77777777" w:rsidR="003E626E" w:rsidRPr="002815F4" w:rsidRDefault="003E626E" w:rsidP="003E626E">
              <w:pPr>
                <w:pStyle w:val="Bibliography"/>
                <w:rPr>
                  <w:noProof/>
                </w:rPr>
              </w:pPr>
              <w:r w:rsidRPr="00863985">
                <w:rPr>
                  <w:lang w:val="fr-FR"/>
                </w:rPr>
                <w:t xml:space="preserve">ITIE Senegal, 2017. </w:t>
              </w:r>
              <w:r w:rsidRPr="00863985">
                <w:rPr>
                  <w:i/>
                  <w:lang w:val="fr-FR"/>
                </w:rPr>
                <w:t xml:space="preserve">Dakar abrite, les 26 et 27 mai, un Colloque pluridisciplinaire sur les enjeux de l’exploitation pétrolière et gazière en Afrique. </w:t>
              </w:r>
              <w:r w:rsidRPr="002815F4">
                <w:rPr>
                  <w:noProof/>
                </w:rPr>
                <w:t xml:space="preserve">[Online] </w:t>
              </w:r>
              <w:r w:rsidRPr="002815F4">
                <w:rPr>
                  <w:noProof/>
                </w:rPr>
                <w:br/>
                <w:t xml:space="preserve">Available at: </w:t>
              </w:r>
              <w:r w:rsidRPr="002815F4">
                <w:rPr>
                  <w:noProof/>
                  <w:u w:val="single"/>
                </w:rPr>
                <w:t>http://itie.sn/dakar-abrite-les-26-et-27-mai-un-colloque-pluridisciplinaire-sur-les-enjeux-de-lexploitation-petroliere-et-gaziere-en-afrique/</w:t>
              </w:r>
              <w:r w:rsidRPr="002815F4">
                <w:rPr>
                  <w:noProof/>
                </w:rPr>
                <w:br/>
                <w:t>[Accessed July 2017].</w:t>
              </w:r>
            </w:p>
            <w:p w14:paraId="054B51FA" w14:textId="77777777" w:rsidR="003E626E" w:rsidRPr="002815F4" w:rsidRDefault="003E626E" w:rsidP="003E626E">
              <w:pPr>
                <w:pStyle w:val="Bibliography"/>
                <w:rPr>
                  <w:noProof/>
                </w:rPr>
              </w:pPr>
              <w:r w:rsidRPr="00863985">
                <w:rPr>
                  <w:lang w:val="fr-FR"/>
                </w:rPr>
                <w:t xml:space="preserve">ITIE Senegal, 2017. </w:t>
              </w:r>
              <w:r w:rsidRPr="00863985">
                <w:rPr>
                  <w:i/>
                  <w:lang w:val="fr-FR"/>
                </w:rPr>
                <w:t xml:space="preserve">Sélection d’un Cabinet de consultants chargé de l’Etude sur les conditions d’octroi des licences et des permis au Sénégal. </w:t>
              </w:r>
              <w:r w:rsidRPr="002815F4">
                <w:rPr>
                  <w:noProof/>
                </w:rPr>
                <w:t xml:space="preserve">[Online] </w:t>
              </w:r>
              <w:r w:rsidRPr="002815F4">
                <w:rPr>
                  <w:noProof/>
                </w:rPr>
                <w:br/>
                <w:t xml:space="preserve">Available at: </w:t>
              </w:r>
              <w:r w:rsidRPr="002815F4">
                <w:rPr>
                  <w:noProof/>
                  <w:u w:val="single"/>
                </w:rPr>
                <w:t>http://itie.sn/selection-dun-cabinet-de-consultants-charge-de-letude-sur-les-conditions-doctroi-des-licences-et-des-permis-au-senegal/</w:t>
              </w:r>
              <w:r w:rsidRPr="002815F4">
                <w:rPr>
                  <w:noProof/>
                </w:rPr>
                <w:br/>
                <w:t>[Accessed July 2017].</w:t>
              </w:r>
            </w:p>
            <w:p w14:paraId="35948F0E" w14:textId="77777777" w:rsidR="003E626E" w:rsidRPr="002815F4" w:rsidRDefault="003E626E" w:rsidP="003E626E">
              <w:pPr>
                <w:pStyle w:val="Bibliography"/>
                <w:rPr>
                  <w:noProof/>
                </w:rPr>
              </w:pPr>
              <w:r w:rsidRPr="00863985">
                <w:rPr>
                  <w:lang w:val="fr-FR"/>
                </w:rPr>
                <w:t xml:space="preserve">ITIE Senegal, 2017. </w:t>
              </w:r>
              <w:r w:rsidRPr="00863985">
                <w:rPr>
                  <w:i/>
                  <w:lang w:val="fr-FR"/>
                </w:rPr>
                <w:t xml:space="preserve">L’évolution, les enjeux et les perspectives de la gouvernance du secteur extractif au Sénégal, au menu de la 1ére conférence publique de l’ITIE. </w:t>
              </w:r>
              <w:r w:rsidRPr="002815F4">
                <w:rPr>
                  <w:noProof/>
                </w:rPr>
                <w:t xml:space="preserve">[Online] </w:t>
              </w:r>
              <w:r w:rsidRPr="002815F4">
                <w:rPr>
                  <w:noProof/>
                </w:rPr>
                <w:br/>
                <w:t xml:space="preserve">Available at: </w:t>
              </w:r>
              <w:r w:rsidRPr="002815F4">
                <w:rPr>
                  <w:noProof/>
                  <w:u w:val="single"/>
                </w:rPr>
                <w:t>http://itie.sn/levolution-les-enjeux-et-les-perspectives-de-la-gouvernance-du-secteur-extractif-au-senegal-au-menu-de-la-1ere-conference-publique-de-litie/</w:t>
              </w:r>
              <w:r w:rsidRPr="002815F4">
                <w:rPr>
                  <w:noProof/>
                </w:rPr>
                <w:br/>
                <w:t>[Accessed July 2017].</w:t>
              </w:r>
            </w:p>
            <w:p w14:paraId="1F40DE82" w14:textId="77777777" w:rsidR="003E626E" w:rsidRPr="002815F4" w:rsidRDefault="003E626E" w:rsidP="003E626E">
              <w:pPr>
                <w:pStyle w:val="Bibliography"/>
                <w:rPr>
                  <w:noProof/>
                </w:rPr>
              </w:pPr>
              <w:r w:rsidRPr="00863985">
                <w:rPr>
                  <w:lang w:val="fr-FR"/>
                </w:rPr>
                <w:t xml:space="preserve">ITIE Senegal, 2017. </w:t>
              </w:r>
              <w:r w:rsidRPr="00863985">
                <w:rPr>
                  <w:i/>
                  <w:lang w:val="fr-FR"/>
                </w:rPr>
                <w:t xml:space="preserve">Exclusif: Voici le décret 2017-459 fixant les modalités d’application de la loi N°2016-32 portant Code Minier. </w:t>
              </w:r>
              <w:r w:rsidRPr="002815F4">
                <w:rPr>
                  <w:noProof/>
                </w:rPr>
                <w:t xml:space="preserve">[Online] </w:t>
              </w:r>
              <w:r w:rsidRPr="002815F4">
                <w:rPr>
                  <w:noProof/>
                </w:rPr>
                <w:br/>
                <w:t xml:space="preserve">Available at: </w:t>
              </w:r>
              <w:r w:rsidRPr="002815F4">
                <w:rPr>
                  <w:noProof/>
                  <w:u w:val="single"/>
                </w:rPr>
                <w:t>http://itie.sn/exclusif-voici-le-decret-2017-459-fixant-les-modalites-dapplication-de-la-loi-n2016-32-portant-code-minier/</w:t>
              </w:r>
              <w:r w:rsidRPr="002815F4">
                <w:rPr>
                  <w:noProof/>
                </w:rPr>
                <w:br/>
                <w:t>[Accessed July 2017].</w:t>
              </w:r>
            </w:p>
            <w:p w14:paraId="16A4F393" w14:textId="77777777" w:rsidR="003E626E" w:rsidRPr="002815F4" w:rsidRDefault="003E626E" w:rsidP="003E626E">
              <w:pPr>
                <w:pStyle w:val="Bibliography"/>
                <w:rPr>
                  <w:noProof/>
                </w:rPr>
              </w:pPr>
              <w:r w:rsidRPr="00E2507C">
                <w:rPr>
                  <w:lang w:val="fr-FR"/>
                </w:rPr>
                <w:t xml:space="preserve">Ministère de l'Industrie et des Mines, 2017. </w:t>
              </w:r>
              <w:r w:rsidRPr="00863985">
                <w:rPr>
                  <w:i/>
                  <w:lang w:val="fr-FR"/>
                </w:rPr>
                <w:t xml:space="preserve">Décret 2017-459 fixant les modalités d'application du Code minier 2016-32. </w:t>
              </w:r>
              <w:r w:rsidRPr="002815F4">
                <w:rPr>
                  <w:noProof/>
                </w:rPr>
                <w:t xml:space="preserve">[Online] </w:t>
              </w:r>
              <w:r w:rsidRPr="002815F4">
                <w:rPr>
                  <w:noProof/>
                </w:rPr>
                <w:br/>
                <w:t xml:space="preserve">Available at: </w:t>
              </w:r>
              <w:r w:rsidRPr="002815F4">
                <w:rPr>
                  <w:noProof/>
                  <w:u w:val="single"/>
                </w:rPr>
                <w:t>http://itie.sn/?offshore_dl=1953</w:t>
              </w:r>
              <w:r w:rsidRPr="002815F4">
                <w:rPr>
                  <w:noProof/>
                </w:rPr>
                <w:br/>
                <w:t>[Accessed July 2017].</w:t>
              </w:r>
            </w:p>
            <w:p w14:paraId="512119C8" w14:textId="77777777" w:rsidR="003E626E" w:rsidRPr="002815F4" w:rsidRDefault="003E626E" w:rsidP="003E626E">
              <w:pPr>
                <w:pStyle w:val="Bibliography"/>
                <w:rPr>
                  <w:noProof/>
                </w:rPr>
              </w:pPr>
              <w:r w:rsidRPr="00863985">
                <w:rPr>
                  <w:lang w:val="fr-FR"/>
                </w:rPr>
                <w:t xml:space="preserve">ITIE Senegal, 2017. </w:t>
              </w:r>
              <w:r w:rsidRPr="00863985">
                <w:rPr>
                  <w:i/>
                  <w:lang w:val="fr-FR"/>
                </w:rPr>
                <w:t xml:space="preserve">APPEL A MANIFESTATION D’INTÉRÊT : Sélection d’un Cabinet Administrateur Indépendant chargé d’élaborer les rapports ITIE 2015 &amp; 2016 du Sénégal. </w:t>
              </w:r>
              <w:r w:rsidRPr="002815F4">
                <w:rPr>
                  <w:noProof/>
                </w:rPr>
                <w:t xml:space="preserve">[Online] </w:t>
              </w:r>
              <w:r w:rsidRPr="002815F4">
                <w:rPr>
                  <w:noProof/>
                </w:rPr>
                <w:br/>
                <w:t xml:space="preserve">Available at: </w:t>
              </w:r>
              <w:r w:rsidRPr="002815F4">
                <w:rPr>
                  <w:noProof/>
                  <w:u w:val="single"/>
                </w:rPr>
                <w:t>http://itie.sn/sollicitation-de-manifestations-dinteret-selection-dun-administrateur-independant-charge-delaborer-le-rapport-itie-2014-du-senegal-3/</w:t>
              </w:r>
              <w:r w:rsidRPr="002815F4">
                <w:rPr>
                  <w:noProof/>
                </w:rPr>
                <w:br/>
                <w:t>[Accessed July 2017].</w:t>
              </w:r>
            </w:p>
            <w:p w14:paraId="7DE6DD27" w14:textId="77777777" w:rsidR="003E626E" w:rsidRPr="002815F4" w:rsidRDefault="003E626E" w:rsidP="003E626E">
              <w:pPr>
                <w:pStyle w:val="Bibliography"/>
                <w:rPr>
                  <w:noProof/>
                </w:rPr>
              </w:pPr>
              <w:r w:rsidRPr="00E2507C">
                <w:rPr>
                  <w:lang w:val="fr-FR"/>
                </w:rPr>
                <w:t xml:space="preserve">ITIE Senegal, 2017. </w:t>
              </w:r>
              <w:r w:rsidRPr="00E2507C">
                <w:rPr>
                  <w:i/>
                  <w:lang w:val="fr-FR"/>
                </w:rPr>
                <w:t xml:space="preserve">Tenue d’une formation sur les enjeux et les bonnes pratiques en matière de gouvernance pétrolière et gazière. </w:t>
              </w:r>
              <w:r w:rsidRPr="002815F4">
                <w:rPr>
                  <w:noProof/>
                </w:rPr>
                <w:t xml:space="preserve">[Online] </w:t>
              </w:r>
              <w:r w:rsidRPr="002815F4">
                <w:rPr>
                  <w:noProof/>
                </w:rPr>
                <w:br/>
                <w:t xml:space="preserve">Available at: </w:t>
              </w:r>
              <w:r w:rsidRPr="002815F4">
                <w:rPr>
                  <w:noProof/>
                  <w:u w:val="single"/>
                </w:rPr>
                <w:t>http://itie.sn/formation-sur-les-enjeux-et-les-bonnes-pratiques-en-matiere-de-gouvernance-petroliere-et-gaziere/</w:t>
              </w:r>
              <w:r w:rsidRPr="002815F4">
                <w:rPr>
                  <w:noProof/>
                </w:rPr>
                <w:br/>
                <w:t>[Accessed July 2017].</w:t>
              </w:r>
            </w:p>
            <w:p w14:paraId="1CBF16A8" w14:textId="77777777" w:rsidR="003E626E" w:rsidRPr="002815F4" w:rsidRDefault="003E626E" w:rsidP="003E626E">
              <w:pPr>
                <w:pStyle w:val="Bibliography"/>
                <w:rPr>
                  <w:noProof/>
                </w:rPr>
              </w:pPr>
              <w:r w:rsidRPr="00863985">
                <w:rPr>
                  <w:lang w:val="fr-FR"/>
                </w:rPr>
                <w:t xml:space="preserve">ITIE Senegal, 2017. </w:t>
              </w:r>
              <w:r w:rsidRPr="00863985">
                <w:rPr>
                  <w:i/>
                  <w:lang w:val="fr-FR"/>
                </w:rPr>
                <w:t xml:space="preserve">Plan stratégique 2017 – 2021 : L’ITIE, une plateforme multi-actorielle d’impulsion des réformes en matière de transparence et de bonne gouvernance dans le secteur extractif. </w:t>
              </w:r>
              <w:r w:rsidRPr="002815F4">
                <w:rPr>
                  <w:noProof/>
                </w:rPr>
                <w:t xml:space="preserve">[Online] </w:t>
              </w:r>
              <w:r w:rsidRPr="002815F4">
                <w:rPr>
                  <w:noProof/>
                </w:rPr>
                <w:br/>
                <w:t xml:space="preserve">Available at: </w:t>
              </w:r>
              <w:r w:rsidRPr="002815F4">
                <w:rPr>
                  <w:noProof/>
                  <w:u w:val="single"/>
                </w:rPr>
                <w:t>http://itie.sn/plan-strategique-2017-2021-litie-une-plateforme-multi-actorielle-dimpulsion-des-reformes-en-matiere-de-transparence-et-de-bonne-gouvernance-dans-le-secteur-extractif/</w:t>
              </w:r>
              <w:r w:rsidRPr="002815F4">
                <w:rPr>
                  <w:noProof/>
                </w:rPr>
                <w:br/>
                <w:t>[Accessed July 2017].</w:t>
              </w:r>
            </w:p>
            <w:p w14:paraId="69D4FDAD" w14:textId="77777777" w:rsidR="003E626E" w:rsidRPr="002815F4" w:rsidRDefault="003E626E" w:rsidP="003E626E">
              <w:pPr>
                <w:pStyle w:val="Bibliography"/>
                <w:rPr>
                  <w:noProof/>
                </w:rPr>
              </w:pPr>
              <w:r w:rsidRPr="00863985">
                <w:rPr>
                  <w:lang w:val="fr-FR"/>
                </w:rPr>
                <w:t xml:space="preserve">ITIE Senegal, 2017. </w:t>
              </w:r>
              <w:r w:rsidRPr="00863985">
                <w:rPr>
                  <w:i/>
                  <w:lang w:val="fr-FR"/>
                </w:rPr>
                <w:t xml:space="preserve">Version simplifiée du Plan Stratégique 2017-2021. </w:t>
              </w:r>
              <w:r w:rsidRPr="002815F4">
                <w:rPr>
                  <w:noProof/>
                </w:rPr>
                <w:t xml:space="preserve">[Online] </w:t>
              </w:r>
              <w:r w:rsidRPr="002815F4">
                <w:rPr>
                  <w:noProof/>
                </w:rPr>
                <w:br/>
                <w:t xml:space="preserve">Available at: </w:t>
              </w:r>
              <w:r w:rsidRPr="002815F4">
                <w:rPr>
                  <w:noProof/>
                  <w:u w:val="single"/>
                </w:rPr>
                <w:t>http://itie.sn/?offshore_dl=1785</w:t>
              </w:r>
              <w:r w:rsidRPr="002815F4">
                <w:rPr>
                  <w:noProof/>
                </w:rPr>
                <w:br/>
                <w:t>[Accessed July 2017].</w:t>
              </w:r>
            </w:p>
            <w:p w14:paraId="2B14BD1A" w14:textId="77777777" w:rsidR="003E626E" w:rsidRPr="00863985" w:rsidRDefault="003E626E" w:rsidP="003E626E">
              <w:pPr>
                <w:pStyle w:val="Bibliography"/>
                <w:rPr>
                  <w:lang w:val="fr-FR"/>
                </w:rPr>
              </w:pPr>
              <w:r w:rsidRPr="00863985">
                <w:rPr>
                  <w:lang w:val="fr-FR"/>
                </w:rPr>
                <w:t xml:space="preserve">ITIE Senegal, 2017. </w:t>
              </w:r>
              <w:r w:rsidRPr="00863985">
                <w:rPr>
                  <w:i/>
                  <w:lang w:val="fr-FR"/>
                </w:rPr>
                <w:t xml:space="preserve">Plan Stratégique 2017-2021. </w:t>
              </w:r>
              <w:r w:rsidRPr="00863985">
                <w:rPr>
                  <w:lang w:val="fr-FR"/>
                </w:rPr>
                <w:t xml:space="preserve">[Online] </w:t>
              </w:r>
              <w:r w:rsidRPr="00863985">
                <w:rPr>
                  <w:lang w:val="fr-FR"/>
                </w:rPr>
                <w:br/>
                <w:t xml:space="preserve">Available at: </w:t>
              </w:r>
              <w:r w:rsidRPr="00863985">
                <w:rPr>
                  <w:u w:val="single"/>
                  <w:lang w:val="fr-FR"/>
                </w:rPr>
                <w:t>http://itie.sn/?offshore_dl=1865</w:t>
              </w:r>
              <w:r w:rsidRPr="00863985">
                <w:rPr>
                  <w:lang w:val="fr-FR"/>
                </w:rPr>
                <w:br/>
                <w:t>[Accessed July 2017].</w:t>
              </w:r>
            </w:p>
            <w:p w14:paraId="55A74D76" w14:textId="77777777" w:rsidR="003E626E" w:rsidRPr="002815F4" w:rsidRDefault="003E626E" w:rsidP="003E626E">
              <w:pPr>
                <w:pStyle w:val="Bibliography"/>
                <w:rPr>
                  <w:noProof/>
                </w:rPr>
              </w:pPr>
              <w:r w:rsidRPr="00863985">
                <w:rPr>
                  <w:lang w:val="fr-FR"/>
                </w:rPr>
                <w:t xml:space="preserve">ITIE Senegal, 2017. </w:t>
              </w:r>
              <w:r w:rsidRPr="00863985">
                <w:rPr>
                  <w:i/>
                  <w:lang w:val="fr-FR"/>
                </w:rPr>
                <w:t xml:space="preserve">Un film documentaire sur les progrès notés dans la gouvernance du secteur extractif au Sénégal. </w:t>
              </w:r>
              <w:r w:rsidRPr="002815F4">
                <w:rPr>
                  <w:noProof/>
                </w:rPr>
                <w:t xml:space="preserve">[Online] </w:t>
              </w:r>
              <w:r w:rsidRPr="002815F4">
                <w:rPr>
                  <w:noProof/>
                </w:rPr>
                <w:br/>
                <w:t xml:space="preserve">Available at: </w:t>
              </w:r>
              <w:r w:rsidRPr="002815F4">
                <w:rPr>
                  <w:noProof/>
                  <w:u w:val="single"/>
                </w:rPr>
                <w:t>http://itie.sn/un-film-documentaire-sur-les-progres-notes-dans-la-gouvernance-du-secteur-extractif-au-senegal/</w:t>
              </w:r>
              <w:r w:rsidRPr="002815F4">
                <w:rPr>
                  <w:noProof/>
                </w:rPr>
                <w:br/>
                <w:t>[Accessed July 2017].</w:t>
              </w:r>
            </w:p>
            <w:p w14:paraId="0E53787E" w14:textId="77777777" w:rsidR="003E626E" w:rsidRPr="002815F4" w:rsidRDefault="003E626E" w:rsidP="003E626E">
              <w:pPr>
                <w:pStyle w:val="Bibliography"/>
                <w:rPr>
                  <w:noProof/>
                </w:rPr>
              </w:pPr>
              <w:r w:rsidRPr="00E2507C">
                <w:rPr>
                  <w:lang w:val="fr-FR"/>
                </w:rPr>
                <w:t xml:space="preserve">ITIE Senegal, 2017. </w:t>
              </w:r>
              <w:r w:rsidRPr="00E2507C">
                <w:rPr>
                  <w:i/>
                  <w:lang w:val="fr-FR"/>
                </w:rPr>
                <w:t xml:space="preserve">Rapport Etude de cadrage pour la divulgation de la Propriété Réelle. </w:t>
              </w:r>
              <w:r w:rsidRPr="002815F4">
                <w:rPr>
                  <w:noProof/>
                </w:rPr>
                <w:t xml:space="preserve">[Online] </w:t>
              </w:r>
              <w:r w:rsidRPr="002815F4">
                <w:rPr>
                  <w:noProof/>
                </w:rPr>
                <w:br/>
                <w:t xml:space="preserve">Available at: </w:t>
              </w:r>
              <w:r w:rsidRPr="002815F4">
                <w:rPr>
                  <w:noProof/>
                  <w:u w:val="single"/>
                </w:rPr>
                <w:t>http://itie.sn/rapport-etude-de-cadrage-pour-la-divulgation-2/</w:t>
              </w:r>
              <w:r w:rsidRPr="002815F4">
                <w:rPr>
                  <w:noProof/>
                </w:rPr>
                <w:br/>
                <w:t>[Accessed July 2017].</w:t>
              </w:r>
            </w:p>
            <w:p w14:paraId="33423E55" w14:textId="77777777" w:rsidR="003E626E" w:rsidRPr="002815F4" w:rsidRDefault="003E626E" w:rsidP="003E626E">
              <w:pPr>
                <w:pStyle w:val="Bibliography"/>
                <w:rPr>
                  <w:noProof/>
                </w:rPr>
              </w:pPr>
              <w:r w:rsidRPr="00E2507C">
                <w:rPr>
                  <w:lang w:val="fr-FR"/>
                </w:rPr>
                <w:t xml:space="preserve">ITIE Senegal, 2017. </w:t>
              </w:r>
              <w:r w:rsidRPr="00E2507C">
                <w:rPr>
                  <w:i/>
                  <w:lang w:val="fr-FR"/>
                </w:rPr>
                <w:t xml:space="preserve">Rapport Etude de cadrage pour la divulgation de la propriété réelle. </w:t>
              </w:r>
              <w:r w:rsidRPr="002815F4">
                <w:rPr>
                  <w:noProof/>
                </w:rPr>
                <w:t xml:space="preserve">[Online] </w:t>
              </w:r>
              <w:r w:rsidRPr="002815F4">
                <w:rPr>
                  <w:noProof/>
                </w:rPr>
                <w:br/>
                <w:t xml:space="preserve">Available at: </w:t>
              </w:r>
              <w:r w:rsidRPr="002815F4">
                <w:rPr>
                  <w:noProof/>
                  <w:u w:val="single"/>
                </w:rPr>
                <w:t>http://itie.sn/?offshore_dl=1928</w:t>
              </w:r>
              <w:r w:rsidRPr="002815F4">
                <w:rPr>
                  <w:noProof/>
                </w:rPr>
                <w:br/>
                <w:t>[Accessed July 2017].</w:t>
              </w:r>
            </w:p>
            <w:p w14:paraId="0F5E2470" w14:textId="77777777" w:rsidR="003E626E" w:rsidRPr="002815F4" w:rsidRDefault="003E626E" w:rsidP="003E626E">
              <w:pPr>
                <w:pStyle w:val="Bibliography"/>
                <w:rPr>
                  <w:noProof/>
                </w:rPr>
              </w:pPr>
              <w:r w:rsidRPr="00E2507C">
                <w:rPr>
                  <w:lang w:val="fr-FR"/>
                </w:rPr>
                <w:t xml:space="preserve">ITIE Senegal, 2016. </w:t>
              </w:r>
              <w:r w:rsidRPr="00E2507C">
                <w:rPr>
                  <w:i/>
                  <w:lang w:val="fr-FR"/>
                </w:rPr>
                <w:t xml:space="preserve">Le Sénégal publie sa feuille de route sur la propriété réelle. </w:t>
              </w:r>
              <w:r w:rsidRPr="002815F4">
                <w:rPr>
                  <w:noProof/>
                </w:rPr>
                <w:t xml:space="preserve">[Online] </w:t>
              </w:r>
              <w:r w:rsidRPr="002815F4">
                <w:rPr>
                  <w:noProof/>
                </w:rPr>
                <w:br/>
                <w:t xml:space="preserve">Available at: </w:t>
              </w:r>
              <w:r w:rsidRPr="002815F4">
                <w:rPr>
                  <w:noProof/>
                  <w:u w:val="single"/>
                </w:rPr>
                <w:t>http://itie.sn/le-senegal-publie-sa-feuille-de-route-sur-la-propriete-reelle/</w:t>
              </w:r>
              <w:r w:rsidRPr="002815F4">
                <w:rPr>
                  <w:noProof/>
                </w:rPr>
                <w:br/>
                <w:t>[Accessed July 2017].</w:t>
              </w:r>
            </w:p>
            <w:p w14:paraId="29A8A332" w14:textId="77777777" w:rsidR="003E626E" w:rsidRPr="002815F4" w:rsidRDefault="003E626E" w:rsidP="003E626E">
              <w:pPr>
                <w:pStyle w:val="Bibliography"/>
                <w:rPr>
                  <w:noProof/>
                </w:rPr>
              </w:pPr>
              <w:r w:rsidRPr="00863985">
                <w:rPr>
                  <w:lang w:val="fr-FR"/>
                </w:rPr>
                <w:t xml:space="preserve">ITIE Senegal, 2017. </w:t>
              </w:r>
              <w:r w:rsidRPr="00863985">
                <w:rPr>
                  <w:i/>
                  <w:lang w:val="fr-FR"/>
                </w:rPr>
                <w:t xml:space="preserve">TDR Etude de cadrage pour la divulgation. </w:t>
              </w:r>
              <w:r w:rsidRPr="002815F4">
                <w:rPr>
                  <w:noProof/>
                </w:rPr>
                <w:t xml:space="preserve">[Online] </w:t>
              </w:r>
              <w:r w:rsidRPr="002815F4">
                <w:rPr>
                  <w:noProof/>
                </w:rPr>
                <w:br/>
                <w:t xml:space="preserve">Available at: </w:t>
              </w:r>
              <w:r w:rsidRPr="002815F4">
                <w:rPr>
                  <w:noProof/>
                  <w:u w:val="single"/>
                </w:rPr>
                <w:t>http://itie.sn/tdr-etude-de-cadrage-pour-la-divulgation/</w:t>
              </w:r>
              <w:r w:rsidRPr="002815F4">
                <w:rPr>
                  <w:noProof/>
                </w:rPr>
                <w:br/>
                <w:t>[Accessed July 2017].</w:t>
              </w:r>
            </w:p>
            <w:p w14:paraId="45898C15" w14:textId="77777777" w:rsidR="003E626E" w:rsidRPr="002815F4" w:rsidRDefault="003E626E" w:rsidP="003E626E">
              <w:pPr>
                <w:pStyle w:val="Bibliography"/>
                <w:rPr>
                  <w:noProof/>
                </w:rPr>
              </w:pPr>
              <w:r w:rsidRPr="00863985">
                <w:rPr>
                  <w:lang w:val="fr-FR"/>
                </w:rPr>
                <w:t xml:space="preserve">ITIE Senegal, 2017. </w:t>
              </w:r>
              <w:r w:rsidRPr="00863985">
                <w:rPr>
                  <w:i/>
                  <w:lang w:val="fr-FR"/>
                </w:rPr>
                <w:t xml:space="preserve">Le Comité national a mobilisé en Mars 2016, toutes les parties prenantes du processus pour produire le plan stratégique 2017-2021. </w:t>
              </w:r>
              <w:r w:rsidRPr="002815F4">
                <w:rPr>
                  <w:noProof/>
                </w:rPr>
                <w:t xml:space="preserve">[Online] </w:t>
              </w:r>
              <w:r w:rsidRPr="002815F4">
                <w:rPr>
                  <w:noProof/>
                </w:rPr>
                <w:br/>
                <w:t xml:space="preserve">Available at: </w:t>
              </w:r>
              <w:r w:rsidRPr="002815F4">
                <w:rPr>
                  <w:noProof/>
                  <w:u w:val="single"/>
                </w:rPr>
                <w:t>http://itie.sn/le-comite-national-a-mobilise-en-mars-2016-toutes-les-parties-prenantes-du-processus-pour-produire-le-plan-strategique-2017-2021/</w:t>
              </w:r>
              <w:r w:rsidRPr="002815F4">
                <w:rPr>
                  <w:noProof/>
                </w:rPr>
                <w:br/>
                <w:t>[Accessed July 2017].</w:t>
              </w:r>
            </w:p>
            <w:p w14:paraId="48CFD014"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Installation du COS-PETROGAZ. </w:t>
              </w:r>
              <w:r w:rsidRPr="002815F4">
                <w:rPr>
                  <w:noProof/>
                </w:rPr>
                <w:t xml:space="preserve">[Online] </w:t>
              </w:r>
              <w:r w:rsidRPr="002815F4">
                <w:rPr>
                  <w:noProof/>
                </w:rPr>
                <w:br/>
                <w:t xml:space="preserve">Available at: </w:t>
              </w:r>
              <w:r w:rsidRPr="002815F4">
                <w:rPr>
                  <w:noProof/>
                  <w:u w:val="single"/>
                </w:rPr>
                <w:t>http://itie.sn/installation-du-cos-petrogaz/</w:t>
              </w:r>
              <w:r w:rsidRPr="002815F4">
                <w:rPr>
                  <w:noProof/>
                </w:rPr>
                <w:br/>
                <w:t>[Accessed July 2017].</w:t>
              </w:r>
            </w:p>
            <w:p w14:paraId="676E6FEC" w14:textId="77777777" w:rsidR="003E626E" w:rsidRPr="002815F4" w:rsidRDefault="003E626E" w:rsidP="003E626E">
              <w:pPr>
                <w:pStyle w:val="Bibliography"/>
                <w:rPr>
                  <w:noProof/>
                </w:rPr>
              </w:pPr>
              <w:r w:rsidRPr="00863985">
                <w:rPr>
                  <w:lang w:val="fr-FR"/>
                </w:rPr>
                <w:t xml:space="preserve">Gouvernement du Senegal, 2016. </w:t>
              </w:r>
              <w:r w:rsidRPr="00863985">
                <w:rPr>
                  <w:i/>
                  <w:lang w:val="fr-FR"/>
                </w:rPr>
                <w:t xml:space="preserve">Installation du Comité d’Orientation Stratégique du Pétrole et du Gaz (COS-PETROGAZ)-Discours de Son Excellence Monsieur le Président de la République Macky Sall. </w:t>
              </w:r>
              <w:r w:rsidRPr="002815F4">
                <w:rPr>
                  <w:noProof/>
                </w:rPr>
                <w:t xml:space="preserve">[Online] </w:t>
              </w:r>
              <w:r w:rsidRPr="002815F4">
                <w:rPr>
                  <w:noProof/>
                </w:rPr>
                <w:br/>
                <w:t xml:space="preserve">Available at: </w:t>
              </w:r>
              <w:r w:rsidRPr="002815F4">
                <w:rPr>
                  <w:noProof/>
                  <w:u w:val="single"/>
                </w:rPr>
                <w:t>https://www.sec.gouv.sn/installation-du-comite-d%2C2126.html</w:t>
              </w:r>
              <w:r w:rsidRPr="002815F4">
                <w:rPr>
                  <w:noProof/>
                </w:rPr>
                <w:br/>
                <w:t>[Accessed July 2017].</w:t>
              </w:r>
            </w:p>
            <w:p w14:paraId="12C896B7"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Thierno Alassane SALL : « Les pays du bassin…». </w:t>
              </w:r>
              <w:r w:rsidRPr="002815F4">
                <w:rPr>
                  <w:noProof/>
                </w:rPr>
                <w:t xml:space="preserve">[Online] </w:t>
              </w:r>
              <w:r w:rsidRPr="002815F4">
                <w:rPr>
                  <w:noProof/>
                </w:rPr>
                <w:br/>
                <w:t xml:space="preserve">Available at: </w:t>
              </w:r>
              <w:r w:rsidRPr="002815F4">
                <w:rPr>
                  <w:noProof/>
                  <w:u w:val="single"/>
                </w:rPr>
                <w:t>http://itie.sn/thierno-alassane-sall-les-pays-du-bassin-msgbc-peuvent-relever-les-defis-de-lacces-universel-a-lenergie-pour-lafrique/</w:t>
              </w:r>
              <w:r w:rsidRPr="002815F4">
                <w:rPr>
                  <w:noProof/>
                </w:rPr>
                <w:br/>
                <w:t>[Accessed July 2017].</w:t>
              </w:r>
            </w:p>
            <w:p w14:paraId="344AA620"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Exclusif : Voici la loi N°2016-32 du 08 Novembre 2016 portant Code Minier. </w:t>
              </w:r>
              <w:r w:rsidRPr="002815F4">
                <w:rPr>
                  <w:noProof/>
                </w:rPr>
                <w:t xml:space="preserve">[Online] </w:t>
              </w:r>
              <w:r w:rsidRPr="002815F4">
                <w:rPr>
                  <w:noProof/>
                </w:rPr>
                <w:br/>
                <w:t xml:space="preserve">Available at: </w:t>
              </w:r>
              <w:r w:rsidRPr="002815F4">
                <w:rPr>
                  <w:noProof/>
                  <w:u w:val="single"/>
                </w:rPr>
                <w:t>http://itie.sn/exclusif-voici-la-loi-n2016-32-du-08-novembre-2016-portant-code-minier/</w:t>
              </w:r>
              <w:r w:rsidRPr="002815F4">
                <w:rPr>
                  <w:noProof/>
                </w:rPr>
                <w:br/>
                <w:t>[Accessed July 2017].</w:t>
              </w:r>
            </w:p>
            <w:p w14:paraId="2ED3E395" w14:textId="77777777" w:rsidR="003E626E" w:rsidRPr="002815F4" w:rsidRDefault="003E626E" w:rsidP="003E626E">
              <w:pPr>
                <w:pStyle w:val="Bibliography"/>
                <w:rPr>
                  <w:noProof/>
                </w:rPr>
              </w:pPr>
              <w:r w:rsidRPr="00863985">
                <w:rPr>
                  <w:lang w:val="fr-FR"/>
                </w:rPr>
                <w:t xml:space="preserve">République du Senegal, 2016. </w:t>
              </w:r>
              <w:r w:rsidRPr="00863985">
                <w:rPr>
                  <w:i/>
                  <w:lang w:val="fr-FR"/>
                </w:rPr>
                <w:t xml:space="preserve">Loi N°2016-32 du 08 Novembre 2016 portant Code Minier. </w:t>
              </w:r>
              <w:r w:rsidRPr="002815F4">
                <w:rPr>
                  <w:noProof/>
                </w:rPr>
                <w:t xml:space="preserve">[Online] </w:t>
              </w:r>
              <w:r w:rsidRPr="002815F4">
                <w:rPr>
                  <w:noProof/>
                </w:rPr>
                <w:br/>
                <w:t xml:space="preserve">Available at: </w:t>
              </w:r>
              <w:r w:rsidRPr="002815F4">
                <w:rPr>
                  <w:noProof/>
                  <w:u w:val="single"/>
                </w:rPr>
                <w:t>http://itie.sn/?offshore_dl=1082</w:t>
              </w:r>
              <w:r w:rsidRPr="002815F4">
                <w:rPr>
                  <w:noProof/>
                </w:rPr>
                <w:br/>
                <w:t>[Accessed July 2017].</w:t>
              </w:r>
            </w:p>
            <w:p w14:paraId="11CE8953"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Atelier national de dissémination du rapport ITIE 2014 : Voici l’intégralité du Discours d’ouverture du Premier ministre. </w:t>
              </w:r>
              <w:r w:rsidRPr="002815F4">
                <w:rPr>
                  <w:noProof/>
                </w:rPr>
                <w:t xml:space="preserve">[Online] </w:t>
              </w:r>
              <w:r w:rsidRPr="002815F4">
                <w:rPr>
                  <w:noProof/>
                </w:rPr>
                <w:br/>
                <w:t xml:space="preserve">Available at: </w:t>
              </w:r>
              <w:r w:rsidRPr="002815F4">
                <w:rPr>
                  <w:noProof/>
                  <w:u w:val="single"/>
                </w:rPr>
                <w:t>http://itie.sn/atelier-national-de-dissemination-du-rapport-itie-2014-voici-lintegralite-du-discours-douverture-du-premier-ministre/</w:t>
              </w:r>
              <w:r w:rsidRPr="002815F4">
                <w:rPr>
                  <w:noProof/>
                </w:rPr>
                <w:br/>
                <w:t>[Accessed July 2017].</w:t>
              </w:r>
            </w:p>
            <w:p w14:paraId="3B76DF7D"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Pr Ismaëla Madior Fall, président de l’Itie : « Des progrès significatifs dans la marche vers la transparence optimale ». </w:t>
              </w:r>
              <w:r w:rsidRPr="002815F4">
                <w:rPr>
                  <w:noProof/>
                </w:rPr>
                <w:t xml:space="preserve">[Online] </w:t>
              </w:r>
              <w:r w:rsidRPr="002815F4">
                <w:rPr>
                  <w:noProof/>
                </w:rPr>
                <w:br/>
                <w:t xml:space="preserve">Available at: </w:t>
              </w:r>
              <w:r w:rsidRPr="002815F4">
                <w:rPr>
                  <w:noProof/>
                  <w:u w:val="single"/>
                </w:rPr>
                <w:t>http://itie.sn/pr-ismaela-madior-fall-president-de-litie-des-progres-significatifs-dans-la-marche-vers-la-transparence-optimale/</w:t>
              </w:r>
              <w:r w:rsidRPr="002815F4">
                <w:rPr>
                  <w:noProof/>
                </w:rPr>
                <w:br/>
                <w:t>[Accessed July 2017].</w:t>
              </w:r>
            </w:p>
            <w:p w14:paraId="5A6889F0" w14:textId="77777777" w:rsidR="003E626E" w:rsidRPr="002815F4" w:rsidRDefault="003E626E" w:rsidP="003E626E">
              <w:pPr>
                <w:pStyle w:val="Bibliography"/>
                <w:rPr>
                  <w:noProof/>
                </w:rPr>
              </w:pPr>
              <w:r w:rsidRPr="00863985">
                <w:rPr>
                  <w:lang w:val="fr-FR"/>
                </w:rPr>
                <w:t xml:space="preserve">President de la Republique, 2016. </w:t>
              </w:r>
              <w:r w:rsidRPr="00863985">
                <w:rPr>
                  <w:i/>
                  <w:lang w:val="fr-FR"/>
                </w:rPr>
                <w:t xml:space="preserve">I)écret no 2016-1542 Portant création et fÏxant les règles tl'organisation et de lbnctionnemcnt du Comité d'Orientation Stratégique du Pétrole et «Iu Gaz (COS - pE'tRg(;AZ).. </w:t>
              </w:r>
              <w:r w:rsidRPr="002815F4">
                <w:rPr>
                  <w:noProof/>
                </w:rPr>
                <w:t xml:space="preserve">[Online] </w:t>
              </w:r>
              <w:r w:rsidRPr="002815F4">
                <w:rPr>
                  <w:noProof/>
                </w:rPr>
                <w:br/>
                <w:t xml:space="preserve">Available at: </w:t>
              </w:r>
              <w:r w:rsidRPr="002815F4">
                <w:rPr>
                  <w:noProof/>
                  <w:u w:val="single"/>
                </w:rPr>
                <w:t>http://itie.sn/?offshore_dl=2265</w:t>
              </w:r>
              <w:r w:rsidRPr="002815F4">
                <w:rPr>
                  <w:noProof/>
                </w:rPr>
                <w:br/>
                <w:t>[Accessed July 2017].</w:t>
              </w:r>
            </w:p>
            <w:p w14:paraId="7780999F"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 Le rapport ITIE illustre la vision de gouvernance et les ambitions de réformes que nous continuons de nourrir pour le pays » Macky SALL. </w:t>
              </w:r>
              <w:r w:rsidRPr="002815F4">
                <w:rPr>
                  <w:noProof/>
                </w:rPr>
                <w:t xml:space="preserve">[Online] </w:t>
              </w:r>
              <w:r w:rsidRPr="002815F4">
                <w:rPr>
                  <w:noProof/>
                </w:rPr>
                <w:br/>
                <w:t xml:space="preserve">Available at: </w:t>
              </w:r>
              <w:r w:rsidRPr="002815F4">
                <w:rPr>
                  <w:noProof/>
                  <w:u w:val="single"/>
                </w:rPr>
                <w:t>http://itie.sn/le-rapport-itie-illustre-la-vision-de-gouvernance-et-les-ambitions-de-reformes-que-nous-continuons-de-nourrir-pour-le-pays-macky-sall/</w:t>
              </w:r>
              <w:r w:rsidRPr="002815F4">
                <w:rPr>
                  <w:noProof/>
                </w:rPr>
                <w:br/>
                <w:t>[Accessed July 2017].</w:t>
              </w:r>
            </w:p>
            <w:p w14:paraId="1B925602" w14:textId="77777777" w:rsidR="003E626E" w:rsidRPr="00863985" w:rsidRDefault="003E626E" w:rsidP="003E626E">
              <w:pPr>
                <w:pStyle w:val="Bibliography"/>
                <w:rPr>
                  <w:lang w:val="fr-FR"/>
                </w:rPr>
              </w:pPr>
              <w:r w:rsidRPr="00863985">
                <w:rPr>
                  <w:lang w:val="fr-FR"/>
                </w:rPr>
                <w:t xml:space="preserve">Le Quotidien, 2016. </w:t>
              </w:r>
              <w:r w:rsidRPr="00863985">
                <w:rPr>
                  <w:i/>
                  <w:lang w:val="fr-FR"/>
                </w:rPr>
                <w:t xml:space="preserve">Le Président de la République Macky Sall sur la publication du Rapport ITIE : « … Il faut s’en féliciter… ». </w:t>
              </w:r>
              <w:r w:rsidRPr="00863985">
                <w:rPr>
                  <w:lang w:val="fr-FR"/>
                </w:rPr>
                <w:t xml:space="preserve">[Online] </w:t>
              </w:r>
              <w:r w:rsidRPr="00863985">
                <w:rPr>
                  <w:lang w:val="fr-FR"/>
                </w:rPr>
                <w:br/>
                <w:t xml:space="preserve">Available at: </w:t>
              </w:r>
              <w:r w:rsidRPr="00863985">
                <w:rPr>
                  <w:u w:val="single"/>
                  <w:lang w:val="fr-FR"/>
                </w:rPr>
                <w:t>http://itie.sn/le-president-de-la-republique-macky-sall-sur-la-publication-du-rapport-itie-il-faut-sen-feliciter/</w:t>
              </w:r>
              <w:r w:rsidRPr="00863985">
                <w:rPr>
                  <w:lang w:val="fr-FR"/>
                </w:rPr>
                <w:br/>
                <w:t>[Accessed July 2017].</w:t>
              </w:r>
            </w:p>
            <w:p w14:paraId="57FA5E45"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Pr Ismaëla Madior Fall, Président du Comité national ITIE : « Ce rapport ITIE de 2014 est de très haute qualité ». </w:t>
              </w:r>
              <w:r w:rsidRPr="002815F4">
                <w:rPr>
                  <w:noProof/>
                </w:rPr>
                <w:t xml:space="preserve">[Online] </w:t>
              </w:r>
              <w:r w:rsidRPr="002815F4">
                <w:rPr>
                  <w:noProof/>
                </w:rPr>
                <w:br/>
                <w:t xml:space="preserve">Available at: </w:t>
              </w:r>
              <w:r w:rsidRPr="002815F4">
                <w:rPr>
                  <w:noProof/>
                  <w:u w:val="single"/>
                </w:rPr>
                <w:t>http://itie.sn/pr-ismaela-madior-fall-president-du-comite-national-itie-ce-rapport-itie-de-2014-est-de-tres-haute-qualite/</w:t>
              </w:r>
              <w:r w:rsidRPr="002815F4">
                <w:rPr>
                  <w:noProof/>
                </w:rPr>
                <w:br/>
                <w:t>[Accessed July 2017].</w:t>
              </w:r>
            </w:p>
            <w:p w14:paraId="3AFF6B36" w14:textId="77777777" w:rsidR="003E626E" w:rsidRPr="002815F4" w:rsidRDefault="003E626E" w:rsidP="003E626E">
              <w:pPr>
                <w:pStyle w:val="Bibliography"/>
                <w:rPr>
                  <w:noProof/>
                </w:rPr>
              </w:pPr>
              <w:r w:rsidRPr="00863985">
                <w:rPr>
                  <w:lang w:val="fr-FR"/>
                </w:rPr>
                <w:t xml:space="preserve">Le Soleil, 2016. </w:t>
              </w:r>
              <w:r w:rsidRPr="00863985">
                <w:rPr>
                  <w:i/>
                  <w:lang w:val="fr-FR"/>
                </w:rPr>
                <w:t xml:space="preserve">Pr Ismaëla Madior Fall, Président du Comité national ITIE : « Ce rapport ITIE de 2014 est de très haute qualité ». </w:t>
              </w:r>
              <w:r w:rsidRPr="002815F4">
                <w:rPr>
                  <w:noProof/>
                </w:rPr>
                <w:t xml:space="preserve">[Online] </w:t>
              </w:r>
              <w:r w:rsidRPr="002815F4">
                <w:rPr>
                  <w:noProof/>
                </w:rPr>
                <w:br/>
                <w:t xml:space="preserve">Available at: </w:t>
              </w:r>
              <w:r w:rsidRPr="002815F4">
                <w:rPr>
                  <w:noProof/>
                  <w:u w:val="single"/>
                </w:rPr>
                <w:t>http://itie.sn/pr-ismaela-madior-fall-president-du-comite-national-itie-ce-rapport-itie-de-2014-est-de-tres-haute-qualite/</w:t>
              </w:r>
              <w:r w:rsidRPr="002815F4">
                <w:rPr>
                  <w:noProof/>
                </w:rPr>
                <w:br/>
                <w:t>[Accessed July 2017].</w:t>
              </w:r>
            </w:p>
            <w:p w14:paraId="73C0D0E7" w14:textId="77777777" w:rsidR="003E626E" w:rsidRPr="002815F4" w:rsidRDefault="003E626E" w:rsidP="003E626E">
              <w:pPr>
                <w:pStyle w:val="Bibliography"/>
                <w:rPr>
                  <w:noProof/>
                </w:rPr>
              </w:pPr>
              <w:r w:rsidRPr="00863985">
                <w:rPr>
                  <w:lang w:val="fr-FR"/>
                </w:rPr>
                <w:t xml:space="preserve">Le Quotidien, 2016. </w:t>
              </w:r>
              <w:r w:rsidRPr="00863985">
                <w:rPr>
                  <w:i/>
                  <w:lang w:val="fr-FR"/>
                </w:rPr>
                <w:t xml:space="preserve">Publication du Rapport ITIE 2014 : Le secteur extractif a généré 117 milliards FCFA en 2014. </w:t>
              </w:r>
              <w:r w:rsidRPr="002815F4">
                <w:rPr>
                  <w:noProof/>
                </w:rPr>
                <w:t xml:space="preserve">[Online] </w:t>
              </w:r>
              <w:r w:rsidRPr="002815F4">
                <w:rPr>
                  <w:noProof/>
                </w:rPr>
                <w:br/>
                <w:t xml:space="preserve">Available at: </w:t>
              </w:r>
              <w:r w:rsidRPr="002815F4">
                <w:rPr>
                  <w:noProof/>
                  <w:u w:val="single"/>
                </w:rPr>
                <w:t>http://itie.sn/publication-du-rapport-itie-2014-le-secteur-extractif-a-genere-117-milliards-fcfa-en-2014/</w:t>
              </w:r>
              <w:r w:rsidRPr="002815F4">
                <w:rPr>
                  <w:noProof/>
                </w:rPr>
                <w:br/>
                <w:t>[Accessed July 2017].</w:t>
              </w:r>
            </w:p>
            <w:p w14:paraId="471B2966"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Le Président du Comité national ITIE recommande des clarifications dans le code pétrolier. </w:t>
              </w:r>
              <w:r w:rsidRPr="002815F4">
                <w:rPr>
                  <w:noProof/>
                </w:rPr>
                <w:t xml:space="preserve">[Online] </w:t>
              </w:r>
              <w:r w:rsidRPr="002815F4">
                <w:rPr>
                  <w:noProof/>
                </w:rPr>
                <w:br/>
                <w:t xml:space="preserve">Available at: </w:t>
              </w:r>
              <w:r w:rsidRPr="002815F4">
                <w:rPr>
                  <w:noProof/>
                  <w:u w:val="single"/>
                </w:rPr>
                <w:t>http://itie.sn/le-president-du-comite-national-itie-recommande-des-clarifications-dans-le-code-petrolier/</w:t>
              </w:r>
              <w:r w:rsidRPr="002815F4">
                <w:rPr>
                  <w:noProof/>
                </w:rPr>
                <w:br/>
                <w:t>[Accessed July 2017].</w:t>
              </w:r>
            </w:p>
            <w:p w14:paraId="78101514"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Analyse de la contribution du secteur extractif en 2014. </w:t>
              </w:r>
              <w:r w:rsidRPr="002815F4">
                <w:rPr>
                  <w:noProof/>
                </w:rPr>
                <w:t xml:space="preserve">[Online] </w:t>
              </w:r>
              <w:r w:rsidRPr="002815F4">
                <w:rPr>
                  <w:noProof/>
                </w:rPr>
                <w:br/>
                <w:t xml:space="preserve">Available at: </w:t>
              </w:r>
              <w:r w:rsidRPr="002815F4">
                <w:rPr>
                  <w:noProof/>
                  <w:u w:val="single"/>
                </w:rPr>
                <w:t>http://itie.sn/analyse-de-la-contribution-du-secteur-extractif-en-2014/</w:t>
              </w:r>
              <w:r w:rsidRPr="002815F4">
                <w:rPr>
                  <w:noProof/>
                </w:rPr>
                <w:br/>
                <w:t>[Accessed July 2017].</w:t>
              </w:r>
            </w:p>
            <w:p w14:paraId="1C05971B"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Publication du Rapport ITIE 2014 : Une contribution de 117 milliards du secteur extractif. </w:t>
              </w:r>
              <w:r w:rsidRPr="002815F4">
                <w:rPr>
                  <w:noProof/>
                </w:rPr>
                <w:t xml:space="preserve">[Online] </w:t>
              </w:r>
              <w:r w:rsidRPr="002815F4">
                <w:rPr>
                  <w:noProof/>
                </w:rPr>
                <w:br/>
                <w:t xml:space="preserve">Available at: </w:t>
              </w:r>
              <w:r w:rsidRPr="002815F4">
                <w:rPr>
                  <w:noProof/>
                  <w:u w:val="single"/>
                </w:rPr>
                <w:t>http://itie.sn/publication-du-rapport-itie-2014-une-contribution-de-117-milliards-du-secteur-extractif/</w:t>
              </w:r>
              <w:r w:rsidRPr="002815F4">
                <w:rPr>
                  <w:noProof/>
                </w:rPr>
                <w:br/>
                <w:t>[Accessed July 2017].</w:t>
              </w:r>
            </w:p>
            <w:p w14:paraId="1D829D95"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Publication du Rapport ITIE : Le Comité national fait face à la presse le 17 Octobre. </w:t>
              </w:r>
              <w:r w:rsidRPr="002815F4">
                <w:rPr>
                  <w:noProof/>
                </w:rPr>
                <w:t xml:space="preserve">[Online] </w:t>
              </w:r>
              <w:r w:rsidRPr="002815F4">
                <w:rPr>
                  <w:noProof/>
                </w:rPr>
                <w:br/>
                <w:t xml:space="preserve">Available at: </w:t>
              </w:r>
              <w:r w:rsidRPr="002815F4">
                <w:rPr>
                  <w:noProof/>
                  <w:u w:val="single"/>
                </w:rPr>
                <w:t>http://itie.sn/publication-du-rapport-itie-le-comite-national-fait-face-a-la-presse-le-17-octobre/</w:t>
              </w:r>
              <w:r w:rsidRPr="002815F4">
                <w:rPr>
                  <w:noProof/>
                </w:rPr>
                <w:br/>
                <w:t>[Accessed July 2017].</w:t>
              </w:r>
            </w:p>
            <w:p w14:paraId="36E42E80" w14:textId="77777777" w:rsidR="003E626E" w:rsidRPr="002815F4" w:rsidRDefault="003E626E" w:rsidP="003E626E">
              <w:pPr>
                <w:pStyle w:val="Bibliography"/>
                <w:rPr>
                  <w:noProof/>
                </w:rPr>
              </w:pPr>
              <w:r w:rsidRPr="00E2507C">
                <w:rPr>
                  <w:lang w:val="fr-FR"/>
                </w:rPr>
                <w:t xml:space="preserve">APS, 2016. </w:t>
              </w:r>
              <w:r w:rsidRPr="00E2507C">
                <w:rPr>
                  <w:i/>
                  <w:lang w:val="fr-FR"/>
                </w:rPr>
                <w:t xml:space="preserve">Le secrétaire permanent de l’ITIE invite SGO à publier sa convention la liant à l’Etat du Sénégal. </w:t>
              </w:r>
              <w:r w:rsidRPr="002815F4">
                <w:rPr>
                  <w:noProof/>
                </w:rPr>
                <w:t xml:space="preserve">[Online] </w:t>
              </w:r>
              <w:r w:rsidRPr="002815F4">
                <w:rPr>
                  <w:noProof/>
                </w:rPr>
                <w:br/>
                <w:t xml:space="preserve">Available at: </w:t>
              </w:r>
              <w:r w:rsidRPr="002815F4">
                <w:rPr>
                  <w:noProof/>
                  <w:u w:val="single"/>
                </w:rPr>
                <w:t>http://itie.sn/le-secretaire-permanent-de-litie-invite-sgo-a-publier-sa-convention-la-liant-a-letat-du-senegal/</w:t>
              </w:r>
              <w:r w:rsidRPr="002815F4">
                <w:rPr>
                  <w:noProof/>
                </w:rPr>
                <w:br/>
                <w:t>[Accessed July 2017].</w:t>
              </w:r>
            </w:p>
            <w:p w14:paraId="6AD8C861"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Les contrats petroliers et miniers disponibles sur le site du Gouvernement. </w:t>
              </w:r>
              <w:r w:rsidRPr="002815F4">
                <w:rPr>
                  <w:noProof/>
                </w:rPr>
                <w:t xml:space="preserve">[Online] </w:t>
              </w:r>
              <w:r w:rsidRPr="002815F4">
                <w:rPr>
                  <w:noProof/>
                </w:rPr>
                <w:br/>
                <w:t xml:space="preserve">Available at: </w:t>
              </w:r>
              <w:r w:rsidRPr="002815F4">
                <w:rPr>
                  <w:noProof/>
                  <w:u w:val="single"/>
                </w:rPr>
                <w:t>http://itie.sn/les-contrats-petroliers-et-miniers-disponibles-sur-le-site-du-gouvernement/</w:t>
              </w:r>
              <w:r w:rsidRPr="002815F4">
                <w:rPr>
                  <w:noProof/>
                </w:rPr>
                <w:br/>
                <w:t>[Accessed July 2017].</w:t>
              </w:r>
            </w:p>
            <w:p w14:paraId="198C0FF3" w14:textId="77777777" w:rsidR="003E626E" w:rsidRPr="002815F4" w:rsidRDefault="003E626E" w:rsidP="003E626E">
              <w:pPr>
                <w:pStyle w:val="Bibliography"/>
                <w:rPr>
                  <w:noProof/>
                </w:rPr>
              </w:pPr>
              <w:r w:rsidRPr="00863985">
                <w:rPr>
                  <w:lang w:val="fr-FR"/>
                </w:rPr>
                <w:t xml:space="preserve">Gouvernement du Senegal, 2016. </w:t>
              </w:r>
              <w:r w:rsidRPr="00863985">
                <w:rPr>
                  <w:i/>
                  <w:lang w:val="fr-FR"/>
                </w:rPr>
                <w:t xml:space="preserve">Point de situation sur les contrats pétroliers. </w:t>
              </w:r>
              <w:r w:rsidRPr="002815F4">
                <w:rPr>
                  <w:noProof/>
                </w:rPr>
                <w:t xml:space="preserve">[Online] </w:t>
              </w:r>
              <w:r w:rsidRPr="002815F4">
                <w:rPr>
                  <w:noProof/>
                </w:rPr>
                <w:br/>
                <w:t xml:space="preserve">Available at: </w:t>
              </w:r>
              <w:r w:rsidRPr="002815F4">
                <w:rPr>
                  <w:noProof/>
                  <w:u w:val="single"/>
                </w:rPr>
                <w:t>https://www.sec.gouv.sn/Point-de-situation-sur-les.html</w:t>
              </w:r>
              <w:r w:rsidRPr="002815F4">
                <w:rPr>
                  <w:noProof/>
                </w:rPr>
                <w:br/>
                <w:t>[Accessed July 2017].</w:t>
              </w:r>
            </w:p>
            <w:p w14:paraId="2D4CA788"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Cheikh Tidiane Touré, secrétaire permanent ITIE : « Le statut de pays conforme va renforcer la confiance vis-à-vis des investisseurs et des partenaires techniques et financiers ». </w:t>
              </w:r>
              <w:r w:rsidRPr="002815F4">
                <w:rPr>
                  <w:noProof/>
                </w:rPr>
                <w:t xml:space="preserve">[Online] </w:t>
              </w:r>
              <w:r w:rsidRPr="002815F4">
                <w:rPr>
                  <w:noProof/>
                </w:rPr>
                <w:br/>
                <w:t xml:space="preserve">Available at: </w:t>
              </w:r>
              <w:r w:rsidRPr="002815F4">
                <w:rPr>
                  <w:noProof/>
                  <w:u w:val="single"/>
                </w:rPr>
                <w:t>http://itie.sn/cheikh-tidiane-toure-secretaire-permanent-itie-le-statut-de-pays-conforme-va-renforcer-la-confiance-vis-a-vis-des-investisseurs-et-des-partenaires-techniques-et-financiers/</w:t>
              </w:r>
              <w:r w:rsidRPr="002815F4">
                <w:rPr>
                  <w:noProof/>
                </w:rPr>
                <w:br/>
                <w:t>[Accessed July 2017].</w:t>
              </w:r>
            </w:p>
            <w:p w14:paraId="70C3E678" w14:textId="77777777" w:rsidR="003E626E" w:rsidRPr="002815F4" w:rsidRDefault="003E626E" w:rsidP="003E626E">
              <w:pPr>
                <w:pStyle w:val="Bibliography"/>
                <w:rPr>
                  <w:noProof/>
                </w:rPr>
              </w:pPr>
              <w:r w:rsidRPr="00863985">
                <w:rPr>
                  <w:lang w:val="fr-FR"/>
                </w:rPr>
                <w:t xml:space="preserve">APS, 2016. </w:t>
              </w:r>
              <w:r w:rsidRPr="00863985">
                <w:rPr>
                  <w:i/>
                  <w:lang w:val="fr-FR"/>
                </w:rPr>
                <w:t xml:space="preserve">ITIE : Les entreprises encouragées à transmettre leurs déclarations certifiées au plus tard, Vendredi 29 Juillet 2016. </w:t>
              </w:r>
              <w:r w:rsidRPr="002815F4">
                <w:rPr>
                  <w:noProof/>
                </w:rPr>
                <w:t xml:space="preserve">[Online] </w:t>
              </w:r>
              <w:r w:rsidRPr="002815F4">
                <w:rPr>
                  <w:noProof/>
                </w:rPr>
                <w:br/>
                <w:t xml:space="preserve">Available at: </w:t>
              </w:r>
              <w:r w:rsidRPr="002815F4">
                <w:rPr>
                  <w:noProof/>
                  <w:u w:val="single"/>
                </w:rPr>
                <w:t>http://itie.sn/itie-les-entreprises-encouragees-a-transmettre-leurs-declarations-certifiees-au-plus-tard-vendredi-29-juillet-2016/</w:t>
              </w:r>
              <w:r w:rsidRPr="002815F4">
                <w:rPr>
                  <w:noProof/>
                </w:rPr>
                <w:br/>
                <w:t>[Accessed July 2017].</w:t>
              </w:r>
            </w:p>
            <w:p w14:paraId="266D702C" w14:textId="77777777" w:rsidR="003E626E" w:rsidRPr="002815F4" w:rsidRDefault="003E626E" w:rsidP="003E626E">
              <w:pPr>
                <w:pStyle w:val="Bibliography"/>
                <w:rPr>
                  <w:noProof/>
                </w:rPr>
              </w:pPr>
              <w:r w:rsidRPr="00E2507C">
                <w:rPr>
                  <w:lang w:val="fr-FR"/>
                </w:rPr>
                <w:t xml:space="preserve">Le Soleil, 2016. </w:t>
              </w:r>
              <w:r w:rsidRPr="00E2507C">
                <w:rPr>
                  <w:i/>
                  <w:lang w:val="fr-FR"/>
                </w:rPr>
                <w:t xml:space="preserve">Rapport ITIE 2014 : La quasi-totalité des entreprises ont fourni leurs données. </w:t>
              </w:r>
              <w:r w:rsidRPr="002815F4">
                <w:rPr>
                  <w:noProof/>
                </w:rPr>
                <w:t xml:space="preserve">[Online] </w:t>
              </w:r>
              <w:r w:rsidRPr="002815F4">
                <w:rPr>
                  <w:noProof/>
                </w:rPr>
                <w:br/>
                <w:t xml:space="preserve">Available at: </w:t>
              </w:r>
              <w:r w:rsidRPr="002815F4">
                <w:rPr>
                  <w:noProof/>
                  <w:u w:val="single"/>
                </w:rPr>
                <w:t>http://itie.sn/rapport-itie-2014-la-quasi-totalite-des-entreprises-ont-fourni-leurs-donnees/</w:t>
              </w:r>
              <w:r w:rsidRPr="002815F4">
                <w:rPr>
                  <w:noProof/>
                </w:rPr>
                <w:br/>
                <w:t>[Accessed July 2017].</w:t>
              </w:r>
            </w:p>
            <w:p w14:paraId="4F751516" w14:textId="77777777" w:rsidR="003E626E" w:rsidRPr="002815F4" w:rsidRDefault="003E626E" w:rsidP="003E626E">
              <w:pPr>
                <w:pStyle w:val="Bibliography"/>
                <w:rPr>
                  <w:noProof/>
                </w:rPr>
              </w:pPr>
              <w:r w:rsidRPr="00863985">
                <w:rPr>
                  <w:lang w:val="fr-FR"/>
                </w:rPr>
                <w:t xml:space="preserve">ITIE Senegal, 2017. </w:t>
              </w:r>
              <w:r w:rsidRPr="00863985">
                <w:rPr>
                  <w:i/>
                  <w:lang w:val="fr-FR"/>
                </w:rPr>
                <w:t xml:space="preserve">Conférences de l’ITIE. </w:t>
              </w:r>
              <w:r w:rsidRPr="002815F4">
                <w:rPr>
                  <w:noProof/>
                </w:rPr>
                <w:t xml:space="preserve">[Online] </w:t>
              </w:r>
              <w:r w:rsidRPr="002815F4">
                <w:rPr>
                  <w:noProof/>
                </w:rPr>
                <w:br/>
                <w:t xml:space="preserve">Available at: </w:t>
              </w:r>
              <w:r w:rsidRPr="002815F4">
                <w:rPr>
                  <w:noProof/>
                  <w:u w:val="single"/>
                </w:rPr>
                <w:t>http://itie.sn/conferences-de-l-itie/</w:t>
              </w:r>
              <w:r w:rsidRPr="002815F4">
                <w:rPr>
                  <w:noProof/>
                </w:rPr>
                <w:br/>
                <w:t>[Accessed July 2017].</w:t>
              </w:r>
            </w:p>
            <w:p w14:paraId="59B6C34F" w14:textId="77777777" w:rsidR="003E626E" w:rsidRPr="002815F4" w:rsidRDefault="003E626E" w:rsidP="003E626E">
              <w:pPr>
                <w:pStyle w:val="Bibliography"/>
                <w:rPr>
                  <w:noProof/>
                </w:rPr>
              </w:pPr>
              <w:r w:rsidRPr="00E2507C">
                <w:rPr>
                  <w:lang w:val="fr-FR"/>
                </w:rPr>
                <w:t xml:space="preserve">Conseil des Ministres, 2012. </w:t>
              </w:r>
              <w:r w:rsidRPr="00E2507C">
                <w:rPr>
                  <w:i/>
                  <w:lang w:val="fr-FR"/>
                </w:rPr>
                <w:t xml:space="preserve">Le Communiqué du Conseil des Ministres du 02 Février 2012. </w:t>
              </w:r>
              <w:r w:rsidRPr="002815F4">
                <w:rPr>
                  <w:noProof/>
                </w:rPr>
                <w:t xml:space="preserve">[Online] </w:t>
              </w:r>
              <w:r w:rsidRPr="002815F4">
                <w:rPr>
                  <w:noProof/>
                </w:rPr>
                <w:br/>
                <w:t xml:space="preserve">Available at: </w:t>
              </w:r>
              <w:r w:rsidRPr="002815F4">
                <w:rPr>
                  <w:noProof/>
                  <w:u w:val="single"/>
                </w:rPr>
                <w:t>http://itie.sn/?offshore_dl=497</w:t>
              </w:r>
              <w:r w:rsidRPr="002815F4">
                <w:rPr>
                  <w:noProof/>
                </w:rPr>
                <w:br/>
                <w:t>[Accessed July 2017].</w:t>
              </w:r>
            </w:p>
            <w:p w14:paraId="536F9121" w14:textId="77777777" w:rsidR="003E626E" w:rsidRPr="002815F4" w:rsidRDefault="003E626E" w:rsidP="003E626E">
              <w:pPr>
                <w:pStyle w:val="Bibliography"/>
                <w:rPr>
                  <w:noProof/>
                </w:rPr>
              </w:pPr>
              <w:r w:rsidRPr="00863985">
                <w:rPr>
                  <w:lang w:val="fr-FR"/>
                </w:rPr>
                <w:t xml:space="preserve">Grant Thornton, 2016. </w:t>
              </w:r>
              <w:r w:rsidRPr="00863985">
                <w:rPr>
                  <w:i/>
                  <w:lang w:val="fr-FR"/>
                </w:rPr>
                <w:t xml:space="preserve">Senegal 2016: Objectifs de croissance, orientations budgetaires. </w:t>
              </w:r>
              <w:r w:rsidRPr="002815F4">
                <w:rPr>
                  <w:noProof/>
                </w:rPr>
                <w:t xml:space="preserve">[Online] </w:t>
              </w:r>
              <w:r w:rsidRPr="002815F4">
                <w:rPr>
                  <w:noProof/>
                </w:rPr>
                <w:br/>
                <w:t xml:space="preserve">Available at: </w:t>
              </w:r>
              <w:r w:rsidRPr="002815F4">
                <w:rPr>
                  <w:noProof/>
                  <w:u w:val="single"/>
                </w:rPr>
                <w:t>http://www.grantthornton.sn/spub-31-budget_brief_2016_vf_ok.pdf</w:t>
              </w:r>
              <w:r w:rsidRPr="002815F4">
                <w:rPr>
                  <w:noProof/>
                </w:rPr>
                <w:br/>
                <w:t>[Accessed July 2017].</w:t>
              </w:r>
            </w:p>
            <w:p w14:paraId="7A1F7A3F" w14:textId="77777777" w:rsidR="003E626E" w:rsidRPr="002815F4" w:rsidRDefault="003E626E" w:rsidP="003E626E">
              <w:pPr>
                <w:pStyle w:val="Bibliography"/>
                <w:rPr>
                  <w:noProof/>
                </w:rPr>
              </w:pPr>
              <w:r w:rsidRPr="00863985">
                <w:rPr>
                  <w:lang w:val="fr-FR"/>
                </w:rPr>
                <w:t xml:space="preserve">Banque Africaine de Developpement, 2010. </w:t>
              </w:r>
              <w:r w:rsidRPr="00863985">
                <w:rPr>
                  <w:i/>
                  <w:lang w:val="fr-FR"/>
                </w:rPr>
                <w:t xml:space="preserve">RÉPUBLIQUE DU SÉNÉGAL DOCUMENT DE STRATÉGIE PAR PAYS 2010 Ŕ 2015. </w:t>
              </w:r>
              <w:r w:rsidRPr="002815F4">
                <w:rPr>
                  <w:noProof/>
                </w:rPr>
                <w:t xml:space="preserve">[Online] </w:t>
              </w:r>
              <w:r w:rsidRPr="002815F4">
                <w:rPr>
                  <w:noProof/>
                </w:rPr>
                <w:br/>
                <w:t xml:space="preserve">Available at: </w:t>
              </w:r>
              <w:r w:rsidRPr="002815F4">
                <w:rPr>
                  <w:noProof/>
                  <w:u w:val="single"/>
                </w:rPr>
                <w:t>https://www.afdb.org/fileadmin/uploads/afdb/Documents/Project-and-Operations/SENEGAL_-_DSP_2010-2015.pdf</w:t>
              </w:r>
              <w:r w:rsidRPr="002815F4">
                <w:rPr>
                  <w:noProof/>
                </w:rPr>
                <w:br/>
                <w:t>[Accessed July 2017].</w:t>
              </w:r>
            </w:p>
            <w:p w14:paraId="24A1CC3B" w14:textId="77777777" w:rsidR="003E626E" w:rsidRPr="002815F4" w:rsidRDefault="003E626E" w:rsidP="003E626E">
              <w:pPr>
                <w:pStyle w:val="Bibliography"/>
                <w:rPr>
                  <w:noProof/>
                </w:rPr>
              </w:pPr>
              <w:r w:rsidRPr="002815F4">
                <w:rPr>
                  <w:noProof/>
                </w:rPr>
                <w:t xml:space="preserve">World Bank, 2014. </w:t>
              </w:r>
              <w:r w:rsidRPr="002815F4">
                <w:rPr>
                  <w:i/>
                  <w:iCs/>
                  <w:noProof/>
                </w:rPr>
                <w:t xml:space="preserve">Project document Senegal: Extractive Industries Transparency Initiative Implementation (P131626). </w:t>
              </w:r>
              <w:r w:rsidRPr="002815F4">
                <w:rPr>
                  <w:noProof/>
                </w:rPr>
                <w:t xml:space="preserve">[Online] </w:t>
              </w:r>
              <w:r w:rsidRPr="002815F4">
                <w:rPr>
                  <w:noProof/>
                </w:rPr>
                <w:br/>
                <w:t xml:space="preserve">Available at: </w:t>
              </w:r>
              <w:r w:rsidRPr="002815F4">
                <w:rPr>
                  <w:noProof/>
                  <w:u w:val="single"/>
                </w:rPr>
                <w:t>http://documents.banquemondiale.org/curated/fr/354651468057564463/pdf/ISR-Disclosable-P131626-06-18-2015-1434633641915.pdf</w:t>
              </w:r>
              <w:r w:rsidRPr="002815F4">
                <w:rPr>
                  <w:noProof/>
                </w:rPr>
                <w:br/>
                <w:t>[Accessed July 2017].</w:t>
              </w:r>
            </w:p>
            <w:p w14:paraId="6E24CB52" w14:textId="77777777" w:rsidR="003E626E" w:rsidRPr="002815F4" w:rsidRDefault="003E626E" w:rsidP="003E626E">
              <w:pPr>
                <w:pStyle w:val="Bibliography"/>
                <w:rPr>
                  <w:noProof/>
                </w:rPr>
              </w:pPr>
              <w:r w:rsidRPr="002815F4">
                <w:rPr>
                  <w:noProof/>
                </w:rPr>
                <w:t xml:space="preserve">Oxfam America, 2016. </w:t>
              </w:r>
              <w:r w:rsidRPr="002815F4">
                <w:rPr>
                  <w:i/>
                  <w:iCs/>
                  <w:noProof/>
                </w:rPr>
                <w:t xml:space="preserve">THE WEAK LINK THE ROLE OF LOCAL INSTITUTIONS IN ACCOUNTABLE NATURAL RESOURCE MANAGEMENT SENEGAL. </w:t>
              </w:r>
              <w:r w:rsidRPr="002815F4">
                <w:rPr>
                  <w:noProof/>
                </w:rPr>
                <w:t xml:space="preserve">[Online] </w:t>
              </w:r>
              <w:r w:rsidRPr="002815F4">
                <w:rPr>
                  <w:noProof/>
                </w:rPr>
                <w:br/>
                <w:t xml:space="preserve">Available at: </w:t>
              </w:r>
              <w:r w:rsidRPr="002815F4">
                <w:rPr>
                  <w:noProof/>
                  <w:u w:val="single"/>
                </w:rPr>
                <w:t>https://www.oxfam.org/sites/www.oxfam.org/files/file_attachments/rr-the-weak-link-senegal-150416-en.pdf</w:t>
              </w:r>
              <w:r w:rsidRPr="002815F4">
                <w:rPr>
                  <w:noProof/>
                </w:rPr>
                <w:br/>
                <w:t>[Accessed July 2017].</w:t>
              </w:r>
            </w:p>
            <w:p w14:paraId="14990B78" w14:textId="77777777" w:rsidR="003E626E" w:rsidRPr="002815F4" w:rsidRDefault="003E626E" w:rsidP="003E626E">
              <w:pPr>
                <w:pStyle w:val="Bibliography"/>
                <w:rPr>
                  <w:noProof/>
                </w:rPr>
              </w:pPr>
              <w:r w:rsidRPr="002815F4">
                <w:rPr>
                  <w:noProof/>
                </w:rPr>
                <w:t xml:space="preserve">PWYP, 2016. </w:t>
              </w:r>
              <w:r w:rsidRPr="002815F4">
                <w:rPr>
                  <w:i/>
                  <w:iCs/>
                  <w:noProof/>
                </w:rPr>
                <w:t xml:space="preserve">Global Assembly PUBLISH WHAT YOU PAY 22-23 February 2016 Lima, Peru. </w:t>
              </w:r>
              <w:r w:rsidRPr="002815F4">
                <w:rPr>
                  <w:noProof/>
                </w:rPr>
                <w:t xml:space="preserve">[Online] </w:t>
              </w:r>
              <w:r w:rsidRPr="002815F4">
                <w:rPr>
                  <w:noProof/>
                </w:rPr>
                <w:br/>
                <w:t xml:space="preserve">Available at: </w:t>
              </w:r>
              <w:r w:rsidRPr="002815F4">
                <w:rPr>
                  <w:noProof/>
                  <w:u w:val="single"/>
                </w:rPr>
                <w:t>http://www.publishwhatyoupay.org/wp-content/uploads/2016/03/PWYP-Global-Assembly-2016-report.pdf</w:t>
              </w:r>
              <w:r w:rsidRPr="002815F4">
                <w:rPr>
                  <w:noProof/>
                </w:rPr>
                <w:br/>
                <w:t>[Accessed July 2017].</w:t>
              </w:r>
            </w:p>
            <w:p w14:paraId="4E59A5AD" w14:textId="77777777" w:rsidR="003E626E" w:rsidRPr="002815F4" w:rsidRDefault="003E626E" w:rsidP="003E626E">
              <w:pPr>
                <w:pStyle w:val="Bibliography"/>
                <w:rPr>
                  <w:noProof/>
                </w:rPr>
              </w:pPr>
              <w:r w:rsidRPr="002815F4">
                <w:rPr>
                  <w:noProof/>
                </w:rPr>
                <w:t xml:space="preserve">World Bank, 2016. </w:t>
              </w:r>
              <w:r w:rsidRPr="002815F4">
                <w:rPr>
                  <w:i/>
                  <w:iCs/>
                  <w:noProof/>
                </w:rPr>
                <w:t xml:space="preserve">Grant concept paper Senegal EITI Report No.: ISDSC17879. </w:t>
              </w:r>
              <w:r w:rsidRPr="002815F4">
                <w:rPr>
                  <w:noProof/>
                </w:rPr>
                <w:t xml:space="preserve">[Online] </w:t>
              </w:r>
              <w:r w:rsidRPr="002815F4">
                <w:rPr>
                  <w:noProof/>
                </w:rPr>
                <w:br/>
                <w:t xml:space="preserve">Available at: </w:t>
              </w:r>
              <w:r w:rsidRPr="002815F4">
                <w:rPr>
                  <w:noProof/>
                  <w:u w:val="single"/>
                </w:rPr>
                <w:t>http://documents.worldbank.org/curated/en/535971468332417099/pdf/ISDSC17879.pdf</w:t>
              </w:r>
              <w:r w:rsidRPr="002815F4">
                <w:rPr>
                  <w:noProof/>
                </w:rPr>
                <w:br/>
                <w:t>[Accessed July 2017].</w:t>
              </w:r>
            </w:p>
            <w:p w14:paraId="6035C8B2" w14:textId="77777777" w:rsidR="003E626E" w:rsidRPr="002815F4" w:rsidRDefault="003E626E" w:rsidP="003E626E">
              <w:pPr>
                <w:pStyle w:val="Bibliography"/>
                <w:rPr>
                  <w:noProof/>
                </w:rPr>
              </w:pPr>
              <w:r w:rsidRPr="002815F4">
                <w:rPr>
                  <w:noProof/>
                </w:rPr>
                <w:t xml:space="preserve">MSI Integrity, 2015. </w:t>
              </w:r>
              <w:r w:rsidRPr="002815F4">
                <w:rPr>
                  <w:i/>
                  <w:iCs/>
                  <w:noProof/>
                </w:rPr>
                <w:t xml:space="preserve">Senegal (v 1.1) civil society overview. </w:t>
              </w:r>
              <w:r w:rsidRPr="002815F4">
                <w:rPr>
                  <w:noProof/>
                </w:rPr>
                <w:t xml:space="preserve">[Online] </w:t>
              </w:r>
              <w:r w:rsidRPr="002815F4">
                <w:rPr>
                  <w:noProof/>
                </w:rPr>
                <w:br/>
                <w:t xml:space="preserve">Available at: </w:t>
              </w:r>
              <w:r w:rsidRPr="002815F4">
                <w:rPr>
                  <w:noProof/>
                  <w:u w:val="single"/>
                </w:rPr>
                <w:t>www.msi-integrity.org/wp-content/uploads/2015/02/Senegal-v1-1.xlsx</w:t>
              </w:r>
              <w:r w:rsidRPr="002815F4">
                <w:rPr>
                  <w:noProof/>
                </w:rPr>
                <w:br/>
                <w:t>[Accessed July 2017].</w:t>
              </w:r>
            </w:p>
            <w:p w14:paraId="0A612F42" w14:textId="77777777" w:rsidR="003E626E" w:rsidRPr="002815F4" w:rsidRDefault="003E626E" w:rsidP="003E626E">
              <w:pPr>
                <w:pStyle w:val="Bibliography"/>
                <w:rPr>
                  <w:noProof/>
                </w:rPr>
              </w:pPr>
              <w:r w:rsidRPr="00863985">
                <w:rPr>
                  <w:lang w:val="fr-FR"/>
                </w:rPr>
                <w:t xml:space="preserve">ITIE Senegal, 2014. </w:t>
              </w:r>
              <w:r w:rsidRPr="00863985">
                <w:rPr>
                  <w:i/>
                  <w:lang w:val="fr-FR"/>
                </w:rPr>
                <w:t xml:space="preserve">REGLEMENT INTERIEUR DU COMITE NATIONAL DE L’INITIATIVE POUR LA TRANSPARENCE DANS LES INDUSTRIES EXTRACTIVES (CN-ITIE – SENEGAL). </w:t>
              </w:r>
              <w:r w:rsidRPr="002815F4">
                <w:rPr>
                  <w:noProof/>
                </w:rPr>
                <w:t xml:space="preserve">[Online] </w:t>
              </w:r>
              <w:r w:rsidRPr="002815F4">
                <w:rPr>
                  <w:noProof/>
                </w:rPr>
                <w:br/>
                <w:t xml:space="preserve">Available at: </w:t>
              </w:r>
              <w:r w:rsidRPr="002815F4">
                <w:rPr>
                  <w:noProof/>
                  <w:u w:val="single"/>
                </w:rPr>
                <w:t>http://itie.sn/wp-content/uploads/2017/03/reglement-interieur-CN-ITIE-version-finale.pdf</w:t>
              </w:r>
              <w:r w:rsidRPr="002815F4">
                <w:rPr>
                  <w:noProof/>
                </w:rPr>
                <w:br/>
                <w:t>[Accessed July 2017].</w:t>
              </w:r>
            </w:p>
            <w:p w14:paraId="4D5E9B3E" w14:textId="77777777" w:rsidR="003E626E" w:rsidRPr="002815F4" w:rsidRDefault="003E626E" w:rsidP="003E626E">
              <w:pPr>
                <w:pStyle w:val="Bibliography"/>
                <w:rPr>
                  <w:noProof/>
                </w:rPr>
              </w:pPr>
              <w:r w:rsidRPr="002815F4">
                <w:rPr>
                  <w:noProof/>
                </w:rPr>
                <w:t xml:space="preserve">DLA Piper, 2016. </w:t>
              </w:r>
              <w:r w:rsidRPr="002815F4">
                <w:rPr>
                  <w:i/>
                  <w:iCs/>
                  <w:noProof/>
                </w:rPr>
                <w:t xml:space="preserve">SENEGAL'S NEW MINING CODE WHAT MINING COMPANIES NEED TO KNOW. </w:t>
              </w:r>
              <w:r w:rsidRPr="002815F4">
                <w:rPr>
                  <w:noProof/>
                </w:rPr>
                <w:t xml:space="preserve">[Online] </w:t>
              </w:r>
              <w:r w:rsidRPr="002815F4">
                <w:rPr>
                  <w:noProof/>
                </w:rPr>
                <w:br/>
                <w:t xml:space="preserve">Available at: </w:t>
              </w:r>
              <w:r w:rsidRPr="002815F4">
                <w:rPr>
                  <w:noProof/>
                  <w:u w:val="single"/>
                </w:rPr>
                <w:t>http://documents.jdsupra.com/6241b143-a2d8-4442-8d7d-3f84b21a7432.pdf</w:t>
              </w:r>
              <w:r w:rsidRPr="002815F4">
                <w:rPr>
                  <w:noProof/>
                </w:rPr>
                <w:br/>
                <w:t>[Accessed July 2017].</w:t>
              </w:r>
            </w:p>
            <w:p w14:paraId="41767011" w14:textId="77777777" w:rsidR="003E626E" w:rsidRPr="002815F4" w:rsidRDefault="003E626E" w:rsidP="003E626E">
              <w:pPr>
                <w:pStyle w:val="Bibliography"/>
                <w:rPr>
                  <w:noProof/>
                </w:rPr>
              </w:pPr>
              <w:r w:rsidRPr="002815F4">
                <w:rPr>
                  <w:noProof/>
                </w:rPr>
                <w:t xml:space="preserve">Open Contracting Partnership, 2017. </w:t>
              </w:r>
              <w:r w:rsidRPr="002815F4">
                <w:rPr>
                  <w:i/>
                  <w:iCs/>
                  <w:noProof/>
                </w:rPr>
                <w:t xml:space="preserve">Open Contracting Scoping Study SENEGAL West Africa Open Contracting Assessment Project. </w:t>
              </w:r>
              <w:r w:rsidRPr="002815F4">
                <w:rPr>
                  <w:noProof/>
                </w:rPr>
                <w:t xml:space="preserve">[Online] </w:t>
              </w:r>
              <w:r w:rsidRPr="002815F4">
                <w:rPr>
                  <w:noProof/>
                </w:rPr>
                <w:br/>
                <w:t xml:space="preserve">Available at: </w:t>
              </w:r>
              <w:r w:rsidRPr="002815F4">
                <w:rPr>
                  <w:noProof/>
                  <w:u w:val="single"/>
                </w:rPr>
                <w:t>http://www.developmentgateway.org/sites/default/files/2017-04/Open%20Contracting%20West%20Africa%20-%20Senegal%20-%20Development%20Gateway.pdf</w:t>
              </w:r>
              <w:r w:rsidRPr="002815F4">
                <w:rPr>
                  <w:noProof/>
                </w:rPr>
                <w:br/>
                <w:t>[Accessed July 2017].</w:t>
              </w:r>
            </w:p>
            <w:p w14:paraId="77B60E25" w14:textId="77777777" w:rsidR="003E626E" w:rsidRPr="002815F4" w:rsidRDefault="003E626E" w:rsidP="003E626E">
              <w:pPr>
                <w:pStyle w:val="Bibliography"/>
                <w:rPr>
                  <w:noProof/>
                </w:rPr>
              </w:pPr>
              <w:r w:rsidRPr="002815F4">
                <w:rPr>
                  <w:noProof/>
                </w:rPr>
                <w:t xml:space="preserve">Mayer Brown, 2016. </w:t>
              </w:r>
              <w:r w:rsidRPr="002815F4">
                <w:rPr>
                  <w:i/>
                  <w:iCs/>
                  <w:noProof/>
                </w:rPr>
                <w:t xml:space="preserve">A brief overview of mining in Senegal. </w:t>
              </w:r>
              <w:r w:rsidRPr="002815F4">
                <w:rPr>
                  <w:noProof/>
                </w:rPr>
                <w:t xml:space="preserve">[Online] </w:t>
              </w:r>
              <w:r w:rsidRPr="002815F4">
                <w:rPr>
                  <w:noProof/>
                </w:rPr>
                <w:br/>
                <w:t xml:space="preserve">Available at: </w:t>
              </w:r>
              <w:r w:rsidRPr="002815F4">
                <w:rPr>
                  <w:noProof/>
                  <w:u w:val="single"/>
                </w:rPr>
                <w:t>https://www.mayerbrown.com/files/uploads/Documents/PDFs/mining-in-Senegal_welsh-dorin.pdf</w:t>
              </w:r>
              <w:r w:rsidRPr="002815F4">
                <w:rPr>
                  <w:noProof/>
                </w:rPr>
                <w:br/>
                <w:t>[Accessed July 2017].</w:t>
              </w:r>
            </w:p>
            <w:p w14:paraId="1E4996B5" w14:textId="77777777" w:rsidR="003E626E" w:rsidRPr="002815F4" w:rsidRDefault="003E626E" w:rsidP="003E626E">
              <w:pPr>
                <w:pStyle w:val="Bibliography"/>
                <w:rPr>
                  <w:noProof/>
                </w:rPr>
              </w:pPr>
              <w:r w:rsidRPr="002815F4">
                <w:rPr>
                  <w:noProof/>
                </w:rPr>
                <w:t xml:space="preserve">Kosmos Energy , 2016. </w:t>
              </w:r>
              <w:r w:rsidRPr="002815F4">
                <w:rPr>
                  <w:i/>
                  <w:iCs/>
                  <w:noProof/>
                </w:rPr>
                <w:t xml:space="preserve">Our commitment to transparency. </w:t>
              </w:r>
              <w:r w:rsidRPr="002815F4">
                <w:rPr>
                  <w:noProof/>
                </w:rPr>
                <w:t xml:space="preserve">[Online] </w:t>
              </w:r>
              <w:r w:rsidRPr="002815F4">
                <w:rPr>
                  <w:noProof/>
                </w:rPr>
                <w:br/>
                <w:t xml:space="preserve">Available at: </w:t>
              </w:r>
              <w:r w:rsidRPr="002815F4">
                <w:rPr>
                  <w:noProof/>
                  <w:u w:val="single"/>
                </w:rPr>
                <w:t>http://www.kosmosenergy.com/responsibility/KM212%20Transparency%20BrochureEN3.pdf</w:t>
              </w:r>
              <w:r w:rsidRPr="002815F4">
                <w:rPr>
                  <w:noProof/>
                </w:rPr>
                <w:br/>
                <w:t>[Accessed July 2017].</w:t>
              </w:r>
            </w:p>
            <w:p w14:paraId="08275B93" w14:textId="77777777" w:rsidR="003E626E" w:rsidRPr="002815F4" w:rsidRDefault="003E626E" w:rsidP="003E626E">
              <w:pPr>
                <w:pStyle w:val="Bibliography"/>
                <w:rPr>
                  <w:noProof/>
                </w:rPr>
              </w:pPr>
              <w:r w:rsidRPr="002815F4">
                <w:rPr>
                  <w:noProof/>
                </w:rPr>
                <w:t xml:space="preserve">Moody's, 2013. </w:t>
              </w:r>
              <w:r w:rsidRPr="002815F4">
                <w:rPr>
                  <w:i/>
                  <w:iCs/>
                  <w:noProof/>
                </w:rPr>
                <w:t xml:space="preserve">Issuer Comment: Senegal's EITI Candidacy Status Approved, a Credit Positive. </w:t>
              </w:r>
              <w:r w:rsidRPr="002815F4">
                <w:rPr>
                  <w:noProof/>
                </w:rPr>
                <w:t xml:space="preserve">[Online] </w:t>
              </w:r>
              <w:r w:rsidRPr="002815F4">
                <w:rPr>
                  <w:noProof/>
                </w:rPr>
                <w:br/>
                <w:t xml:space="preserve">Available at: </w:t>
              </w:r>
              <w:r w:rsidRPr="002815F4">
                <w:rPr>
                  <w:noProof/>
                  <w:u w:val="single"/>
                </w:rPr>
                <w:t>http://www.alacrastore.com/moodys-credit-research/Senegal-s-EITI-Candidacy-Status-Approveda-Credit-Positive-PBC_159679#sthash.1OG03a9s.dpuf</w:t>
              </w:r>
              <w:r w:rsidRPr="002815F4">
                <w:rPr>
                  <w:noProof/>
                </w:rPr>
                <w:br/>
                <w:t>[Accessed July 2017].</w:t>
              </w:r>
            </w:p>
            <w:p w14:paraId="68F0C442" w14:textId="77777777" w:rsidR="003E626E" w:rsidRPr="002815F4" w:rsidRDefault="003E626E" w:rsidP="003E626E">
              <w:pPr>
                <w:pStyle w:val="Bibliography"/>
                <w:rPr>
                  <w:noProof/>
                </w:rPr>
              </w:pPr>
              <w:r w:rsidRPr="002815F4">
                <w:rPr>
                  <w:noProof/>
                </w:rPr>
                <w:t xml:space="preserve">Open Contracting Partnership, 2016. </w:t>
              </w:r>
              <w:r w:rsidRPr="002815F4">
                <w:rPr>
                  <w:i/>
                  <w:iCs/>
                  <w:noProof/>
                </w:rPr>
                <w:t xml:space="preserve">Open Contracting in SENEGAL At a glance. </w:t>
              </w:r>
              <w:r w:rsidRPr="002815F4">
                <w:rPr>
                  <w:noProof/>
                </w:rPr>
                <w:t xml:space="preserve">[Online] </w:t>
              </w:r>
              <w:r w:rsidRPr="002815F4">
                <w:rPr>
                  <w:noProof/>
                </w:rPr>
                <w:br/>
                <w:t xml:space="preserve">Available at: </w:t>
              </w:r>
              <w:r w:rsidRPr="002815F4">
                <w:rPr>
                  <w:noProof/>
                  <w:u w:val="single"/>
                </w:rPr>
                <w:t>https://sea.hivos.org/sites/default/files/senegal_0.pdf</w:t>
              </w:r>
              <w:r w:rsidRPr="002815F4">
                <w:rPr>
                  <w:noProof/>
                </w:rPr>
                <w:br/>
                <w:t>[Accessed July 2017].</w:t>
              </w:r>
            </w:p>
            <w:p w14:paraId="77A5F81B" w14:textId="77777777" w:rsidR="003E626E" w:rsidRPr="002815F4" w:rsidRDefault="003E626E" w:rsidP="003E626E">
              <w:pPr>
                <w:pStyle w:val="Bibliography"/>
                <w:rPr>
                  <w:noProof/>
                </w:rPr>
              </w:pPr>
              <w:r w:rsidRPr="002815F4">
                <w:rPr>
                  <w:noProof/>
                </w:rPr>
                <w:t xml:space="preserve">USAID, 2013. </w:t>
              </w:r>
              <w:r w:rsidRPr="002815F4">
                <w:rPr>
                  <w:i/>
                  <w:iCs/>
                  <w:noProof/>
                </w:rPr>
                <w:t xml:space="preserve">Programme Gouvernance et Paix (PGP) Senegal 4thQUARTERLY / ANNUAL PERFORMANCE REPORT October 2012 – September 2013. </w:t>
              </w:r>
              <w:r w:rsidRPr="002815F4">
                <w:rPr>
                  <w:noProof/>
                </w:rPr>
                <w:t xml:space="preserve">[Online] </w:t>
              </w:r>
              <w:r w:rsidRPr="002815F4">
                <w:rPr>
                  <w:noProof/>
                </w:rPr>
                <w:br/>
                <w:t xml:space="preserve">Available at: </w:t>
              </w:r>
              <w:r w:rsidRPr="002815F4">
                <w:rPr>
                  <w:noProof/>
                  <w:u w:val="single"/>
                </w:rPr>
                <w:t>http://pdf.usaid.gov/pdf_docs/PA00KJMM.pdf</w:t>
              </w:r>
              <w:r w:rsidRPr="002815F4">
                <w:rPr>
                  <w:noProof/>
                </w:rPr>
                <w:br/>
                <w:t>[Accessed July 2017].</w:t>
              </w:r>
            </w:p>
            <w:p w14:paraId="352C25BC" w14:textId="77777777" w:rsidR="003E626E" w:rsidRPr="002815F4" w:rsidRDefault="003E626E" w:rsidP="003E626E">
              <w:pPr>
                <w:pStyle w:val="Bibliography"/>
                <w:rPr>
                  <w:noProof/>
                </w:rPr>
              </w:pPr>
              <w:r w:rsidRPr="002815F4">
                <w:rPr>
                  <w:noProof/>
                </w:rPr>
                <w:t xml:space="preserve">Mineral Deposits, 2016. </w:t>
              </w:r>
              <w:r w:rsidRPr="002815F4">
                <w:rPr>
                  <w:i/>
                  <w:iCs/>
                  <w:noProof/>
                </w:rPr>
                <w:t xml:space="preserve">2015 Annual report. </w:t>
              </w:r>
              <w:r w:rsidRPr="002815F4">
                <w:rPr>
                  <w:noProof/>
                </w:rPr>
                <w:t xml:space="preserve">[Online] </w:t>
              </w:r>
              <w:r w:rsidRPr="002815F4">
                <w:rPr>
                  <w:noProof/>
                </w:rPr>
                <w:br/>
                <w:t xml:space="preserve">Available at: </w:t>
              </w:r>
              <w:r w:rsidRPr="002815F4">
                <w:rPr>
                  <w:noProof/>
                  <w:u w:val="single"/>
                </w:rPr>
                <w:t>https://www.mineraldeposits.com.au/wp-content/uploads/2016/02/MDLAnnualReport2015.pdf</w:t>
              </w:r>
              <w:r w:rsidRPr="002815F4">
                <w:rPr>
                  <w:noProof/>
                </w:rPr>
                <w:br/>
                <w:t>[Accessed July 2017].</w:t>
              </w:r>
            </w:p>
            <w:p w14:paraId="79B075EF" w14:textId="77777777" w:rsidR="003E626E" w:rsidRPr="002815F4" w:rsidRDefault="003E626E" w:rsidP="003E626E">
              <w:pPr>
                <w:pStyle w:val="Bibliography"/>
                <w:rPr>
                  <w:noProof/>
                </w:rPr>
              </w:pPr>
              <w:r w:rsidRPr="002815F4">
                <w:rPr>
                  <w:noProof/>
                </w:rPr>
                <w:t xml:space="preserve">IDA Africa Watch, 2017. </w:t>
              </w:r>
              <w:r w:rsidRPr="002815F4">
                <w:rPr>
                  <w:i/>
                  <w:iCs/>
                  <w:noProof/>
                </w:rPr>
                <w:t xml:space="preserve">WHAT WILL OIL AND GAS MEAN FOR SENEGAL?. </w:t>
              </w:r>
              <w:r w:rsidRPr="002815F4">
                <w:rPr>
                  <w:noProof/>
                </w:rPr>
                <w:t xml:space="preserve">[Online] </w:t>
              </w:r>
              <w:r w:rsidRPr="002815F4">
                <w:rPr>
                  <w:noProof/>
                </w:rPr>
                <w:br/>
                <w:t xml:space="preserve">Available at: </w:t>
              </w:r>
              <w:r w:rsidRPr="002815F4">
                <w:rPr>
                  <w:noProof/>
                  <w:u w:val="single"/>
                </w:rPr>
                <w:t>https://www.ida.org/idamedia/Corporate/Files/Publications/AfricaWatch/africawatch-June-8-2017-vol15.ashx</w:t>
              </w:r>
              <w:r w:rsidRPr="002815F4">
                <w:rPr>
                  <w:noProof/>
                </w:rPr>
                <w:br/>
                <w:t>[Accessed JULY 2017].</w:t>
              </w:r>
            </w:p>
            <w:p w14:paraId="01A94D76" w14:textId="77777777" w:rsidR="003E626E" w:rsidRPr="002815F4" w:rsidRDefault="003E626E" w:rsidP="003E626E">
              <w:pPr>
                <w:pStyle w:val="Bibliography"/>
                <w:rPr>
                  <w:noProof/>
                </w:rPr>
              </w:pPr>
              <w:r w:rsidRPr="002815F4">
                <w:rPr>
                  <w:noProof/>
                </w:rPr>
                <w:t xml:space="preserve">Financial Times, 2017. </w:t>
              </w:r>
              <w:r w:rsidRPr="002815F4">
                <w:rPr>
                  <w:i/>
                  <w:iCs/>
                  <w:noProof/>
                </w:rPr>
                <w:t xml:space="preserve">BP and Kosmos strike gas again off Senegal. </w:t>
              </w:r>
              <w:r w:rsidRPr="002815F4">
                <w:rPr>
                  <w:noProof/>
                </w:rPr>
                <w:t xml:space="preserve">[Online] </w:t>
              </w:r>
              <w:r w:rsidRPr="002815F4">
                <w:rPr>
                  <w:noProof/>
                </w:rPr>
                <w:br/>
                <w:t xml:space="preserve">Available at: </w:t>
              </w:r>
              <w:r w:rsidRPr="002815F4">
                <w:rPr>
                  <w:noProof/>
                  <w:u w:val="single"/>
                </w:rPr>
                <w:t>https://www.ft.com/content/091c4a94-33e4-11e7-99bd-13beb0903fa3</w:t>
              </w:r>
              <w:r w:rsidRPr="002815F4">
                <w:rPr>
                  <w:noProof/>
                </w:rPr>
                <w:br/>
                <w:t>[Accessed July 2017].</w:t>
              </w:r>
            </w:p>
            <w:p w14:paraId="570D5041" w14:textId="77777777" w:rsidR="003E626E" w:rsidRPr="002815F4" w:rsidRDefault="003E626E" w:rsidP="003E626E">
              <w:pPr>
                <w:pStyle w:val="Bibliography"/>
                <w:rPr>
                  <w:noProof/>
                </w:rPr>
              </w:pPr>
              <w:r w:rsidRPr="002815F4">
                <w:rPr>
                  <w:noProof/>
                </w:rPr>
                <w:t xml:space="preserve">FAR Ltd, 2017. </w:t>
              </w:r>
              <w:r w:rsidRPr="002815F4">
                <w:rPr>
                  <w:i/>
                  <w:iCs/>
                  <w:noProof/>
                </w:rPr>
                <w:t xml:space="preserve">Senegal Prospective Resource Increase. </w:t>
              </w:r>
              <w:r w:rsidRPr="002815F4">
                <w:rPr>
                  <w:noProof/>
                </w:rPr>
                <w:t xml:space="preserve">[Online] </w:t>
              </w:r>
              <w:r w:rsidRPr="002815F4">
                <w:rPr>
                  <w:noProof/>
                </w:rPr>
                <w:br/>
                <w:t xml:space="preserve">Available at: </w:t>
              </w:r>
              <w:r w:rsidRPr="002815F4">
                <w:rPr>
                  <w:noProof/>
                  <w:u w:val="single"/>
                </w:rPr>
                <w:t>http://far.live.irmau.com/irm/PDF/2236_0/SenegalProspectiveResourceIncrease</w:t>
              </w:r>
              <w:r w:rsidRPr="002815F4">
                <w:rPr>
                  <w:noProof/>
                </w:rPr>
                <w:br/>
                <w:t>[Accessed July 2017].</w:t>
              </w:r>
            </w:p>
            <w:p w14:paraId="34CCA3C8" w14:textId="77777777" w:rsidR="003E626E" w:rsidRPr="002815F4" w:rsidRDefault="003E626E" w:rsidP="003E626E">
              <w:pPr>
                <w:pStyle w:val="Bibliography"/>
                <w:rPr>
                  <w:noProof/>
                </w:rPr>
              </w:pPr>
              <w:r w:rsidRPr="002815F4">
                <w:rPr>
                  <w:noProof/>
                </w:rPr>
                <w:t xml:space="preserve">Platts, 2017. </w:t>
              </w:r>
              <w:r w:rsidRPr="002815F4">
                <w:rPr>
                  <w:i/>
                  <w:iCs/>
                  <w:noProof/>
                </w:rPr>
                <w:t xml:space="preserve">New major Senegal natural gas find raises prospect of second LNG hub: BP, Kosmos. </w:t>
              </w:r>
              <w:r w:rsidRPr="002815F4">
                <w:rPr>
                  <w:noProof/>
                </w:rPr>
                <w:t xml:space="preserve">[Online] </w:t>
              </w:r>
              <w:r w:rsidRPr="002815F4">
                <w:rPr>
                  <w:noProof/>
                </w:rPr>
                <w:br/>
                <w:t xml:space="preserve">Available at: </w:t>
              </w:r>
              <w:r w:rsidRPr="002815F4">
                <w:rPr>
                  <w:noProof/>
                  <w:u w:val="single"/>
                </w:rPr>
                <w:t>https://www.platts.com/latest-news/natural-gas/london/new-major-senegal-natural-gas-find-raises-prospect-26730712</w:t>
              </w:r>
              <w:r w:rsidRPr="002815F4">
                <w:rPr>
                  <w:noProof/>
                </w:rPr>
                <w:br/>
                <w:t>[Accessed July 2017].</w:t>
              </w:r>
            </w:p>
            <w:p w14:paraId="29B4109D" w14:textId="77777777" w:rsidR="003E626E" w:rsidRPr="002815F4" w:rsidRDefault="003E626E" w:rsidP="003E626E">
              <w:pPr>
                <w:pStyle w:val="Bibliography"/>
                <w:rPr>
                  <w:noProof/>
                </w:rPr>
              </w:pPr>
              <w:r w:rsidRPr="002815F4">
                <w:rPr>
                  <w:noProof/>
                </w:rPr>
                <w:t xml:space="preserve">Mines and Geosciences Bureau, 2012. </w:t>
              </w:r>
              <w:r w:rsidRPr="002815F4">
                <w:rPr>
                  <w:i/>
                  <w:iCs/>
                  <w:noProof/>
                </w:rPr>
                <w:t xml:space="preserve">BRIEFER: Extractive Industries Transparency Initiative (EITI). </w:t>
              </w:r>
              <w:r w:rsidRPr="002815F4">
                <w:rPr>
                  <w:noProof/>
                </w:rPr>
                <w:t xml:space="preserve">[Online] </w:t>
              </w:r>
              <w:r w:rsidRPr="002815F4">
                <w:rPr>
                  <w:noProof/>
                </w:rPr>
                <w:br/>
                <w:t xml:space="preserve">Available at: </w:t>
              </w:r>
              <w:r w:rsidRPr="002815F4">
                <w:rPr>
                  <w:noProof/>
                  <w:u w:val="single"/>
                </w:rPr>
                <w:t>http://www.mgb.gov.ph/attachments/article/123/Briefer-EITI.pdf</w:t>
              </w:r>
              <w:r w:rsidRPr="002815F4">
                <w:rPr>
                  <w:noProof/>
                </w:rPr>
                <w:br/>
                <w:t>[Accessed September 2016].</w:t>
              </w:r>
            </w:p>
            <w:p w14:paraId="7BEE3285" w14:textId="77777777" w:rsidR="003E626E" w:rsidRPr="002815F4" w:rsidRDefault="003E626E" w:rsidP="003E626E">
              <w:pPr>
                <w:pStyle w:val="Bibliography"/>
                <w:rPr>
                  <w:noProof/>
                </w:rPr>
              </w:pPr>
              <w:r w:rsidRPr="002815F4">
                <w:rPr>
                  <w:noProof/>
                </w:rPr>
                <w:t xml:space="preserve">EITI, 2013. </w:t>
              </w:r>
              <w:r w:rsidRPr="002815F4">
                <w:rPr>
                  <w:i/>
                  <w:iCs/>
                  <w:noProof/>
                </w:rPr>
                <w:t xml:space="preserve">Senegal's application for EITI candidature approved. </w:t>
              </w:r>
              <w:r w:rsidRPr="002815F4">
                <w:rPr>
                  <w:noProof/>
                </w:rPr>
                <w:t xml:space="preserve">[Online] </w:t>
              </w:r>
              <w:r w:rsidRPr="002815F4">
                <w:rPr>
                  <w:noProof/>
                </w:rPr>
                <w:br/>
                <w:t xml:space="preserve">Available at: </w:t>
              </w:r>
              <w:r w:rsidRPr="002815F4">
                <w:rPr>
                  <w:noProof/>
                  <w:u w:val="single"/>
                </w:rPr>
                <w:t>https://eiti.org/news/senegals-application-for-eiti-candidature-approved</w:t>
              </w:r>
              <w:r w:rsidRPr="002815F4">
                <w:rPr>
                  <w:noProof/>
                </w:rPr>
                <w:br/>
                <w:t>[Accessed July 2017].</w:t>
              </w:r>
            </w:p>
            <w:p w14:paraId="7C151033" w14:textId="77777777" w:rsidR="003E626E" w:rsidRPr="002815F4" w:rsidRDefault="003E626E" w:rsidP="003E626E">
              <w:pPr>
                <w:pStyle w:val="Bibliography"/>
                <w:rPr>
                  <w:noProof/>
                </w:rPr>
              </w:pPr>
              <w:r w:rsidRPr="00863985">
                <w:rPr>
                  <w:lang w:val="fr-FR"/>
                </w:rPr>
                <w:t xml:space="preserve">Le Sud Online, 2013. </w:t>
              </w:r>
              <w:r w:rsidRPr="00863985">
                <w:rPr>
                  <w:i/>
                  <w:lang w:val="fr-FR"/>
                </w:rPr>
                <w:t xml:space="preserve">ITIE SENEGAL: Atelier national de lancement. </w:t>
              </w:r>
              <w:r w:rsidRPr="002815F4">
                <w:rPr>
                  <w:noProof/>
                </w:rPr>
                <w:t xml:space="preserve">[Online] </w:t>
              </w:r>
              <w:r w:rsidRPr="002815F4">
                <w:rPr>
                  <w:noProof/>
                </w:rPr>
                <w:br/>
                <w:t xml:space="preserve">Available at: </w:t>
              </w:r>
              <w:r w:rsidRPr="002815F4">
                <w:rPr>
                  <w:noProof/>
                  <w:u w:val="single"/>
                </w:rPr>
                <w:t>http://www.sudonline.sn/les-ressources-minieres-representent-1-du-pib_a_16352.html</w:t>
              </w:r>
              <w:r w:rsidRPr="002815F4">
                <w:rPr>
                  <w:noProof/>
                </w:rPr>
                <w:br/>
                <w:t>[Accessed July 2017].</w:t>
              </w:r>
            </w:p>
            <w:p w14:paraId="4F1B6658" w14:textId="77777777" w:rsidR="003E626E" w:rsidRPr="002815F4" w:rsidRDefault="003E626E" w:rsidP="003E626E">
              <w:pPr>
                <w:pStyle w:val="Bibliography"/>
                <w:rPr>
                  <w:noProof/>
                </w:rPr>
              </w:pPr>
              <w:r w:rsidRPr="002815F4">
                <w:rPr>
                  <w:noProof/>
                </w:rPr>
                <w:t xml:space="preserve">EITI, 2016. </w:t>
              </w:r>
              <w:r w:rsidRPr="002815F4">
                <w:rPr>
                  <w:i/>
                  <w:iCs/>
                  <w:noProof/>
                </w:rPr>
                <w:t xml:space="preserve">7TH EITI GLOBAL CONFERENCE, LIMA, 24-25 FEBRUARY 2016 Brief Secretariat Report. </w:t>
              </w:r>
              <w:r w:rsidRPr="002815F4">
                <w:rPr>
                  <w:noProof/>
                </w:rPr>
                <w:t xml:space="preserve">[Online] </w:t>
              </w:r>
              <w:r w:rsidRPr="002815F4">
                <w:rPr>
                  <w:noProof/>
                </w:rPr>
                <w:br/>
                <w:t xml:space="preserve">Available at: </w:t>
              </w:r>
              <w:r w:rsidRPr="002815F4">
                <w:rPr>
                  <w:noProof/>
                  <w:u w:val="single"/>
                </w:rPr>
                <w:t>https://eiti.org/sites/default/files/documents/2016-conference-lima-secretariat-finalreport-lima-2016_0.pdf</w:t>
              </w:r>
              <w:r w:rsidRPr="002815F4">
                <w:rPr>
                  <w:noProof/>
                </w:rPr>
                <w:br/>
                <w:t>[Accessed July 2017].</w:t>
              </w:r>
            </w:p>
            <w:p w14:paraId="69321482" w14:textId="77777777" w:rsidR="003E626E" w:rsidRPr="002815F4" w:rsidRDefault="003E626E" w:rsidP="003E626E">
              <w:pPr>
                <w:pStyle w:val="Bibliography"/>
                <w:rPr>
                  <w:noProof/>
                </w:rPr>
              </w:pPr>
              <w:r w:rsidRPr="00863985">
                <w:rPr>
                  <w:lang w:val="fr-FR"/>
                </w:rPr>
                <w:t xml:space="preserve">Cairn Energy, 2015. </w:t>
              </w:r>
              <w:r w:rsidRPr="00863985">
                <w:rPr>
                  <w:i/>
                  <w:lang w:val="fr-FR"/>
                </w:rPr>
                <w:t xml:space="preserve">Cairn au Senegal. </w:t>
              </w:r>
              <w:r w:rsidRPr="002815F4">
                <w:rPr>
                  <w:noProof/>
                </w:rPr>
                <w:t xml:space="preserve">[Online] </w:t>
              </w:r>
              <w:r w:rsidRPr="002815F4">
                <w:rPr>
                  <w:noProof/>
                </w:rPr>
                <w:br/>
                <w:t xml:space="preserve">Available at: </w:t>
              </w:r>
              <w:r w:rsidRPr="002815F4">
                <w:rPr>
                  <w:noProof/>
                  <w:u w:val="single"/>
                </w:rPr>
                <w:t>https://www.cairnenergy.com/files/pdf/senegal/cairn_in_senegal_2015_fr.pdf</w:t>
              </w:r>
              <w:r w:rsidRPr="002815F4">
                <w:rPr>
                  <w:noProof/>
                </w:rPr>
                <w:br/>
                <w:t>[Accessed July 2017].</w:t>
              </w:r>
            </w:p>
            <w:p w14:paraId="4149B790" w14:textId="77777777" w:rsidR="003E626E" w:rsidRPr="002815F4" w:rsidRDefault="003E626E" w:rsidP="003E626E">
              <w:pPr>
                <w:pStyle w:val="Bibliography"/>
                <w:rPr>
                  <w:noProof/>
                </w:rPr>
              </w:pPr>
              <w:r w:rsidRPr="00863985">
                <w:rPr>
                  <w:lang w:val="fr-FR"/>
                </w:rPr>
                <w:t xml:space="preserve">Le Sud Quotidien, 2016. </w:t>
              </w:r>
              <w:r w:rsidRPr="00863985">
                <w:rPr>
                  <w:i/>
                  <w:lang w:val="fr-FR"/>
                </w:rPr>
                <w:t xml:space="preserve">Production du Rapport ITIE 2014 : L’Etat d’avancement des travaux jugé satisfaisant. </w:t>
              </w:r>
              <w:r w:rsidRPr="002815F4">
                <w:rPr>
                  <w:noProof/>
                </w:rPr>
                <w:t xml:space="preserve">[Online] </w:t>
              </w:r>
              <w:r w:rsidRPr="002815F4">
                <w:rPr>
                  <w:noProof/>
                </w:rPr>
                <w:br/>
                <w:t xml:space="preserve">Available at: </w:t>
              </w:r>
              <w:r w:rsidRPr="002815F4">
                <w:rPr>
                  <w:noProof/>
                  <w:u w:val="single"/>
                </w:rPr>
                <w:t>http://itie.sn/production-du-rapport-itie-2014-letat-davancement-des-travaux-juge-satisfaisant/</w:t>
              </w:r>
              <w:r w:rsidRPr="002815F4">
                <w:rPr>
                  <w:noProof/>
                </w:rPr>
                <w:br/>
                <w:t>[Accessed July 2017].</w:t>
              </w:r>
            </w:p>
            <w:p w14:paraId="4413DE36" w14:textId="77777777" w:rsidR="003E626E" w:rsidRPr="002815F4" w:rsidRDefault="003E626E" w:rsidP="003E626E">
              <w:pPr>
                <w:pStyle w:val="Bibliography"/>
                <w:rPr>
                  <w:noProof/>
                </w:rPr>
              </w:pPr>
              <w:r w:rsidRPr="00E2507C">
                <w:rPr>
                  <w:lang w:val="fr-FR"/>
                </w:rPr>
                <w:t xml:space="preserve">ITIE Senegal, 2017. </w:t>
              </w:r>
              <w:r w:rsidRPr="00E2507C">
                <w:rPr>
                  <w:i/>
                  <w:lang w:val="fr-FR"/>
                </w:rPr>
                <w:t xml:space="preserve">Hydrocarbures : Oxfam et ses partenaires planchent sur les enjeux de la gouvernance du pétrole et du gaz. </w:t>
              </w:r>
              <w:r w:rsidRPr="002815F4">
                <w:rPr>
                  <w:noProof/>
                </w:rPr>
                <w:t xml:space="preserve">[Online] </w:t>
              </w:r>
              <w:r w:rsidRPr="002815F4">
                <w:rPr>
                  <w:noProof/>
                </w:rPr>
                <w:br/>
                <w:t xml:space="preserve">Available at: </w:t>
              </w:r>
              <w:r w:rsidRPr="002815F4">
                <w:rPr>
                  <w:noProof/>
                  <w:u w:val="single"/>
                </w:rPr>
                <w:t>http://itie.sn/hydrocarbures-oxfam-et-ses-partenaires-planchent-sur-les-enjeux-de-la-gouvernance-du-petrole-et-du-gaz/</w:t>
              </w:r>
              <w:r w:rsidRPr="002815F4">
                <w:rPr>
                  <w:noProof/>
                </w:rPr>
                <w:br/>
                <w:t>[Accessed July 2017].</w:t>
              </w:r>
            </w:p>
            <w:p w14:paraId="4940A1B9" w14:textId="77777777" w:rsidR="003E626E" w:rsidRPr="002815F4" w:rsidRDefault="003E626E" w:rsidP="003E626E">
              <w:pPr>
                <w:pStyle w:val="Bibliography"/>
                <w:rPr>
                  <w:noProof/>
                </w:rPr>
              </w:pPr>
              <w:r w:rsidRPr="00863985">
                <w:rPr>
                  <w:lang w:val="fr-FR"/>
                </w:rPr>
                <w:t xml:space="preserve">ITIE Senegal, 2017. </w:t>
              </w:r>
              <w:r w:rsidRPr="00863985">
                <w:rPr>
                  <w:i/>
                  <w:lang w:val="fr-FR"/>
                </w:rPr>
                <w:t xml:space="preserve">Premier Ministre : « Les entreprises retenues dans le périmètre du rapport ITIE doivent collaborer avec le Comité National en lui soumettant leurs déclarations, selon les modalités définies par la Norme ITIE ». </w:t>
              </w:r>
              <w:r w:rsidRPr="002815F4">
                <w:rPr>
                  <w:noProof/>
                </w:rPr>
                <w:t xml:space="preserve">[Online] </w:t>
              </w:r>
              <w:r w:rsidRPr="002815F4">
                <w:rPr>
                  <w:noProof/>
                </w:rPr>
                <w:br/>
                <w:t xml:space="preserve">Available at: </w:t>
              </w:r>
              <w:r w:rsidRPr="002815F4">
                <w:rPr>
                  <w:noProof/>
                  <w:u w:val="single"/>
                </w:rPr>
                <w:t>http://itie.sn/premier-ministre-les-entreprises-retenues-dans-le-perimetre-du-rapport-itie-doivent-collaborer-avec-le-comite-national-en-lui-soumettant-leurs-declarations-selon-les-modalites-definies-par-l/</w:t>
              </w:r>
              <w:r w:rsidRPr="002815F4">
                <w:rPr>
                  <w:noProof/>
                </w:rPr>
                <w:br/>
                <w:t>[Accessed July 2017].</w:t>
              </w:r>
            </w:p>
            <w:p w14:paraId="4F890375"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Le Comité national lance le processus d’élaboration du Rapport ITIE 2014 du Sénégal. </w:t>
              </w:r>
              <w:r w:rsidRPr="002815F4">
                <w:rPr>
                  <w:noProof/>
                </w:rPr>
                <w:t xml:space="preserve">[Online] </w:t>
              </w:r>
              <w:r w:rsidRPr="002815F4">
                <w:rPr>
                  <w:noProof/>
                </w:rPr>
                <w:br/>
                <w:t xml:space="preserve">Available at: </w:t>
              </w:r>
              <w:r w:rsidRPr="002815F4">
                <w:rPr>
                  <w:noProof/>
                  <w:u w:val="single"/>
                </w:rPr>
                <w:t>http://itie.sn/le-comite-national-lance-le-processus-delaboration-du-rapport-itie-2014-du-senegal/</w:t>
              </w:r>
              <w:r w:rsidRPr="002815F4">
                <w:rPr>
                  <w:noProof/>
                </w:rPr>
                <w:br/>
                <w:t>[Accessed July 2017].</w:t>
              </w:r>
            </w:p>
            <w:p w14:paraId="565683C2" w14:textId="77777777" w:rsidR="003E626E" w:rsidRPr="002815F4" w:rsidRDefault="003E626E" w:rsidP="003E626E">
              <w:pPr>
                <w:pStyle w:val="Bibliography"/>
                <w:rPr>
                  <w:noProof/>
                </w:rPr>
              </w:pPr>
              <w:r w:rsidRPr="00863985">
                <w:rPr>
                  <w:lang w:val="fr-FR"/>
                </w:rPr>
                <w:t xml:space="preserve">ITIE Senegal, 2017. </w:t>
              </w:r>
              <w:r w:rsidRPr="00863985">
                <w:rPr>
                  <w:i/>
                  <w:lang w:val="fr-FR"/>
                </w:rPr>
                <w:t xml:space="preserve">Formation sur la gouvernance pétrolière. </w:t>
              </w:r>
              <w:r w:rsidRPr="002815F4">
                <w:rPr>
                  <w:noProof/>
                </w:rPr>
                <w:t xml:space="preserve">[Online] </w:t>
              </w:r>
              <w:r w:rsidRPr="002815F4">
                <w:rPr>
                  <w:noProof/>
                </w:rPr>
                <w:br/>
                <w:t xml:space="preserve">Available at: </w:t>
              </w:r>
              <w:r w:rsidRPr="002815F4">
                <w:rPr>
                  <w:noProof/>
                  <w:u w:val="single"/>
                </w:rPr>
                <w:t>http://itie.sn/formation-sur-la-gouvernance-petroliere/</w:t>
              </w:r>
              <w:r w:rsidRPr="002815F4">
                <w:rPr>
                  <w:noProof/>
                </w:rPr>
                <w:br/>
                <w:t>[Accessed July 2017].</w:t>
              </w:r>
            </w:p>
            <w:p w14:paraId="500984AA" w14:textId="77777777" w:rsidR="003E626E" w:rsidRPr="002815F4" w:rsidRDefault="003E626E" w:rsidP="003E626E">
              <w:pPr>
                <w:pStyle w:val="Bibliography"/>
                <w:rPr>
                  <w:noProof/>
                </w:rPr>
              </w:pPr>
              <w:r w:rsidRPr="00863985">
                <w:rPr>
                  <w:lang w:val="fr-FR"/>
                </w:rPr>
                <w:t xml:space="preserve">APS, 2017. </w:t>
              </w:r>
              <w:r w:rsidRPr="00863985">
                <w:rPr>
                  <w:i/>
                  <w:lang w:val="fr-FR"/>
                </w:rPr>
                <w:t xml:space="preserve">Macky SALL invite le CESE à réfléchir sur une gestion durable des ressources naturelles dans un contexte de mise en œuvre de l’ITIE au Sénégal. </w:t>
              </w:r>
              <w:r w:rsidRPr="002815F4">
                <w:rPr>
                  <w:noProof/>
                </w:rPr>
                <w:t xml:space="preserve">[Online] </w:t>
              </w:r>
              <w:r w:rsidRPr="002815F4">
                <w:rPr>
                  <w:noProof/>
                </w:rPr>
                <w:br/>
                <w:t xml:space="preserve">Available at: </w:t>
              </w:r>
              <w:r w:rsidRPr="002815F4">
                <w:rPr>
                  <w:noProof/>
                  <w:u w:val="single"/>
                </w:rPr>
                <w:t>http://itie.sn/macky-sall-invite-le-cese-a-reflechir-sur-une-gestion-durable-des-ressources-naturelles-dans-un-contexte-de-mise-en-oeuvre-de-litie-au-senegal/</w:t>
              </w:r>
              <w:r w:rsidRPr="002815F4">
                <w:rPr>
                  <w:noProof/>
                </w:rPr>
                <w:br/>
                <w:t>[Accessed July 2017].</w:t>
              </w:r>
            </w:p>
            <w:p w14:paraId="183349C6"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Rapport 2014 : Le Comité national ITIE planche sur le périmètre et la matérialité…la société civile s’engage à jouer leur partition. </w:t>
              </w:r>
              <w:r w:rsidRPr="002815F4">
                <w:rPr>
                  <w:noProof/>
                </w:rPr>
                <w:t xml:space="preserve">[Online] </w:t>
              </w:r>
              <w:r w:rsidRPr="002815F4">
                <w:rPr>
                  <w:noProof/>
                </w:rPr>
                <w:br/>
                <w:t xml:space="preserve">Available at: </w:t>
              </w:r>
              <w:r w:rsidRPr="002815F4">
                <w:rPr>
                  <w:noProof/>
                  <w:u w:val="single"/>
                </w:rPr>
                <w:t>http://itie.sn/rapport-2014-le-comite-national-itie-planche-sur-le-perimetre-et-la-materialitela-societe-civile-sengage-a-jouer-leur-partition/</w:t>
              </w:r>
              <w:r w:rsidRPr="002815F4">
                <w:rPr>
                  <w:noProof/>
                </w:rPr>
                <w:br/>
                <w:t>[Accessed July 2017].</w:t>
              </w:r>
            </w:p>
            <w:p w14:paraId="02A1E682"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Lutte contre la corruption : Le Gouvernement se félicite du leadership de l’ITIE…. </w:t>
              </w:r>
              <w:r w:rsidRPr="002815F4">
                <w:rPr>
                  <w:noProof/>
                </w:rPr>
                <w:t xml:space="preserve">[Online] </w:t>
              </w:r>
              <w:r w:rsidRPr="002815F4">
                <w:rPr>
                  <w:noProof/>
                </w:rPr>
                <w:br/>
                <w:t xml:space="preserve">Available at: </w:t>
              </w:r>
              <w:r w:rsidRPr="002815F4">
                <w:rPr>
                  <w:noProof/>
                  <w:u w:val="single"/>
                </w:rPr>
                <w:t>http://itie.sn/lutte-contre-la-corruption-le-gouvernement-se-felicite-du-leadership-de-litie/</w:t>
              </w:r>
              <w:r w:rsidRPr="002815F4">
                <w:rPr>
                  <w:noProof/>
                </w:rPr>
                <w:br/>
                <w:t>[Accessed July 2017].</w:t>
              </w:r>
            </w:p>
            <w:p w14:paraId="1814B7D6" w14:textId="77777777" w:rsidR="003E626E" w:rsidRPr="002815F4" w:rsidRDefault="003E626E" w:rsidP="003E626E">
              <w:pPr>
                <w:pStyle w:val="Bibliography"/>
                <w:rPr>
                  <w:noProof/>
                </w:rPr>
              </w:pPr>
              <w:r w:rsidRPr="00863985">
                <w:rPr>
                  <w:lang w:val="fr-FR"/>
                </w:rPr>
                <w:t xml:space="preserve">République du Senegal, 2016. </w:t>
              </w:r>
              <w:r w:rsidRPr="00863985">
                <w:rPr>
                  <w:i/>
                  <w:lang w:val="fr-FR"/>
                </w:rPr>
                <w:t xml:space="preserve">SOMMET SUR LA LUTTE CONTRE LA CORRUPTION DECLARATION DE LA REPUBLIQUE DU SENEGAL LONDRES, LE 12 MAI 2016. </w:t>
              </w:r>
              <w:r w:rsidRPr="002815F4">
                <w:rPr>
                  <w:noProof/>
                </w:rPr>
                <w:t xml:space="preserve">[Online] </w:t>
              </w:r>
              <w:r w:rsidRPr="002815F4">
                <w:rPr>
                  <w:noProof/>
                </w:rPr>
                <w:br/>
                <w:t xml:space="preserve">Available at: </w:t>
              </w:r>
              <w:r w:rsidRPr="002815F4">
                <w:rPr>
                  <w:noProof/>
                  <w:u w:val="single"/>
                </w:rPr>
                <w:t>http://itie.sn/?offshore_dl=2275</w:t>
              </w:r>
              <w:r w:rsidRPr="002815F4">
                <w:rPr>
                  <w:noProof/>
                </w:rPr>
                <w:br/>
                <w:t>[Accessed July 2017].</w:t>
              </w:r>
            </w:p>
            <w:p w14:paraId="6DDD3F78"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Ismaila Madior FALL, Président du Comité national ITIE « Tous les acteurs doivent jouer pleinement leur partition pour l’obtention de la conformité ». </w:t>
              </w:r>
              <w:r w:rsidRPr="002815F4">
                <w:rPr>
                  <w:noProof/>
                </w:rPr>
                <w:t xml:space="preserve">[Online] </w:t>
              </w:r>
              <w:r w:rsidRPr="002815F4">
                <w:rPr>
                  <w:noProof/>
                </w:rPr>
                <w:br/>
                <w:t xml:space="preserve">Available at: </w:t>
              </w:r>
              <w:r w:rsidRPr="002815F4">
                <w:rPr>
                  <w:noProof/>
                  <w:u w:val="single"/>
                </w:rPr>
                <w:t>http://itie.sn/ismaila-madior-fall-president-du-comite-national-itie-tous-les-acteurs-doivent-jouer-pleinement-leur-partition-pour-lobtention-de-la-conformite/</w:t>
              </w:r>
              <w:r w:rsidRPr="002815F4">
                <w:rPr>
                  <w:noProof/>
                </w:rPr>
                <w:br/>
                <w:t>[Accessed July 2017].</w:t>
              </w:r>
            </w:p>
            <w:p w14:paraId="5BD8CE4F"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SOLLICITATION DE MANIFESTATIONS D’INTERET RAPPORT ITIE 2014. </w:t>
              </w:r>
              <w:r w:rsidRPr="002815F4">
                <w:rPr>
                  <w:noProof/>
                </w:rPr>
                <w:t xml:space="preserve">[Online] </w:t>
              </w:r>
              <w:r w:rsidRPr="002815F4">
                <w:rPr>
                  <w:noProof/>
                </w:rPr>
                <w:br/>
                <w:t xml:space="preserve">Available at: </w:t>
              </w:r>
              <w:r w:rsidRPr="002815F4">
                <w:rPr>
                  <w:noProof/>
                  <w:u w:val="single"/>
                </w:rPr>
                <w:t>http://itie.sn/?offshore_dl=2113</w:t>
              </w:r>
              <w:r w:rsidRPr="002815F4">
                <w:rPr>
                  <w:noProof/>
                </w:rPr>
                <w:br/>
                <w:t>[Accessed July 2017].</w:t>
              </w:r>
            </w:p>
            <w:p w14:paraId="276FA64F"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SOLLICITATION DE MANIFESTATIONS D’INTERET: Sélection d’un Administrateur Indépendant chargé d’élaborer le rapport ITIE 2014 du Sénégal. </w:t>
              </w:r>
              <w:r w:rsidRPr="002815F4">
                <w:rPr>
                  <w:noProof/>
                </w:rPr>
                <w:t xml:space="preserve">[Online] </w:t>
              </w:r>
              <w:r w:rsidRPr="002815F4">
                <w:rPr>
                  <w:noProof/>
                </w:rPr>
                <w:br/>
                <w:t xml:space="preserve">Available at: </w:t>
              </w:r>
              <w:r w:rsidRPr="002815F4">
                <w:rPr>
                  <w:noProof/>
                  <w:u w:val="single"/>
                </w:rPr>
                <w:t>http://itie.sn/sollicitation-de-manifestations-dinteret-selection-dun-administrateur-independant-charge-delaborer-le-rapport-itie-2014-du-senegal-4/</w:t>
              </w:r>
              <w:r w:rsidRPr="002815F4">
                <w:rPr>
                  <w:noProof/>
                </w:rPr>
                <w:br/>
                <w:t>[Accessed July 2017].</w:t>
              </w:r>
            </w:p>
            <w:p w14:paraId="014BF6FA" w14:textId="77777777" w:rsidR="003E626E" w:rsidRPr="002815F4" w:rsidRDefault="003E626E" w:rsidP="003E626E">
              <w:pPr>
                <w:pStyle w:val="Bibliography"/>
                <w:rPr>
                  <w:noProof/>
                </w:rPr>
              </w:pPr>
              <w:r w:rsidRPr="00E2507C">
                <w:rPr>
                  <w:lang w:val="fr-FR"/>
                </w:rPr>
                <w:t xml:space="preserve">ITIE Senegal, 2016. </w:t>
              </w:r>
              <w:r w:rsidRPr="00E2507C">
                <w:rPr>
                  <w:i/>
                  <w:lang w:val="fr-FR"/>
                </w:rPr>
                <w:t xml:space="preserve">Aly Ngouille Ndiaye, Ministre des Mines « Le Gouvernement est intéressé par des mesures pour renforcer les prerogatives de l’ITIE Sénégal «. </w:t>
              </w:r>
              <w:r w:rsidRPr="002815F4">
                <w:rPr>
                  <w:noProof/>
                </w:rPr>
                <w:t xml:space="preserve">[Online] </w:t>
              </w:r>
              <w:r w:rsidRPr="002815F4">
                <w:rPr>
                  <w:noProof/>
                </w:rPr>
                <w:br/>
                <w:t xml:space="preserve">Available at: </w:t>
              </w:r>
              <w:r w:rsidRPr="002815F4">
                <w:rPr>
                  <w:noProof/>
                  <w:u w:val="single"/>
                </w:rPr>
                <w:t>http://itie.sn/aly-ngouille-ndiaye-ministre-des-mines-le-gouvernement-est-interesse-par-des-mesures-pour-renforcer-les-prerogatives-de-litie-senegal/</w:t>
              </w:r>
              <w:r w:rsidRPr="002815F4">
                <w:rPr>
                  <w:noProof/>
                </w:rPr>
                <w:br/>
                <w:t>[Accessed July 2017].</w:t>
              </w:r>
            </w:p>
            <w:p w14:paraId="5A4E72DE"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SOLLICITATION DE MANIFESTATIONS D’INTERET: Sélection d’un Administrateur Indépendant chargé d’élaborer le rapport ITIE 2014 du Sénégal. </w:t>
              </w:r>
              <w:r w:rsidRPr="002815F4">
                <w:rPr>
                  <w:noProof/>
                </w:rPr>
                <w:t xml:space="preserve">[Online] </w:t>
              </w:r>
              <w:r w:rsidRPr="002815F4">
                <w:rPr>
                  <w:noProof/>
                </w:rPr>
                <w:br/>
                <w:t xml:space="preserve">Available at: </w:t>
              </w:r>
              <w:r w:rsidRPr="002815F4">
                <w:rPr>
                  <w:noProof/>
                  <w:u w:val="single"/>
                </w:rPr>
                <w:t>http://itie.sn/sollicitation-de-manifestations-dinteret-selection-dun-administrateur-independant-charge-delaborer-le-rapport-itie-2014-du-senegal-5/</w:t>
              </w:r>
              <w:r w:rsidRPr="002815F4">
                <w:rPr>
                  <w:noProof/>
                </w:rPr>
                <w:br/>
                <w:t>[Accessed July 2017].</w:t>
              </w:r>
            </w:p>
            <w:p w14:paraId="0E998246" w14:textId="77777777" w:rsidR="003E626E" w:rsidRPr="002815F4" w:rsidRDefault="003E626E" w:rsidP="003E626E">
              <w:pPr>
                <w:pStyle w:val="Bibliography"/>
                <w:rPr>
                  <w:noProof/>
                </w:rPr>
              </w:pPr>
              <w:r w:rsidRPr="00863985">
                <w:rPr>
                  <w:lang w:val="fr-FR"/>
                </w:rPr>
                <w:t xml:space="preserve">ITIE Senegal, 2015. </w:t>
              </w:r>
              <w:r w:rsidRPr="00863985">
                <w:rPr>
                  <w:i/>
                  <w:lang w:val="fr-FR"/>
                </w:rPr>
                <w:t xml:space="preserve">Exclusif : Nouveau decret fixant le taux et les modalités de répartition du fonds de péréquation et d’appui aux collectivités locales. </w:t>
              </w:r>
              <w:r w:rsidRPr="002815F4">
                <w:rPr>
                  <w:noProof/>
                </w:rPr>
                <w:t xml:space="preserve">[Online] </w:t>
              </w:r>
              <w:r w:rsidRPr="002815F4">
                <w:rPr>
                  <w:noProof/>
                </w:rPr>
                <w:br/>
                <w:t xml:space="preserve">Available at: </w:t>
              </w:r>
              <w:r w:rsidRPr="002815F4">
                <w:rPr>
                  <w:noProof/>
                  <w:u w:val="single"/>
                </w:rPr>
                <w:t>http://itie.sn/exclusif-nouveau-decret-fixant-le-taux-et-les-modalites-de-repartition-du-fonds-de-perequation-et-dappui-aux-collectivites-locales/</w:t>
              </w:r>
              <w:r w:rsidRPr="002815F4">
                <w:rPr>
                  <w:noProof/>
                </w:rPr>
                <w:br/>
                <w:t>[Accessed July 2017].</w:t>
              </w:r>
            </w:p>
            <w:p w14:paraId="32276B48" w14:textId="77777777" w:rsidR="003E626E" w:rsidRPr="002815F4" w:rsidRDefault="003E626E" w:rsidP="003E626E">
              <w:pPr>
                <w:pStyle w:val="Bibliography"/>
                <w:rPr>
                  <w:noProof/>
                </w:rPr>
              </w:pPr>
              <w:r w:rsidRPr="00863985">
                <w:rPr>
                  <w:lang w:val="fr-FR"/>
                </w:rPr>
                <w:t xml:space="preserve">ITIE Senegal, 2015. </w:t>
              </w:r>
              <w:r w:rsidRPr="00863985">
                <w:rPr>
                  <w:i/>
                  <w:lang w:val="fr-FR"/>
                </w:rPr>
                <w:t xml:space="preserve">Le Comité national présente le Rapport ITIE aux populations de Rufisque, Thies et Kédougou. </w:t>
              </w:r>
              <w:r w:rsidRPr="002815F4">
                <w:rPr>
                  <w:noProof/>
                </w:rPr>
                <w:t xml:space="preserve">[Online] </w:t>
              </w:r>
              <w:r w:rsidRPr="002815F4">
                <w:rPr>
                  <w:noProof/>
                </w:rPr>
                <w:br/>
                <w:t xml:space="preserve">Available at: </w:t>
              </w:r>
              <w:r w:rsidRPr="002815F4">
                <w:rPr>
                  <w:noProof/>
                  <w:u w:val="single"/>
                </w:rPr>
                <w:t>http://itie.sn/le-comite-national-presente-le-rapport-itie-aux-populations-de-rufisque-thies-et-kedougou/</w:t>
              </w:r>
              <w:r w:rsidRPr="002815F4">
                <w:rPr>
                  <w:noProof/>
                </w:rPr>
                <w:br/>
                <w:t>[Accessed July 2017].</w:t>
              </w:r>
            </w:p>
            <w:p w14:paraId="2D4B774F" w14:textId="77777777" w:rsidR="003E626E" w:rsidRPr="002815F4" w:rsidRDefault="003E626E" w:rsidP="003E626E">
              <w:pPr>
                <w:pStyle w:val="Bibliography"/>
                <w:rPr>
                  <w:noProof/>
                </w:rPr>
              </w:pPr>
              <w:r w:rsidRPr="00863985">
                <w:rPr>
                  <w:lang w:val="fr-FR"/>
                </w:rPr>
                <w:t xml:space="preserve">SenePlus, 2015. </w:t>
              </w:r>
              <w:r w:rsidRPr="00863985">
                <w:rPr>
                  <w:i/>
                  <w:lang w:val="fr-FR"/>
                </w:rPr>
                <w:t xml:space="preserve">LE FORUM CIVIL DECORTIQUE L’ITIE ET LISTE LES INSUFFISANCES. </w:t>
              </w:r>
              <w:r w:rsidRPr="002815F4">
                <w:rPr>
                  <w:noProof/>
                </w:rPr>
                <w:t xml:space="preserve">[Online] </w:t>
              </w:r>
              <w:r w:rsidRPr="002815F4">
                <w:rPr>
                  <w:noProof/>
                </w:rPr>
                <w:br/>
                <w:t xml:space="preserve">Available at: </w:t>
              </w:r>
              <w:r w:rsidRPr="002815F4">
                <w:rPr>
                  <w:noProof/>
                  <w:u w:val="single"/>
                </w:rPr>
                <w:t>http://www.seneplus.com/economie/le-forum-civil-decortique-litie-et-liste-les-insuffisances</w:t>
              </w:r>
              <w:r w:rsidRPr="002815F4">
                <w:rPr>
                  <w:noProof/>
                </w:rPr>
                <w:br/>
                <w:t>[Accessed July 2017].</w:t>
              </w:r>
            </w:p>
            <w:p w14:paraId="432CD67C" w14:textId="77777777" w:rsidR="003E626E" w:rsidRPr="002815F4" w:rsidRDefault="003E626E" w:rsidP="003E626E">
              <w:pPr>
                <w:pStyle w:val="Bibliography"/>
                <w:rPr>
                  <w:noProof/>
                </w:rPr>
              </w:pPr>
              <w:r w:rsidRPr="00863985">
                <w:rPr>
                  <w:lang w:val="fr-FR"/>
                </w:rPr>
                <w:t xml:space="preserve">ITIE Senegal, 2015. </w:t>
              </w:r>
              <w:r w:rsidRPr="00863985">
                <w:rPr>
                  <w:i/>
                  <w:lang w:val="fr-FR"/>
                </w:rPr>
                <w:t xml:space="preserve">SOLLICITATION DE MANIFESTATIONS D’INTERET: Sélection d’un Gestionnaire de données – Version finale. </w:t>
              </w:r>
              <w:r w:rsidRPr="002815F4">
                <w:rPr>
                  <w:noProof/>
                </w:rPr>
                <w:t xml:space="preserve">[Online] </w:t>
              </w:r>
              <w:r w:rsidRPr="002815F4">
                <w:rPr>
                  <w:noProof/>
                </w:rPr>
                <w:br/>
                <w:t xml:space="preserve">Available at: </w:t>
              </w:r>
              <w:r w:rsidRPr="002815F4">
                <w:rPr>
                  <w:noProof/>
                  <w:u w:val="single"/>
                </w:rPr>
                <w:t>http://itie.sn/2134-2/</w:t>
              </w:r>
              <w:r w:rsidRPr="002815F4">
                <w:rPr>
                  <w:noProof/>
                </w:rPr>
                <w:br/>
                <w:t>[Accessed July 2017].</w:t>
              </w:r>
            </w:p>
            <w:p w14:paraId="2A2D2326" w14:textId="77777777" w:rsidR="003E626E" w:rsidRPr="002815F4" w:rsidRDefault="003E626E" w:rsidP="003E626E">
              <w:pPr>
                <w:pStyle w:val="Bibliography"/>
                <w:rPr>
                  <w:noProof/>
                </w:rPr>
              </w:pPr>
              <w:r w:rsidRPr="00863985">
                <w:rPr>
                  <w:noProof/>
                </w:rPr>
                <w:t xml:space="preserve">ITIE Senegal, 2015. </w:t>
              </w:r>
              <w:r w:rsidRPr="00E2507C">
                <w:rPr>
                  <w:i/>
                  <w:lang w:val="fr-FR"/>
                </w:rPr>
                <w:t xml:space="preserve">Discours du Premier Ministre lors de l’atelier de dissémination du Rapport. </w:t>
              </w:r>
              <w:r w:rsidRPr="002815F4">
                <w:rPr>
                  <w:noProof/>
                </w:rPr>
                <w:t xml:space="preserve">[Online] </w:t>
              </w:r>
              <w:r w:rsidRPr="002815F4">
                <w:rPr>
                  <w:noProof/>
                </w:rPr>
                <w:br/>
                <w:t xml:space="preserve">Available at: </w:t>
              </w:r>
              <w:r w:rsidRPr="002815F4">
                <w:rPr>
                  <w:noProof/>
                  <w:u w:val="single"/>
                </w:rPr>
                <w:t>http://itie.sn/discours-du-premier-ministre-lors-de-latelier-de-dissemination-du-rapport/</w:t>
              </w:r>
              <w:r w:rsidRPr="002815F4">
                <w:rPr>
                  <w:noProof/>
                </w:rPr>
                <w:br/>
                <w:t>[Accessed July 2017].</w:t>
              </w:r>
            </w:p>
            <w:p w14:paraId="20AA22F4" w14:textId="77777777" w:rsidR="003E626E" w:rsidRPr="002815F4" w:rsidRDefault="003E626E" w:rsidP="003E626E">
              <w:pPr>
                <w:pStyle w:val="Bibliography"/>
                <w:rPr>
                  <w:noProof/>
                </w:rPr>
              </w:pPr>
              <w:r w:rsidRPr="00863985">
                <w:rPr>
                  <w:lang w:val="fr-FR"/>
                </w:rPr>
                <w:t xml:space="preserve">RTS, 2015. </w:t>
              </w:r>
              <w:r w:rsidRPr="00863985">
                <w:rPr>
                  <w:i/>
                  <w:lang w:val="fr-FR"/>
                </w:rPr>
                <w:t xml:space="preserve">Publication du Rapport ITIE : Le Président du CN-ITIE, invité de l’émission « Le Point » Regardez. </w:t>
              </w:r>
              <w:r w:rsidRPr="002815F4">
                <w:rPr>
                  <w:noProof/>
                </w:rPr>
                <w:t xml:space="preserve">[Online] </w:t>
              </w:r>
              <w:r w:rsidRPr="002815F4">
                <w:rPr>
                  <w:noProof/>
                </w:rPr>
                <w:br/>
                <w:t xml:space="preserve">Available at: </w:t>
              </w:r>
              <w:r w:rsidRPr="002815F4">
                <w:rPr>
                  <w:noProof/>
                  <w:u w:val="single"/>
                </w:rPr>
                <w:t>http://itie.sn/publication-du-rapport-itie-le-president-du-cn-itie-invite-de-lemission-le-point-regardez/</w:t>
              </w:r>
              <w:r w:rsidRPr="002815F4">
                <w:rPr>
                  <w:noProof/>
                </w:rPr>
                <w:br/>
                <w:t>[Accessed July 2017].</w:t>
              </w:r>
            </w:p>
            <w:p w14:paraId="3A0B9C52" w14:textId="77777777" w:rsidR="003E626E" w:rsidRPr="002815F4" w:rsidRDefault="003E626E" w:rsidP="003E626E">
              <w:pPr>
                <w:pStyle w:val="Bibliography"/>
                <w:rPr>
                  <w:noProof/>
                </w:rPr>
              </w:pPr>
              <w:r w:rsidRPr="00863985">
                <w:rPr>
                  <w:lang w:val="fr-FR"/>
                </w:rPr>
                <w:t xml:space="preserve">ITIE Senegal, 2015. </w:t>
              </w:r>
              <w:r w:rsidRPr="00863985">
                <w:rPr>
                  <w:i/>
                  <w:lang w:val="fr-FR"/>
                </w:rPr>
                <w:t xml:space="preserve">Montants perçus par les Organismes collecteurs en 2013. </w:t>
              </w:r>
              <w:r w:rsidRPr="002815F4">
                <w:rPr>
                  <w:noProof/>
                </w:rPr>
                <w:t xml:space="preserve">[Online] </w:t>
              </w:r>
              <w:r w:rsidRPr="002815F4">
                <w:rPr>
                  <w:noProof/>
                </w:rPr>
                <w:br/>
                <w:t xml:space="preserve">Available at: </w:t>
              </w:r>
              <w:r w:rsidRPr="002815F4">
                <w:rPr>
                  <w:noProof/>
                  <w:u w:val="single"/>
                </w:rPr>
                <w:t>http://itie.sn/montants-percus-par-les-organismes-collecteurs-en-2013/</w:t>
              </w:r>
              <w:r w:rsidRPr="002815F4">
                <w:rPr>
                  <w:noProof/>
                </w:rPr>
                <w:br/>
                <w:t>[Accessed July 2017].</w:t>
              </w:r>
            </w:p>
            <w:p w14:paraId="6A78B9AC" w14:textId="77777777" w:rsidR="003E626E" w:rsidRPr="002815F4" w:rsidRDefault="003E626E" w:rsidP="003E626E">
              <w:pPr>
                <w:pStyle w:val="Bibliography"/>
                <w:rPr>
                  <w:noProof/>
                </w:rPr>
              </w:pPr>
              <w:r w:rsidRPr="00863985">
                <w:rPr>
                  <w:lang w:val="fr-FR"/>
                </w:rPr>
                <w:t xml:space="preserve">ITIE Senegal, 2015. </w:t>
              </w:r>
              <w:r w:rsidRPr="00863985">
                <w:rPr>
                  <w:i/>
                  <w:lang w:val="fr-FR"/>
                </w:rPr>
                <w:t xml:space="preserve">Les contributions des entreprises du secteur extractif en 2013. </w:t>
              </w:r>
              <w:r w:rsidRPr="002815F4">
                <w:rPr>
                  <w:noProof/>
                </w:rPr>
                <w:t xml:space="preserve">[Online] </w:t>
              </w:r>
              <w:r w:rsidRPr="002815F4">
                <w:rPr>
                  <w:noProof/>
                </w:rPr>
                <w:br/>
                <w:t xml:space="preserve">Available at: </w:t>
              </w:r>
              <w:r w:rsidRPr="002815F4">
                <w:rPr>
                  <w:noProof/>
                  <w:u w:val="single"/>
                </w:rPr>
                <w:t>http://itie.sn/les-contributions-des-entreprises-du-secteur-extractif-en-2013/</w:t>
              </w:r>
              <w:r w:rsidRPr="002815F4">
                <w:rPr>
                  <w:noProof/>
                </w:rPr>
                <w:br/>
                <w:t>[Accessed July 2017].</w:t>
              </w:r>
            </w:p>
            <w:p w14:paraId="3477EB0E" w14:textId="77777777" w:rsidR="003E626E" w:rsidRPr="002815F4" w:rsidRDefault="003E626E" w:rsidP="003E626E">
              <w:pPr>
                <w:pStyle w:val="Bibliography"/>
                <w:rPr>
                  <w:noProof/>
                </w:rPr>
              </w:pPr>
              <w:r w:rsidRPr="00863985">
                <w:rPr>
                  <w:lang w:val="fr-FR"/>
                </w:rPr>
                <w:t xml:space="preserve">ITIE Senegal, 2015. </w:t>
              </w:r>
              <w:r w:rsidRPr="00863985">
                <w:rPr>
                  <w:i/>
                  <w:lang w:val="fr-FR"/>
                </w:rPr>
                <w:t xml:space="preserve">Actionnariat de Oromin : L’Etat cède ses parts pour 5 milliards. </w:t>
              </w:r>
              <w:r w:rsidRPr="002815F4">
                <w:rPr>
                  <w:noProof/>
                </w:rPr>
                <w:t xml:space="preserve">[Online] </w:t>
              </w:r>
              <w:r w:rsidRPr="002815F4">
                <w:rPr>
                  <w:noProof/>
                </w:rPr>
                <w:br/>
                <w:t xml:space="preserve">Available at: </w:t>
              </w:r>
              <w:r w:rsidRPr="002815F4">
                <w:rPr>
                  <w:noProof/>
                  <w:u w:val="single"/>
                </w:rPr>
                <w:t>http://itie.sn/actionnariat-de-oromin-letat-cede-ses-parts-pour-5-milliards/</w:t>
              </w:r>
              <w:r w:rsidRPr="002815F4">
                <w:rPr>
                  <w:noProof/>
                </w:rPr>
                <w:br/>
                <w:t>[Accessed July 2017].</w:t>
              </w:r>
            </w:p>
            <w:p w14:paraId="77813D51" w14:textId="77777777" w:rsidR="003E626E" w:rsidRPr="002815F4" w:rsidRDefault="003E626E" w:rsidP="003E626E">
              <w:pPr>
                <w:pStyle w:val="Bibliography"/>
                <w:rPr>
                  <w:noProof/>
                </w:rPr>
              </w:pPr>
              <w:r w:rsidRPr="00863985">
                <w:rPr>
                  <w:lang w:val="fr-FR"/>
                </w:rPr>
                <w:t xml:space="preserve">ITIE Senegal, 2013. </w:t>
              </w:r>
              <w:r w:rsidRPr="00863985">
                <w:rPr>
                  <w:i/>
                  <w:lang w:val="fr-FR"/>
                </w:rPr>
                <w:t xml:space="preserve">Plan d’action ITIE du Sénégal 2013 – 2016. </w:t>
              </w:r>
              <w:r w:rsidRPr="002815F4">
                <w:rPr>
                  <w:noProof/>
                </w:rPr>
                <w:t xml:space="preserve">[Online] </w:t>
              </w:r>
              <w:r w:rsidRPr="002815F4">
                <w:rPr>
                  <w:noProof/>
                </w:rPr>
                <w:br/>
                <w:t xml:space="preserve">Available at: </w:t>
              </w:r>
              <w:r w:rsidRPr="002815F4">
                <w:rPr>
                  <w:noProof/>
                  <w:u w:val="single"/>
                </w:rPr>
                <w:t>http://itie.sn/plan-daction-itie-du-senegal-2013-2016/</w:t>
              </w:r>
              <w:r w:rsidRPr="002815F4">
                <w:rPr>
                  <w:noProof/>
                </w:rPr>
                <w:br/>
                <w:t>[Accessed July 2017].</w:t>
              </w:r>
            </w:p>
            <w:p w14:paraId="341A4656" w14:textId="77777777" w:rsidR="003E626E" w:rsidRPr="002815F4" w:rsidRDefault="003E626E" w:rsidP="003E626E">
              <w:pPr>
                <w:pStyle w:val="Bibliography"/>
                <w:rPr>
                  <w:noProof/>
                </w:rPr>
              </w:pPr>
              <w:r w:rsidRPr="00E2507C">
                <w:rPr>
                  <w:lang w:val="fr-FR"/>
                </w:rPr>
                <w:t xml:space="preserve">ITIE Senegal, 2015. </w:t>
              </w:r>
              <w:r w:rsidRPr="00E2507C">
                <w:rPr>
                  <w:i/>
                  <w:lang w:val="fr-FR"/>
                </w:rPr>
                <w:t xml:space="preserve">Communiqué de Presse du Comité National de l’ITIE Sénégal. </w:t>
              </w:r>
              <w:r w:rsidRPr="002815F4">
                <w:rPr>
                  <w:noProof/>
                </w:rPr>
                <w:t xml:space="preserve">[Online] </w:t>
              </w:r>
              <w:r w:rsidRPr="002815F4">
                <w:rPr>
                  <w:noProof/>
                </w:rPr>
                <w:br/>
                <w:t xml:space="preserve">Available at: </w:t>
              </w:r>
              <w:r w:rsidRPr="002815F4">
                <w:rPr>
                  <w:noProof/>
                  <w:u w:val="single"/>
                </w:rPr>
                <w:t>http://itie.sn/communique-de-presse-du-comite-national-de-litie-senegal/</w:t>
              </w:r>
              <w:r w:rsidRPr="002815F4">
                <w:rPr>
                  <w:noProof/>
                </w:rPr>
                <w:br/>
                <w:t>[Accessed July 2017].</w:t>
              </w:r>
            </w:p>
            <w:p w14:paraId="6F091919" w14:textId="77777777" w:rsidR="003E626E" w:rsidRPr="002815F4" w:rsidRDefault="003E626E" w:rsidP="003E626E">
              <w:pPr>
                <w:pStyle w:val="Bibliography"/>
                <w:rPr>
                  <w:noProof/>
                </w:rPr>
              </w:pPr>
              <w:r w:rsidRPr="00863985">
                <w:rPr>
                  <w:lang w:val="fr-FR"/>
                </w:rPr>
                <w:t xml:space="preserve">ITIE Senegal, 2015. </w:t>
              </w:r>
              <w:r w:rsidRPr="00863985">
                <w:rPr>
                  <w:i/>
                  <w:lang w:val="fr-FR"/>
                </w:rPr>
                <w:t xml:space="preserve">Cheikh Tidiane Toure, Sécretaire permanent ITIE : « Les compagnies qui ne fournissent pas de déclaration peuvent affecter négativement la notation du Sénégal ». </w:t>
              </w:r>
              <w:r w:rsidRPr="002815F4">
                <w:rPr>
                  <w:noProof/>
                </w:rPr>
                <w:t xml:space="preserve">[Online] </w:t>
              </w:r>
              <w:r w:rsidRPr="002815F4">
                <w:rPr>
                  <w:noProof/>
                </w:rPr>
                <w:br/>
                <w:t xml:space="preserve">Available at: </w:t>
              </w:r>
              <w:r w:rsidRPr="002815F4">
                <w:rPr>
                  <w:noProof/>
                  <w:u w:val="single"/>
                </w:rPr>
                <w:t>http://itie.sn/cheikh-tidiane-toure-secretaire-permanent-itie-les-compagnies-qui-ne-fournissent-pas-de-declaration-peuvent-affecter-negativement-la-notation-du-senegal/</w:t>
              </w:r>
              <w:r w:rsidRPr="002815F4">
                <w:rPr>
                  <w:noProof/>
                </w:rPr>
                <w:br/>
                <w:t>[Accessed July 2017].</w:t>
              </w:r>
            </w:p>
            <w:p w14:paraId="4B14B557" w14:textId="77777777" w:rsidR="003E626E" w:rsidRPr="002815F4" w:rsidRDefault="003E626E" w:rsidP="003E626E">
              <w:pPr>
                <w:pStyle w:val="Bibliography"/>
                <w:rPr>
                  <w:noProof/>
                </w:rPr>
              </w:pPr>
              <w:r w:rsidRPr="00863985">
                <w:rPr>
                  <w:lang w:val="fr-FR"/>
                </w:rPr>
                <w:t xml:space="preserve">Dakaractu, 2015. </w:t>
              </w:r>
              <w:r w:rsidRPr="00863985">
                <w:rPr>
                  <w:i/>
                  <w:lang w:val="fr-FR"/>
                </w:rPr>
                <w:t xml:space="preserve">Transparence dans les industries extractives : Vers la mise en place d’un cadre de concertation à Kédougou. </w:t>
              </w:r>
              <w:r w:rsidRPr="002815F4">
                <w:rPr>
                  <w:noProof/>
                </w:rPr>
                <w:t xml:space="preserve">[Online] </w:t>
              </w:r>
              <w:r w:rsidRPr="002815F4">
                <w:rPr>
                  <w:noProof/>
                </w:rPr>
                <w:br/>
                <w:t xml:space="preserve">Available at: </w:t>
              </w:r>
              <w:r w:rsidRPr="002815F4">
                <w:rPr>
                  <w:noProof/>
                  <w:u w:val="single"/>
                </w:rPr>
                <w:t>http://www.dakaractu.com/Transparence-dans-les-industries-extractives-Vers-la-mise-en-place-d-un-cadre-de-concertation-a-Kedougou_a89973.html</w:t>
              </w:r>
              <w:r w:rsidRPr="002815F4">
                <w:rPr>
                  <w:noProof/>
                </w:rPr>
                <w:br/>
                <w:t>[Accessed July 2017].</w:t>
              </w:r>
            </w:p>
            <w:p w14:paraId="747D9BC0" w14:textId="77777777" w:rsidR="003E626E" w:rsidRPr="002815F4" w:rsidRDefault="003E626E" w:rsidP="003E626E">
              <w:pPr>
                <w:pStyle w:val="Bibliography"/>
                <w:rPr>
                  <w:noProof/>
                </w:rPr>
              </w:pPr>
              <w:r w:rsidRPr="00863985">
                <w:rPr>
                  <w:lang w:val="fr-FR"/>
                </w:rPr>
                <w:t xml:space="preserve">APS, 2015. </w:t>
              </w:r>
              <w:r w:rsidRPr="00863985">
                <w:rPr>
                  <w:i/>
                  <w:lang w:val="fr-FR"/>
                </w:rPr>
                <w:t xml:space="preserve">Sénégal: Des acteurs plaident pour "un cadre de concertation participatif et inclusif". </w:t>
              </w:r>
              <w:r w:rsidRPr="002815F4">
                <w:rPr>
                  <w:noProof/>
                </w:rPr>
                <w:t xml:space="preserve">[Online] </w:t>
              </w:r>
              <w:r w:rsidRPr="002815F4">
                <w:rPr>
                  <w:noProof/>
                </w:rPr>
                <w:br/>
                <w:t xml:space="preserve">Available at: </w:t>
              </w:r>
              <w:r w:rsidRPr="002815F4">
                <w:rPr>
                  <w:noProof/>
                  <w:u w:val="single"/>
                </w:rPr>
                <w:t>http://fr.allafrica.com/stories/201505182402.html</w:t>
              </w:r>
              <w:r w:rsidRPr="002815F4">
                <w:rPr>
                  <w:noProof/>
                </w:rPr>
                <w:br/>
                <w:t>[Accessed July 2017].</w:t>
              </w:r>
            </w:p>
            <w:p w14:paraId="11CD0A17" w14:textId="77777777" w:rsidR="003E626E" w:rsidRPr="002815F4" w:rsidRDefault="003E626E" w:rsidP="003E626E">
              <w:pPr>
                <w:pStyle w:val="Bibliography"/>
                <w:rPr>
                  <w:noProof/>
                </w:rPr>
              </w:pPr>
              <w:r w:rsidRPr="00863985">
                <w:rPr>
                  <w:lang w:val="fr-FR"/>
                </w:rPr>
                <w:t xml:space="preserve">ITIE Senegal, 2015. </w:t>
              </w:r>
              <w:r w:rsidRPr="00863985">
                <w:rPr>
                  <w:i/>
                  <w:lang w:val="fr-FR"/>
                </w:rPr>
                <w:t xml:space="preserve">Forum de sensibilisation à Kédougou : Traduire en action concrète l’esprit de l’ITIE. </w:t>
              </w:r>
              <w:r w:rsidRPr="002815F4">
                <w:rPr>
                  <w:noProof/>
                </w:rPr>
                <w:t xml:space="preserve">[Online] </w:t>
              </w:r>
              <w:r w:rsidRPr="002815F4">
                <w:rPr>
                  <w:noProof/>
                </w:rPr>
                <w:br/>
                <w:t xml:space="preserve">Available at: </w:t>
              </w:r>
              <w:r w:rsidRPr="002815F4">
                <w:rPr>
                  <w:noProof/>
                  <w:u w:val="single"/>
                </w:rPr>
                <w:t>http://itie.sn/forum-de-sensibilisation-a-kedougou-traduire-en-action-concrete-lesprit-de-litie/</w:t>
              </w:r>
              <w:r w:rsidRPr="002815F4">
                <w:rPr>
                  <w:noProof/>
                </w:rPr>
                <w:br/>
                <w:t>[Accessed July 2017].</w:t>
              </w:r>
            </w:p>
            <w:p w14:paraId="0208D938" w14:textId="77777777" w:rsidR="003E626E" w:rsidRPr="002815F4" w:rsidRDefault="003E626E" w:rsidP="003E626E">
              <w:pPr>
                <w:pStyle w:val="Bibliography"/>
                <w:rPr>
                  <w:noProof/>
                </w:rPr>
              </w:pPr>
              <w:r w:rsidRPr="00863985">
                <w:rPr>
                  <w:lang w:val="fr-FR"/>
                </w:rPr>
                <w:t xml:space="preserve">Gore Institut, 2015. </w:t>
              </w:r>
              <w:r w:rsidRPr="00863985">
                <w:rPr>
                  <w:i/>
                  <w:lang w:val="fr-FR"/>
                </w:rPr>
                <w:t xml:space="preserve">Une meilleure gestion des ressources naturelles pour éviter les conflits. </w:t>
              </w:r>
              <w:r w:rsidRPr="002815F4">
                <w:rPr>
                  <w:noProof/>
                </w:rPr>
                <w:t xml:space="preserve">[Online] </w:t>
              </w:r>
              <w:r w:rsidRPr="002815F4">
                <w:rPr>
                  <w:noProof/>
                </w:rPr>
                <w:br/>
                <w:t xml:space="preserve">Available at: </w:t>
              </w:r>
              <w:r w:rsidRPr="002815F4">
                <w:rPr>
                  <w:noProof/>
                  <w:u w:val="single"/>
                </w:rPr>
                <w:t>http://itie.sn/une-meilleure-gestion-des-ressources-naturelles-pour-eviter-les-conflits/</w:t>
              </w:r>
              <w:r w:rsidRPr="002815F4">
                <w:rPr>
                  <w:noProof/>
                </w:rPr>
                <w:br/>
                <w:t>[Accessed July 2017].</w:t>
              </w:r>
            </w:p>
            <w:p w14:paraId="2881EA0D" w14:textId="77777777" w:rsidR="003E626E" w:rsidRPr="002815F4" w:rsidRDefault="003E626E" w:rsidP="003E626E">
              <w:pPr>
                <w:pStyle w:val="Bibliography"/>
                <w:rPr>
                  <w:noProof/>
                </w:rPr>
              </w:pPr>
              <w:r w:rsidRPr="00863985">
                <w:rPr>
                  <w:lang w:val="fr-FR"/>
                </w:rPr>
                <w:t xml:space="preserve">ITIE Senegal, 2015. </w:t>
              </w:r>
              <w:r w:rsidRPr="00863985">
                <w:rPr>
                  <w:i/>
                  <w:lang w:val="fr-FR"/>
                </w:rPr>
                <w:t xml:space="preserve">Exploitation minière à Kédougou : Vers la mise en place d’un cadre de concertation. </w:t>
              </w:r>
              <w:r w:rsidRPr="002815F4">
                <w:rPr>
                  <w:noProof/>
                </w:rPr>
                <w:t xml:space="preserve">[Online] </w:t>
              </w:r>
              <w:r w:rsidRPr="002815F4">
                <w:rPr>
                  <w:noProof/>
                </w:rPr>
                <w:br/>
                <w:t xml:space="preserve">Available at: </w:t>
              </w:r>
              <w:r w:rsidRPr="002815F4">
                <w:rPr>
                  <w:noProof/>
                  <w:u w:val="single"/>
                </w:rPr>
                <w:t>http://itie.sn/exploitation-miniere-a-kedougou-vers-la-mise-en-place-dun-cadre-de-concertation/</w:t>
              </w:r>
              <w:r w:rsidRPr="002815F4">
                <w:rPr>
                  <w:noProof/>
                </w:rPr>
                <w:br/>
                <w:t>[Accessed July 2017].</w:t>
              </w:r>
            </w:p>
            <w:p w14:paraId="1AFCAAC0" w14:textId="77777777" w:rsidR="003E626E" w:rsidRPr="002815F4" w:rsidRDefault="003E626E" w:rsidP="003E626E">
              <w:pPr>
                <w:pStyle w:val="Bibliography"/>
                <w:rPr>
                  <w:noProof/>
                </w:rPr>
              </w:pPr>
              <w:r w:rsidRPr="00863985">
                <w:rPr>
                  <w:lang w:val="fr-FR"/>
                </w:rPr>
                <w:t xml:space="preserve">ITIE Senegal, 2015. </w:t>
              </w:r>
              <w:r w:rsidRPr="00863985">
                <w:rPr>
                  <w:i/>
                  <w:lang w:val="fr-FR"/>
                </w:rPr>
                <w:t xml:space="preserve">Le Sénégal publie son premier Rapport ITIE. </w:t>
              </w:r>
              <w:r w:rsidRPr="002815F4">
                <w:rPr>
                  <w:noProof/>
                </w:rPr>
                <w:t xml:space="preserve">[Online] </w:t>
              </w:r>
              <w:r w:rsidRPr="002815F4">
                <w:rPr>
                  <w:noProof/>
                </w:rPr>
                <w:br/>
                <w:t xml:space="preserve">Available at: </w:t>
              </w:r>
              <w:r w:rsidRPr="002815F4">
                <w:rPr>
                  <w:noProof/>
                  <w:u w:val="single"/>
                </w:rPr>
                <w:t>http://itie.sn/le-senegal-publie-son-premier-rapport-itie/</w:t>
              </w:r>
              <w:r w:rsidRPr="002815F4">
                <w:rPr>
                  <w:noProof/>
                </w:rPr>
                <w:br/>
                <w:t>[Accessed July 2017].</w:t>
              </w:r>
            </w:p>
            <w:p w14:paraId="6A2F50CE" w14:textId="77777777" w:rsidR="003E626E" w:rsidRPr="002815F4" w:rsidRDefault="003E626E" w:rsidP="003E626E">
              <w:pPr>
                <w:pStyle w:val="Bibliography"/>
                <w:rPr>
                  <w:noProof/>
                </w:rPr>
              </w:pPr>
              <w:r w:rsidRPr="00863985">
                <w:rPr>
                  <w:lang w:val="fr-FR"/>
                </w:rPr>
                <w:t xml:space="preserve">ITIE Senegal, 2015. </w:t>
              </w:r>
              <w:r w:rsidRPr="00863985">
                <w:rPr>
                  <w:i/>
                  <w:lang w:val="fr-FR"/>
                </w:rPr>
                <w:t xml:space="preserve">Pétrole et mines : Macky Sall veut mettre à jour les législations. </w:t>
              </w:r>
              <w:r w:rsidRPr="002815F4">
                <w:rPr>
                  <w:noProof/>
                </w:rPr>
                <w:t xml:space="preserve">[Online] </w:t>
              </w:r>
              <w:r w:rsidRPr="002815F4">
                <w:rPr>
                  <w:noProof/>
                </w:rPr>
                <w:br/>
                <w:t xml:space="preserve">Available at: </w:t>
              </w:r>
              <w:r w:rsidRPr="002815F4">
                <w:rPr>
                  <w:noProof/>
                  <w:u w:val="single"/>
                </w:rPr>
                <w:t>http://itie.sn/petrole-et-mines-macky-sall-veut-mettre-a-jour-les-legislations/</w:t>
              </w:r>
              <w:r w:rsidRPr="002815F4">
                <w:rPr>
                  <w:noProof/>
                </w:rPr>
                <w:br/>
                <w:t>[Accessed July 2017].</w:t>
              </w:r>
            </w:p>
            <w:p w14:paraId="343BCC7F" w14:textId="77777777" w:rsidR="003E626E" w:rsidRPr="002815F4" w:rsidRDefault="003E626E" w:rsidP="003E626E">
              <w:pPr>
                <w:pStyle w:val="Bibliography"/>
                <w:rPr>
                  <w:noProof/>
                </w:rPr>
              </w:pPr>
              <w:r w:rsidRPr="00863985">
                <w:rPr>
                  <w:lang w:val="fr-FR"/>
                </w:rPr>
                <w:t xml:space="preserve">ITIE Senegal, 2015. </w:t>
              </w:r>
              <w:r w:rsidRPr="00863985">
                <w:rPr>
                  <w:i/>
                  <w:lang w:val="fr-FR"/>
                </w:rPr>
                <w:t xml:space="preserve">Garantir un remplissage efficient des formulaires de collecte des données. </w:t>
              </w:r>
              <w:r w:rsidRPr="002815F4">
                <w:rPr>
                  <w:noProof/>
                </w:rPr>
                <w:t xml:space="preserve">[Online] </w:t>
              </w:r>
              <w:r w:rsidRPr="002815F4">
                <w:rPr>
                  <w:noProof/>
                </w:rPr>
                <w:br/>
                <w:t xml:space="preserve">Available at: </w:t>
              </w:r>
              <w:r w:rsidRPr="002815F4">
                <w:rPr>
                  <w:noProof/>
                  <w:u w:val="single"/>
                </w:rPr>
                <w:t>http://itie.sn/garantir-un-remplissage-efficient-des-formulaires-de-collecte-des-donnees/</w:t>
              </w:r>
              <w:r w:rsidRPr="002815F4">
                <w:rPr>
                  <w:noProof/>
                </w:rPr>
                <w:br/>
                <w:t>[Accessed July 2017].</w:t>
              </w:r>
            </w:p>
            <w:p w14:paraId="7520FFEC" w14:textId="77777777" w:rsidR="003E626E" w:rsidRPr="002815F4" w:rsidRDefault="003E626E" w:rsidP="003E626E">
              <w:pPr>
                <w:pStyle w:val="Bibliography"/>
                <w:rPr>
                  <w:noProof/>
                </w:rPr>
              </w:pPr>
              <w:r w:rsidRPr="00863985">
                <w:rPr>
                  <w:lang w:val="fr-FR"/>
                </w:rPr>
                <w:t xml:space="preserve">ITIE Senegal, 2015. </w:t>
              </w:r>
              <w:r w:rsidRPr="00863985">
                <w:rPr>
                  <w:i/>
                  <w:lang w:val="fr-FR"/>
                </w:rPr>
                <w:t xml:space="preserve">Production du rapport ITIE : Un autre défi pour l’administration sénégalaise. </w:t>
              </w:r>
              <w:r w:rsidRPr="002815F4">
                <w:rPr>
                  <w:noProof/>
                </w:rPr>
                <w:t xml:space="preserve">[Online] </w:t>
              </w:r>
              <w:r w:rsidRPr="002815F4">
                <w:rPr>
                  <w:noProof/>
                </w:rPr>
                <w:br/>
                <w:t xml:space="preserve">Available at: </w:t>
              </w:r>
              <w:r w:rsidRPr="002815F4">
                <w:rPr>
                  <w:noProof/>
                  <w:u w:val="single"/>
                </w:rPr>
                <w:t>http://itie.sn/wp-content/uploads/2015/02/Contribution-du-S%C3%A9cretaire-Permanent-du-Comit%C3%A9-ITIE1.pdf</w:t>
              </w:r>
              <w:r w:rsidRPr="002815F4">
                <w:rPr>
                  <w:noProof/>
                </w:rPr>
                <w:br/>
                <w:t>[Accessed July 2017].</w:t>
              </w:r>
            </w:p>
            <w:p w14:paraId="0E06EE22" w14:textId="77777777" w:rsidR="003E626E" w:rsidRPr="002815F4" w:rsidRDefault="003E626E" w:rsidP="003E626E">
              <w:pPr>
                <w:pStyle w:val="Bibliography"/>
                <w:rPr>
                  <w:noProof/>
                </w:rPr>
              </w:pPr>
              <w:r w:rsidRPr="00863985">
                <w:rPr>
                  <w:lang w:val="fr-FR"/>
                </w:rPr>
                <w:t xml:space="preserve">ITIE Senegal, 2015. </w:t>
              </w:r>
              <w:r w:rsidRPr="00863985">
                <w:rPr>
                  <w:i/>
                  <w:lang w:val="fr-FR"/>
                </w:rPr>
                <w:t xml:space="preserve">Plan de Communication ITIE Senegal. </w:t>
              </w:r>
              <w:r w:rsidRPr="002815F4">
                <w:rPr>
                  <w:noProof/>
                </w:rPr>
                <w:t xml:space="preserve">[Online] </w:t>
              </w:r>
              <w:r w:rsidRPr="002815F4">
                <w:rPr>
                  <w:noProof/>
                </w:rPr>
                <w:br/>
                <w:t xml:space="preserve">Available at: </w:t>
              </w:r>
              <w:r w:rsidRPr="002815F4">
                <w:rPr>
                  <w:noProof/>
                  <w:u w:val="single"/>
                </w:rPr>
                <w:t>http://itie.sn/wp-content/uploads/2015/02/ITIE_Rapport_final_de_la_stratu00E9gie_de_communication_19_1-_15_VF_TN-2.pdf</w:t>
              </w:r>
              <w:r w:rsidRPr="002815F4">
                <w:rPr>
                  <w:noProof/>
                </w:rPr>
                <w:br/>
                <w:t>[Accessed July 2017].</w:t>
              </w:r>
            </w:p>
            <w:p w14:paraId="3AEA4952" w14:textId="77777777" w:rsidR="003E626E" w:rsidRPr="002815F4" w:rsidRDefault="003E626E" w:rsidP="003E626E">
              <w:pPr>
                <w:pStyle w:val="Bibliography"/>
                <w:rPr>
                  <w:noProof/>
                </w:rPr>
              </w:pPr>
              <w:r w:rsidRPr="00863985">
                <w:rPr>
                  <w:lang w:val="fr-FR"/>
                </w:rPr>
                <w:t xml:space="preserve">Le Soleil, 2015. </w:t>
              </w:r>
              <w:r w:rsidRPr="00863985">
                <w:rPr>
                  <w:i/>
                  <w:lang w:val="fr-FR"/>
                </w:rPr>
                <w:t xml:space="preserve">Le Comité national ITIE doté d’un plan de communication. </w:t>
              </w:r>
              <w:r w:rsidRPr="002815F4">
                <w:rPr>
                  <w:noProof/>
                </w:rPr>
                <w:t xml:space="preserve">[Online] </w:t>
              </w:r>
              <w:r w:rsidRPr="002815F4">
                <w:rPr>
                  <w:noProof/>
                </w:rPr>
                <w:br/>
                <w:t xml:space="preserve">Available at: </w:t>
              </w:r>
              <w:r w:rsidRPr="002815F4">
                <w:rPr>
                  <w:noProof/>
                  <w:u w:val="single"/>
                </w:rPr>
                <w:t>http://itie.sn/le-comite-national-itie-dote-dun-plan-de-communication/</w:t>
              </w:r>
              <w:r w:rsidRPr="002815F4">
                <w:rPr>
                  <w:noProof/>
                </w:rPr>
                <w:br/>
                <w:t>[Accessed July 2017].</w:t>
              </w:r>
            </w:p>
            <w:p w14:paraId="490BA6C1" w14:textId="77777777" w:rsidR="003E626E" w:rsidRPr="002815F4" w:rsidRDefault="003E626E" w:rsidP="003E626E">
              <w:pPr>
                <w:pStyle w:val="Bibliography"/>
                <w:rPr>
                  <w:noProof/>
                </w:rPr>
              </w:pPr>
              <w:r w:rsidRPr="00863985">
                <w:rPr>
                  <w:lang w:val="fr-FR"/>
                </w:rPr>
                <w:t xml:space="preserve">Sud Quotidien, 2015. </w:t>
              </w:r>
              <w:r w:rsidRPr="00863985">
                <w:rPr>
                  <w:i/>
                  <w:lang w:val="fr-FR"/>
                </w:rPr>
                <w:t xml:space="preserve">Gouvernance minière au Sénégal : L’ITIE valide son plan de communication. </w:t>
              </w:r>
              <w:r w:rsidRPr="002815F4">
                <w:rPr>
                  <w:noProof/>
                </w:rPr>
                <w:t xml:space="preserve">[Online] </w:t>
              </w:r>
              <w:r w:rsidRPr="002815F4">
                <w:rPr>
                  <w:noProof/>
                </w:rPr>
                <w:br/>
                <w:t xml:space="preserve">Available at: </w:t>
              </w:r>
              <w:r w:rsidRPr="002815F4">
                <w:rPr>
                  <w:noProof/>
                  <w:u w:val="single"/>
                </w:rPr>
                <w:t>http://itie.sn/gouvernance-miniere-au-senegal-litie-valide-son-plan-de-communication/</w:t>
              </w:r>
              <w:r w:rsidRPr="002815F4">
                <w:rPr>
                  <w:noProof/>
                </w:rPr>
                <w:br/>
                <w:t>[Accessed July 2017].</w:t>
              </w:r>
            </w:p>
            <w:p w14:paraId="5F091D64" w14:textId="77777777" w:rsidR="003E626E" w:rsidRPr="002815F4" w:rsidRDefault="003E626E" w:rsidP="003E626E">
              <w:pPr>
                <w:pStyle w:val="Bibliography"/>
                <w:rPr>
                  <w:noProof/>
                </w:rPr>
              </w:pPr>
              <w:r w:rsidRPr="00863985">
                <w:rPr>
                  <w:lang w:val="fr-FR"/>
                </w:rPr>
                <w:t xml:space="preserve">ITIE Senegal, 2014. </w:t>
              </w:r>
              <w:r w:rsidRPr="00863985">
                <w:rPr>
                  <w:i/>
                  <w:lang w:val="fr-FR"/>
                </w:rPr>
                <w:t xml:space="preserve">Compte rendu de la journée de mie à niveau des sociétés minières, pétrolières et gazières sur l’ITIE. </w:t>
              </w:r>
              <w:r w:rsidRPr="002815F4">
                <w:rPr>
                  <w:noProof/>
                </w:rPr>
                <w:t xml:space="preserve">[Online] </w:t>
              </w:r>
              <w:r w:rsidRPr="002815F4">
                <w:rPr>
                  <w:noProof/>
                </w:rPr>
                <w:br/>
                <w:t xml:space="preserve">Available at: </w:t>
              </w:r>
              <w:r w:rsidRPr="002815F4">
                <w:rPr>
                  <w:noProof/>
                  <w:u w:val="single"/>
                </w:rPr>
                <w:t>http://itie.sn/compte-rendu-de-la-journee-de-mie-a-niveau-des-societes-minieres-petrolieres-et-gazieres-sur-litie/</w:t>
              </w:r>
              <w:r w:rsidRPr="002815F4">
                <w:rPr>
                  <w:noProof/>
                </w:rPr>
                <w:br/>
                <w:t>[Accessed July 2017].</w:t>
              </w:r>
            </w:p>
            <w:p w14:paraId="7BB97904" w14:textId="77777777" w:rsidR="003E626E" w:rsidRPr="002815F4" w:rsidRDefault="003E626E" w:rsidP="003E626E">
              <w:pPr>
                <w:pStyle w:val="Bibliography"/>
                <w:rPr>
                  <w:noProof/>
                </w:rPr>
              </w:pPr>
              <w:r w:rsidRPr="00863985">
                <w:rPr>
                  <w:lang w:val="fr-FR"/>
                </w:rPr>
                <w:t xml:space="preserve">ITIE Senegal, 2014. </w:t>
              </w:r>
              <w:r w:rsidRPr="00863985">
                <w:rPr>
                  <w:i/>
                  <w:lang w:val="fr-FR"/>
                </w:rPr>
                <w:t xml:space="preserve">Compte rendu de la réunion de coordination du groupe multipartite. </w:t>
              </w:r>
              <w:r w:rsidRPr="002815F4">
                <w:rPr>
                  <w:noProof/>
                </w:rPr>
                <w:t xml:space="preserve">[Online] </w:t>
              </w:r>
              <w:r w:rsidRPr="002815F4">
                <w:rPr>
                  <w:noProof/>
                </w:rPr>
                <w:br/>
                <w:t xml:space="preserve">Available at: </w:t>
              </w:r>
              <w:r w:rsidRPr="002815F4">
                <w:rPr>
                  <w:noProof/>
                  <w:u w:val="single"/>
                </w:rPr>
                <w:t>http://itie.sn/compte-rendu-de-la-reunion-de-coordination-du-groupe-multipartite/</w:t>
              </w:r>
              <w:r w:rsidRPr="002815F4">
                <w:rPr>
                  <w:noProof/>
                </w:rPr>
                <w:br/>
                <w:t>[Accessed July 2017].</w:t>
              </w:r>
            </w:p>
            <w:p w14:paraId="156479AE" w14:textId="77777777" w:rsidR="003E626E" w:rsidRPr="002815F4" w:rsidRDefault="003E626E" w:rsidP="003E626E">
              <w:pPr>
                <w:pStyle w:val="Bibliography"/>
                <w:rPr>
                  <w:noProof/>
                </w:rPr>
              </w:pPr>
              <w:r w:rsidRPr="00863985">
                <w:rPr>
                  <w:lang w:val="fr-FR"/>
                </w:rPr>
                <w:t xml:space="preserve">ITIE Senegal, 2014. </w:t>
              </w:r>
              <w:r w:rsidRPr="00863985">
                <w:rPr>
                  <w:i/>
                  <w:lang w:val="fr-FR"/>
                </w:rPr>
                <w:t xml:space="preserve">Démarrage du processus d’élaboration du premier rapport ITIE du Sénégal. </w:t>
              </w:r>
              <w:r w:rsidRPr="002815F4">
                <w:rPr>
                  <w:noProof/>
                </w:rPr>
                <w:t xml:space="preserve">[Online] </w:t>
              </w:r>
              <w:r w:rsidRPr="002815F4">
                <w:rPr>
                  <w:noProof/>
                </w:rPr>
                <w:br/>
                <w:t xml:space="preserve">Available at: </w:t>
              </w:r>
              <w:r w:rsidRPr="002815F4">
                <w:rPr>
                  <w:noProof/>
                  <w:u w:val="single"/>
                </w:rPr>
                <w:t>http://itie.sn/demarrage-du-processus-delaboration-du-premier-rapport-itie-du-senegal/</w:t>
              </w:r>
              <w:r w:rsidRPr="002815F4">
                <w:rPr>
                  <w:noProof/>
                </w:rPr>
                <w:br/>
                <w:t>[Accessed July 2017].</w:t>
              </w:r>
            </w:p>
            <w:p w14:paraId="4A9CB8FD" w14:textId="77777777" w:rsidR="003E626E" w:rsidRPr="002815F4" w:rsidRDefault="003E626E" w:rsidP="003E626E">
              <w:pPr>
                <w:pStyle w:val="Bibliography"/>
                <w:rPr>
                  <w:noProof/>
                </w:rPr>
              </w:pPr>
              <w:r w:rsidRPr="00E2507C">
                <w:rPr>
                  <w:lang w:val="fr-FR"/>
                </w:rPr>
                <w:t xml:space="preserve">ITIE Senegal, 2015. </w:t>
              </w:r>
              <w:r w:rsidRPr="00E2507C">
                <w:rPr>
                  <w:i/>
                  <w:lang w:val="fr-FR"/>
                </w:rPr>
                <w:t xml:space="preserve">Les Rapports ITIE 2012 et 2013 du Sénégal bientôt disponibles. </w:t>
              </w:r>
              <w:r w:rsidRPr="002815F4">
                <w:rPr>
                  <w:noProof/>
                </w:rPr>
                <w:t xml:space="preserve">[Online] </w:t>
              </w:r>
              <w:r w:rsidRPr="002815F4">
                <w:rPr>
                  <w:noProof/>
                </w:rPr>
                <w:br/>
                <w:t xml:space="preserve">Available at: </w:t>
              </w:r>
              <w:r w:rsidRPr="002815F4">
                <w:rPr>
                  <w:noProof/>
                  <w:u w:val="single"/>
                </w:rPr>
                <w:t>http://itie.sn/les-rapports-itie-2012-et-2013-du-senegal-bientot-disponibles/</w:t>
              </w:r>
              <w:r w:rsidRPr="002815F4">
                <w:rPr>
                  <w:noProof/>
                </w:rPr>
                <w:br/>
                <w:t>[Accessed July 2017].</w:t>
              </w:r>
            </w:p>
            <w:p w14:paraId="7971A543" w14:textId="77777777" w:rsidR="003E626E" w:rsidRPr="002815F4" w:rsidRDefault="003E626E" w:rsidP="003E626E">
              <w:pPr>
                <w:pStyle w:val="Bibliography"/>
                <w:rPr>
                  <w:noProof/>
                </w:rPr>
              </w:pPr>
              <w:r w:rsidRPr="00863985">
                <w:rPr>
                  <w:lang w:val="fr-FR"/>
                </w:rPr>
                <w:t xml:space="preserve">ITIE Senegal, 2015. </w:t>
              </w:r>
              <w:r w:rsidRPr="00863985">
                <w:rPr>
                  <w:i/>
                  <w:lang w:val="fr-FR"/>
                </w:rPr>
                <w:t xml:space="preserve">La décentralisation, pour garantir l’accès à l’information aux acteurs locaux. </w:t>
              </w:r>
              <w:r w:rsidRPr="002815F4">
                <w:rPr>
                  <w:noProof/>
                </w:rPr>
                <w:t xml:space="preserve">[Online] </w:t>
              </w:r>
              <w:r w:rsidRPr="002815F4">
                <w:rPr>
                  <w:noProof/>
                </w:rPr>
                <w:br/>
                <w:t xml:space="preserve">Available at: </w:t>
              </w:r>
              <w:r w:rsidRPr="002815F4">
                <w:rPr>
                  <w:noProof/>
                  <w:u w:val="single"/>
                </w:rPr>
                <w:t>http://itie.sn/la-decentralisation-pour-garantir-lacces-a-linformation-aux-acteurs-locaux/</w:t>
              </w:r>
              <w:r w:rsidRPr="002815F4">
                <w:rPr>
                  <w:noProof/>
                </w:rPr>
                <w:br/>
                <w:t>[Accessed July 2017].</w:t>
              </w:r>
            </w:p>
            <w:p w14:paraId="17DDF600" w14:textId="77777777" w:rsidR="003E626E" w:rsidRPr="002815F4" w:rsidRDefault="003E626E" w:rsidP="003E626E">
              <w:pPr>
                <w:pStyle w:val="Bibliography"/>
                <w:rPr>
                  <w:noProof/>
                </w:rPr>
              </w:pPr>
              <w:r w:rsidRPr="00E2507C">
                <w:rPr>
                  <w:lang w:val="fr-FR"/>
                </w:rPr>
                <w:t xml:space="preserve">ITIE Senegal, 2015. </w:t>
              </w:r>
              <w:r w:rsidRPr="00E2507C">
                <w:rPr>
                  <w:i/>
                  <w:lang w:val="fr-FR"/>
                </w:rPr>
                <w:t xml:space="preserve">Le Rapport d’activité annuelle 2014 de l’ITIE Sénégal publié. </w:t>
              </w:r>
              <w:r w:rsidRPr="002815F4">
                <w:rPr>
                  <w:noProof/>
                </w:rPr>
                <w:t xml:space="preserve">[Online] </w:t>
              </w:r>
              <w:r w:rsidRPr="002815F4">
                <w:rPr>
                  <w:noProof/>
                </w:rPr>
                <w:br/>
                <w:t xml:space="preserve">Available at: </w:t>
              </w:r>
              <w:r w:rsidRPr="002815F4">
                <w:rPr>
                  <w:noProof/>
                  <w:u w:val="single"/>
                </w:rPr>
                <w:t>http://itie.sn/le-rapport-dactivite-annuelle-2014-de-litie-senegal-publie/</w:t>
              </w:r>
              <w:r w:rsidRPr="002815F4">
                <w:rPr>
                  <w:noProof/>
                </w:rPr>
                <w:br/>
                <w:t>[Accessed July 2017].</w:t>
              </w:r>
            </w:p>
            <w:p w14:paraId="39331ED0" w14:textId="77777777" w:rsidR="003E626E" w:rsidRPr="002815F4" w:rsidRDefault="003E626E" w:rsidP="003E626E">
              <w:pPr>
                <w:pStyle w:val="Bibliography"/>
                <w:rPr>
                  <w:noProof/>
                </w:rPr>
              </w:pPr>
              <w:r w:rsidRPr="00863985">
                <w:rPr>
                  <w:lang w:val="fr-FR"/>
                </w:rPr>
                <w:t xml:space="preserve">Abidjan.net, 2015. </w:t>
              </w:r>
              <w:r w:rsidRPr="00863985">
                <w:rPr>
                  <w:i/>
                  <w:lang w:val="fr-FR"/>
                </w:rPr>
                <w:t xml:space="preserve">Industrie extractive: les parlementaires en formation pour une meilleure gestion des ressources minières. </w:t>
              </w:r>
              <w:r w:rsidRPr="002815F4">
                <w:rPr>
                  <w:noProof/>
                </w:rPr>
                <w:t xml:space="preserve">[Online] </w:t>
              </w:r>
              <w:r w:rsidRPr="002815F4">
                <w:rPr>
                  <w:noProof/>
                </w:rPr>
                <w:br/>
                <w:t xml:space="preserve">Available at: </w:t>
              </w:r>
              <w:r w:rsidRPr="002815F4">
                <w:rPr>
                  <w:noProof/>
                  <w:u w:val="single"/>
                </w:rPr>
                <w:t>http://news.abidjan.net/h/519985.html</w:t>
              </w:r>
              <w:r w:rsidRPr="002815F4">
                <w:rPr>
                  <w:noProof/>
                </w:rPr>
                <w:br/>
                <w:t>[Accessed July 2017].</w:t>
              </w:r>
            </w:p>
            <w:p w14:paraId="7931EFF8" w14:textId="77777777" w:rsidR="003E626E" w:rsidRPr="002815F4" w:rsidRDefault="003E626E" w:rsidP="003E626E">
              <w:pPr>
                <w:pStyle w:val="Bibliography"/>
                <w:rPr>
                  <w:noProof/>
                </w:rPr>
              </w:pPr>
              <w:r w:rsidRPr="00863985">
                <w:rPr>
                  <w:lang w:val="fr-FR"/>
                </w:rPr>
                <w:t xml:space="preserve">ITIE Senegal, 2014. </w:t>
              </w:r>
              <w:r w:rsidRPr="00863985">
                <w:rPr>
                  <w:i/>
                  <w:lang w:val="fr-FR"/>
                </w:rPr>
                <w:t xml:space="preserve">Rapport de l’atelier de mise à niveau des parlementaires sur l’ITIE au Sénégal. </w:t>
              </w:r>
              <w:r w:rsidRPr="002815F4">
                <w:rPr>
                  <w:noProof/>
                </w:rPr>
                <w:t xml:space="preserve">[Online] </w:t>
              </w:r>
              <w:r w:rsidRPr="002815F4">
                <w:rPr>
                  <w:noProof/>
                </w:rPr>
                <w:br/>
                <w:t xml:space="preserve">Available at: </w:t>
              </w:r>
              <w:r w:rsidRPr="002815F4">
                <w:rPr>
                  <w:noProof/>
                  <w:u w:val="single"/>
                </w:rPr>
                <w:t>http://itie.sn/rapport-de-latelier-de-mise-a-niveau-des-parlementaires-sur-litie-au-senegal/</w:t>
              </w:r>
              <w:r w:rsidRPr="002815F4">
                <w:rPr>
                  <w:noProof/>
                </w:rPr>
                <w:br/>
                <w:t>[Accessed July 2017].</w:t>
              </w:r>
            </w:p>
            <w:p w14:paraId="0BCFF834" w14:textId="77777777" w:rsidR="003E626E" w:rsidRPr="002815F4" w:rsidRDefault="003E626E" w:rsidP="003E626E">
              <w:pPr>
                <w:pStyle w:val="Bibliography"/>
                <w:rPr>
                  <w:noProof/>
                </w:rPr>
              </w:pPr>
              <w:r w:rsidRPr="00863985">
                <w:rPr>
                  <w:lang w:val="fr-FR"/>
                </w:rPr>
                <w:t xml:space="preserve">ITIE Senegal, 2013. </w:t>
              </w:r>
              <w:r w:rsidRPr="00863985">
                <w:rPr>
                  <w:i/>
                  <w:lang w:val="fr-FR"/>
                </w:rPr>
                <w:t xml:space="preserve">Réunion du Comité National des parties prenantes à l’Initiative pour la Transparence dans les Industries Extractives au Sénégal (ITIES). </w:t>
              </w:r>
              <w:r w:rsidRPr="002815F4">
                <w:rPr>
                  <w:noProof/>
                </w:rPr>
                <w:t xml:space="preserve">[Online] </w:t>
              </w:r>
              <w:r w:rsidRPr="002815F4">
                <w:rPr>
                  <w:noProof/>
                </w:rPr>
                <w:br/>
                <w:t xml:space="preserve">Available at: </w:t>
              </w:r>
              <w:r w:rsidRPr="002815F4">
                <w:rPr>
                  <w:noProof/>
                  <w:u w:val="single"/>
                </w:rPr>
                <w:t>http://itie.sn/reunion-du-comite-national-des-parties-prenantes-a-linitiative-pour-la-transparence-dans-les-industries-extractives-au-senegal-ities/</w:t>
              </w:r>
              <w:r w:rsidRPr="002815F4">
                <w:rPr>
                  <w:noProof/>
                </w:rPr>
                <w:br/>
                <w:t>[Accessed July 2017].</w:t>
              </w:r>
            </w:p>
            <w:p w14:paraId="4471A726" w14:textId="77777777" w:rsidR="003E626E" w:rsidRPr="002815F4" w:rsidRDefault="003E626E" w:rsidP="003E626E">
              <w:pPr>
                <w:pStyle w:val="Bibliography"/>
                <w:rPr>
                  <w:noProof/>
                </w:rPr>
              </w:pPr>
              <w:r w:rsidRPr="00863985">
                <w:rPr>
                  <w:lang w:val="fr-FR"/>
                </w:rPr>
                <w:t xml:space="preserve">ITIE Senegal, 2014. </w:t>
              </w:r>
              <w:r w:rsidRPr="00863985">
                <w:rPr>
                  <w:i/>
                  <w:lang w:val="fr-FR"/>
                </w:rPr>
                <w:t xml:space="preserve">Les coordonnateurs nationaux de l’ITIE d’Afrique francophone en conclave à Dakar. </w:t>
              </w:r>
              <w:r w:rsidRPr="002815F4">
                <w:rPr>
                  <w:noProof/>
                </w:rPr>
                <w:t xml:space="preserve">[Online] </w:t>
              </w:r>
              <w:r w:rsidRPr="002815F4">
                <w:rPr>
                  <w:noProof/>
                </w:rPr>
                <w:br/>
                <w:t xml:space="preserve">Available at: </w:t>
              </w:r>
              <w:r w:rsidRPr="002815F4">
                <w:rPr>
                  <w:noProof/>
                  <w:u w:val="single"/>
                </w:rPr>
                <w:t>http://itie.sn/les-coordonnateurs-nationaux-de-litie-dafrique-francophone-en-conclave-a-dakar/</w:t>
              </w:r>
              <w:r w:rsidRPr="002815F4">
                <w:rPr>
                  <w:noProof/>
                </w:rPr>
                <w:br/>
                <w:t>[Accessed July 2017].</w:t>
              </w:r>
            </w:p>
            <w:p w14:paraId="572648DA" w14:textId="77777777" w:rsidR="003E626E" w:rsidRPr="002815F4" w:rsidRDefault="003E626E" w:rsidP="003E626E">
              <w:pPr>
                <w:pStyle w:val="Bibliography"/>
                <w:rPr>
                  <w:noProof/>
                </w:rPr>
              </w:pPr>
              <w:r w:rsidRPr="00E2507C">
                <w:rPr>
                  <w:lang w:val="fr-FR"/>
                </w:rPr>
                <w:t xml:space="preserve">Le Soleil, 2014. </w:t>
              </w:r>
              <w:r w:rsidRPr="00E2507C">
                <w:rPr>
                  <w:i/>
                  <w:lang w:val="fr-FR"/>
                </w:rPr>
                <w:t xml:space="preserve">Découverte d’un gisement au Sénégal: Il faut éviter la malédiction du pétrole. </w:t>
              </w:r>
              <w:r w:rsidRPr="002815F4">
                <w:rPr>
                  <w:noProof/>
                </w:rPr>
                <w:t xml:space="preserve">[Online] </w:t>
              </w:r>
              <w:r w:rsidRPr="002815F4">
                <w:rPr>
                  <w:noProof/>
                </w:rPr>
                <w:br/>
                <w:t xml:space="preserve">Available at: </w:t>
              </w:r>
              <w:r w:rsidRPr="002815F4">
                <w:rPr>
                  <w:noProof/>
                  <w:u w:val="single"/>
                </w:rPr>
                <w:t>http://itie.sn/decouverte-dun-gisement-au-senegal-il-faut-eviter-la-malediction-du-petrole/</w:t>
              </w:r>
              <w:r w:rsidRPr="002815F4">
                <w:rPr>
                  <w:noProof/>
                </w:rPr>
                <w:br/>
                <w:t>[Accessed July 2017].</w:t>
              </w:r>
            </w:p>
            <w:p w14:paraId="72C5AA2F" w14:textId="77777777" w:rsidR="003E626E" w:rsidRPr="002815F4" w:rsidRDefault="003E626E" w:rsidP="003E626E">
              <w:pPr>
                <w:pStyle w:val="Bibliography"/>
                <w:rPr>
                  <w:noProof/>
                </w:rPr>
              </w:pPr>
              <w:r w:rsidRPr="00863985">
                <w:rPr>
                  <w:lang w:val="fr-FR"/>
                </w:rPr>
                <w:t xml:space="preserve">ITIE Senegal, 2014. </w:t>
              </w:r>
              <w:r w:rsidRPr="00863985">
                <w:rPr>
                  <w:i/>
                  <w:lang w:val="fr-FR"/>
                </w:rPr>
                <w:t xml:space="preserve">La production du rapport ITIE : Un autre défi pour l’administration sénégalaise. </w:t>
              </w:r>
              <w:r w:rsidRPr="002815F4">
                <w:rPr>
                  <w:noProof/>
                </w:rPr>
                <w:t xml:space="preserve">[Online] </w:t>
              </w:r>
              <w:r w:rsidRPr="002815F4">
                <w:rPr>
                  <w:noProof/>
                </w:rPr>
                <w:br/>
                <w:t xml:space="preserve">Available at: </w:t>
              </w:r>
              <w:r w:rsidRPr="002815F4">
                <w:rPr>
                  <w:noProof/>
                  <w:u w:val="single"/>
                </w:rPr>
                <w:t>http://itie.sn/la-production-du-rapport-itie-un-autre-defi-pour-ladministration-senegalaise-2/</w:t>
              </w:r>
              <w:r w:rsidRPr="002815F4">
                <w:rPr>
                  <w:noProof/>
                </w:rPr>
                <w:br/>
                <w:t>[Accessed July 2017].</w:t>
              </w:r>
            </w:p>
            <w:p w14:paraId="241EC8DC" w14:textId="77777777" w:rsidR="003E626E" w:rsidRPr="002815F4" w:rsidRDefault="003E626E" w:rsidP="003E626E">
              <w:pPr>
                <w:pStyle w:val="Bibliography"/>
                <w:rPr>
                  <w:noProof/>
                </w:rPr>
              </w:pPr>
              <w:r w:rsidRPr="00863985">
                <w:rPr>
                  <w:lang w:val="fr-FR"/>
                </w:rPr>
                <w:t xml:space="preserve">ITIE Senegal, 2014. </w:t>
              </w:r>
              <w:r w:rsidRPr="00863985">
                <w:rPr>
                  <w:i/>
                  <w:lang w:val="fr-FR"/>
                </w:rPr>
                <w:t xml:space="preserve">Transparence dans les Industries Extractives à Kédougou. </w:t>
              </w:r>
              <w:r w:rsidRPr="002815F4">
                <w:rPr>
                  <w:noProof/>
                </w:rPr>
                <w:t xml:space="preserve">[Online] </w:t>
              </w:r>
              <w:r w:rsidRPr="002815F4">
                <w:rPr>
                  <w:noProof/>
                </w:rPr>
                <w:br/>
                <w:t xml:space="preserve">Available at: </w:t>
              </w:r>
              <w:r w:rsidRPr="002815F4">
                <w:rPr>
                  <w:noProof/>
                  <w:u w:val="single"/>
                </w:rPr>
                <w:t>http://itie.sn/transparence-dans-les-industries-extractives-a-kedougou/</w:t>
              </w:r>
              <w:r w:rsidRPr="002815F4">
                <w:rPr>
                  <w:noProof/>
                </w:rPr>
                <w:br/>
                <w:t>[Accessed July 2017].</w:t>
              </w:r>
            </w:p>
            <w:p w14:paraId="4C0C5618" w14:textId="77777777" w:rsidR="003E626E" w:rsidRPr="002815F4" w:rsidRDefault="003E626E" w:rsidP="003E626E">
              <w:pPr>
                <w:pStyle w:val="Bibliography"/>
                <w:rPr>
                  <w:noProof/>
                </w:rPr>
              </w:pPr>
              <w:r w:rsidRPr="00863985">
                <w:rPr>
                  <w:lang w:val="fr-FR"/>
                </w:rPr>
                <w:t xml:space="preserve">Teranga Gold, 2014. </w:t>
              </w:r>
              <w:r w:rsidRPr="00863985">
                <w:rPr>
                  <w:i/>
                  <w:lang w:val="fr-FR"/>
                </w:rPr>
                <w:t xml:space="preserve">Partage d’expérience : Processus de collecte des données ITIE au sein de Teranga Gold. </w:t>
              </w:r>
              <w:r w:rsidRPr="002815F4">
                <w:rPr>
                  <w:noProof/>
                </w:rPr>
                <w:t xml:space="preserve">[Online] </w:t>
              </w:r>
              <w:r w:rsidRPr="002815F4">
                <w:rPr>
                  <w:noProof/>
                </w:rPr>
                <w:br/>
                <w:t xml:space="preserve">Available at: </w:t>
              </w:r>
              <w:r w:rsidRPr="002815F4">
                <w:rPr>
                  <w:noProof/>
                  <w:u w:val="single"/>
                </w:rPr>
                <w:t>http://itie.sn/partage-dexperience-processus-de-collecte-des-donnees-itie-au-sein-de-teranga-gold/</w:t>
              </w:r>
              <w:r w:rsidRPr="002815F4">
                <w:rPr>
                  <w:noProof/>
                </w:rPr>
                <w:br/>
                <w:t>[Accessed July 2017].</w:t>
              </w:r>
            </w:p>
            <w:p w14:paraId="104FBD13" w14:textId="77777777" w:rsidR="003E626E" w:rsidRPr="002815F4" w:rsidRDefault="003E626E" w:rsidP="003E626E">
              <w:pPr>
                <w:pStyle w:val="Bibliography"/>
                <w:rPr>
                  <w:noProof/>
                </w:rPr>
              </w:pPr>
              <w:r w:rsidRPr="00E2507C">
                <w:rPr>
                  <w:lang w:val="fr-FR"/>
                </w:rPr>
                <w:t xml:space="preserve">Le Quotidien, 2014. </w:t>
              </w:r>
              <w:r w:rsidRPr="00E2507C">
                <w:rPr>
                  <w:i/>
                  <w:lang w:val="fr-FR"/>
                </w:rPr>
                <w:t xml:space="preserve">Mise en œuvre de l’Itie : Le comité national se met à niveau. </w:t>
              </w:r>
              <w:r w:rsidRPr="002815F4">
                <w:rPr>
                  <w:noProof/>
                </w:rPr>
                <w:t xml:space="preserve">[Online] </w:t>
              </w:r>
              <w:r w:rsidRPr="002815F4">
                <w:rPr>
                  <w:noProof/>
                </w:rPr>
                <w:br/>
                <w:t xml:space="preserve">Available at: </w:t>
              </w:r>
              <w:r w:rsidRPr="002815F4">
                <w:rPr>
                  <w:noProof/>
                  <w:u w:val="single"/>
                </w:rPr>
                <w:t>http://itie.sn/mise-en-oeuvre-de-litie-le-comite-national-se-met-a-niveau/</w:t>
              </w:r>
              <w:r w:rsidRPr="002815F4">
                <w:rPr>
                  <w:noProof/>
                </w:rPr>
                <w:br/>
                <w:t>[Accessed July 2017].</w:t>
              </w:r>
            </w:p>
            <w:p w14:paraId="5E153A06" w14:textId="77777777" w:rsidR="003E626E" w:rsidRPr="002815F4" w:rsidRDefault="003E626E" w:rsidP="003E626E">
              <w:pPr>
                <w:pStyle w:val="Bibliography"/>
                <w:rPr>
                  <w:noProof/>
                </w:rPr>
              </w:pPr>
              <w:r w:rsidRPr="002815F4">
                <w:rPr>
                  <w:noProof/>
                </w:rPr>
                <w:t xml:space="preserve">Republic of Senegal, 2017. </w:t>
              </w:r>
              <w:r w:rsidRPr="002815F4">
                <w:rPr>
                  <w:i/>
                  <w:iCs/>
                  <w:noProof/>
                </w:rPr>
                <w:t xml:space="preserve">2017 Eurobond Prospectus. </w:t>
              </w:r>
              <w:r w:rsidRPr="002815F4">
                <w:rPr>
                  <w:noProof/>
                </w:rPr>
                <w:t xml:space="preserve">[Online] </w:t>
              </w:r>
              <w:r w:rsidRPr="002815F4">
                <w:rPr>
                  <w:noProof/>
                </w:rPr>
                <w:br/>
                <w:t xml:space="preserve">Available at: </w:t>
              </w:r>
              <w:r w:rsidRPr="002815F4">
                <w:rPr>
                  <w:noProof/>
                  <w:u w:val="single"/>
                </w:rPr>
                <w:t>http://ise.ie/debt_documents/Final%20Prospectus_df8fa04a-3e08-4b19-b380-a12f441623d0.PDF</w:t>
              </w:r>
              <w:r w:rsidRPr="002815F4">
                <w:rPr>
                  <w:noProof/>
                </w:rPr>
                <w:br/>
                <w:t>[Accessed July 2017].</w:t>
              </w:r>
            </w:p>
            <w:p w14:paraId="6F5FD3E4" w14:textId="77777777" w:rsidR="003E626E" w:rsidRPr="002815F4" w:rsidRDefault="003E626E" w:rsidP="003E626E">
              <w:pPr>
                <w:pStyle w:val="Bibliography"/>
                <w:rPr>
                  <w:noProof/>
                </w:rPr>
              </w:pPr>
              <w:r w:rsidRPr="002815F4">
                <w:rPr>
                  <w:noProof/>
                </w:rPr>
                <w:t xml:space="preserve">Republic of Senegal, 2014. </w:t>
              </w:r>
              <w:r w:rsidRPr="002815F4">
                <w:rPr>
                  <w:i/>
                  <w:iCs/>
                  <w:noProof/>
                </w:rPr>
                <w:t xml:space="preserve">2014 Eurobond prospectus. </w:t>
              </w:r>
              <w:r w:rsidRPr="002815F4">
                <w:rPr>
                  <w:noProof/>
                </w:rPr>
                <w:t xml:space="preserve">[Online] </w:t>
              </w:r>
              <w:r w:rsidRPr="002815F4">
                <w:rPr>
                  <w:noProof/>
                </w:rPr>
                <w:br/>
                <w:t xml:space="preserve">Available at: </w:t>
              </w:r>
              <w:r w:rsidRPr="002815F4">
                <w:rPr>
                  <w:noProof/>
                  <w:u w:val="single"/>
                </w:rPr>
                <w:t>http://www.ise.ie/debt_documents/Prospectus%20-%20Standalone_db79a2a0-aaa7-43fa-abae-b06fe5526d44.PDF</w:t>
              </w:r>
              <w:r w:rsidRPr="002815F4">
                <w:rPr>
                  <w:noProof/>
                </w:rPr>
                <w:br/>
                <w:t>[Accessed July 2017].</w:t>
              </w:r>
            </w:p>
            <w:p w14:paraId="4A50B841" w14:textId="77777777" w:rsidR="003E626E" w:rsidRPr="002815F4" w:rsidRDefault="003E626E" w:rsidP="003E626E">
              <w:pPr>
                <w:pStyle w:val="Bibliography"/>
                <w:rPr>
                  <w:noProof/>
                </w:rPr>
              </w:pPr>
              <w:r w:rsidRPr="002815F4">
                <w:rPr>
                  <w:noProof/>
                </w:rPr>
                <w:t xml:space="preserve">Lazard Asset Management , 2017. </w:t>
              </w:r>
              <w:r w:rsidRPr="002815F4">
                <w:rPr>
                  <w:i/>
                  <w:iCs/>
                  <w:noProof/>
                </w:rPr>
                <w:t xml:space="preserve">Senegal country note. </w:t>
              </w:r>
              <w:r w:rsidRPr="002815F4">
                <w:rPr>
                  <w:noProof/>
                </w:rPr>
                <w:t xml:space="preserve">[Online] </w:t>
              </w:r>
              <w:r w:rsidRPr="002815F4">
                <w:rPr>
                  <w:noProof/>
                </w:rPr>
                <w:br/>
                <w:t xml:space="preserve">Available at: </w:t>
              </w:r>
              <w:r w:rsidRPr="002815F4">
                <w:rPr>
                  <w:noProof/>
                  <w:u w:val="single"/>
                </w:rPr>
                <w:t>http://www.lazardassetmanagement.co.uk/institutional-investor/docs/sp0/9720/EmergingMarketsSovereign-Senegal_en.pdf?pagename=Emerging+Markets+Sovereign+Outlook</w:t>
              </w:r>
              <w:r w:rsidRPr="002815F4">
                <w:rPr>
                  <w:noProof/>
                </w:rPr>
                <w:br/>
                <w:t>[Accessed July 2017].</w:t>
              </w:r>
            </w:p>
            <w:p w14:paraId="15B97B25" w14:textId="77777777" w:rsidR="003E626E" w:rsidRPr="002815F4" w:rsidRDefault="003E626E" w:rsidP="003E626E">
              <w:pPr>
                <w:pStyle w:val="Bibliography"/>
                <w:rPr>
                  <w:noProof/>
                </w:rPr>
              </w:pPr>
              <w:r w:rsidRPr="002815F4">
                <w:rPr>
                  <w:noProof/>
                </w:rPr>
                <w:t xml:space="preserve">Financial Times, 2016. </w:t>
              </w:r>
              <w:r w:rsidRPr="002815F4">
                <w:rPr>
                  <w:i/>
                  <w:iCs/>
                  <w:noProof/>
                </w:rPr>
                <w:t xml:space="preserve">Cairn Energy boosted by Senegal discovery. </w:t>
              </w:r>
              <w:r w:rsidRPr="002815F4">
                <w:rPr>
                  <w:noProof/>
                </w:rPr>
                <w:t xml:space="preserve">[Online] </w:t>
              </w:r>
              <w:r w:rsidRPr="002815F4">
                <w:rPr>
                  <w:noProof/>
                </w:rPr>
                <w:br/>
                <w:t xml:space="preserve">Available at: </w:t>
              </w:r>
              <w:r w:rsidRPr="002815F4">
                <w:rPr>
                  <w:noProof/>
                  <w:u w:val="single"/>
                </w:rPr>
                <w:t>https://www.ft.com/content/729f4f7e-418d-3f78-a38f-15072054bf98</w:t>
              </w:r>
              <w:r w:rsidRPr="002815F4">
                <w:rPr>
                  <w:noProof/>
                </w:rPr>
                <w:br/>
                <w:t>[Accessed July 2017].</w:t>
              </w:r>
            </w:p>
            <w:p w14:paraId="07B5F2A4" w14:textId="77777777" w:rsidR="003E626E" w:rsidRPr="002815F4" w:rsidRDefault="003E626E" w:rsidP="003E626E">
              <w:pPr>
                <w:pStyle w:val="Bibliography"/>
                <w:rPr>
                  <w:noProof/>
                </w:rPr>
              </w:pPr>
              <w:r w:rsidRPr="002815F4">
                <w:rPr>
                  <w:noProof/>
                </w:rPr>
                <w:t xml:space="preserve">Financial Times, 2016. </w:t>
              </w:r>
              <w:r w:rsidRPr="002815F4">
                <w:rPr>
                  <w:i/>
                  <w:iCs/>
                  <w:noProof/>
                </w:rPr>
                <w:t xml:space="preserve">BP to pump almost $1bn into Mauritania-Senegal gas ‘hub’. </w:t>
              </w:r>
              <w:r w:rsidRPr="002815F4">
                <w:rPr>
                  <w:noProof/>
                </w:rPr>
                <w:t xml:space="preserve">[Online] </w:t>
              </w:r>
              <w:r w:rsidRPr="002815F4">
                <w:rPr>
                  <w:noProof/>
                </w:rPr>
                <w:br/>
                <w:t xml:space="preserve">Available at: </w:t>
              </w:r>
              <w:r w:rsidRPr="002815F4">
                <w:rPr>
                  <w:noProof/>
                  <w:u w:val="single"/>
                </w:rPr>
                <w:t>https://www.ft.com/content/7b56d443-d8a5-3d08-8ffa-df3f1a1df013</w:t>
              </w:r>
              <w:r w:rsidRPr="002815F4">
                <w:rPr>
                  <w:noProof/>
                </w:rPr>
                <w:br/>
                <w:t>[Accessed July 2017].</w:t>
              </w:r>
            </w:p>
            <w:p w14:paraId="6A2A39E5" w14:textId="77777777" w:rsidR="003E626E" w:rsidRPr="002815F4" w:rsidRDefault="003E626E" w:rsidP="003E626E">
              <w:pPr>
                <w:pStyle w:val="Bibliography"/>
                <w:rPr>
                  <w:noProof/>
                </w:rPr>
              </w:pPr>
              <w:r w:rsidRPr="002815F4">
                <w:rPr>
                  <w:noProof/>
                </w:rPr>
                <w:t xml:space="preserve">Financial Times, 2016. </w:t>
              </w:r>
              <w:r w:rsidRPr="002815F4">
                <w:rPr>
                  <w:i/>
                  <w:iCs/>
                  <w:noProof/>
                </w:rPr>
                <w:t xml:space="preserve">Oil and gas discoveries fuel Senegalese fears. </w:t>
              </w:r>
              <w:r w:rsidRPr="002815F4">
                <w:rPr>
                  <w:noProof/>
                </w:rPr>
                <w:t xml:space="preserve">[Online] </w:t>
              </w:r>
              <w:r w:rsidRPr="002815F4">
                <w:rPr>
                  <w:noProof/>
                </w:rPr>
                <w:br/>
                <w:t xml:space="preserve">Available at: </w:t>
              </w:r>
              <w:r w:rsidRPr="002815F4">
                <w:rPr>
                  <w:noProof/>
                  <w:u w:val="single"/>
                </w:rPr>
                <w:t>https://www.ft.com/content/065ba414-bbce-11e6-8b45-b8b81dd5d080</w:t>
              </w:r>
              <w:r w:rsidRPr="002815F4">
                <w:rPr>
                  <w:noProof/>
                </w:rPr>
                <w:br/>
                <w:t>[Accessed July 2017].</w:t>
              </w:r>
            </w:p>
            <w:p w14:paraId="70FBE87F" w14:textId="77777777" w:rsidR="003E626E" w:rsidRPr="002815F4" w:rsidRDefault="003E626E" w:rsidP="003E626E">
              <w:pPr>
                <w:pStyle w:val="Bibliography"/>
                <w:rPr>
                  <w:noProof/>
                </w:rPr>
              </w:pPr>
              <w:r w:rsidRPr="002815F4">
                <w:rPr>
                  <w:noProof/>
                </w:rPr>
                <w:t xml:space="preserve">Amnesty International, 2014. </w:t>
              </w:r>
              <w:r w:rsidRPr="002815F4">
                <w:rPr>
                  <w:i/>
                  <w:iCs/>
                  <w:noProof/>
                </w:rPr>
                <w:t xml:space="preserve">MINING AND HUMAN RIGHTS IN SENEGAL ClosIng the gAps In pRoteCtIon. </w:t>
              </w:r>
              <w:r w:rsidRPr="002815F4">
                <w:rPr>
                  <w:noProof/>
                </w:rPr>
                <w:t xml:space="preserve">[Online] </w:t>
              </w:r>
              <w:r w:rsidRPr="002815F4">
                <w:rPr>
                  <w:noProof/>
                </w:rPr>
                <w:br/>
                <w:t xml:space="preserve">Available at: </w:t>
              </w:r>
              <w:r w:rsidRPr="002815F4">
                <w:rPr>
                  <w:noProof/>
                  <w:u w:val="single"/>
                </w:rPr>
                <w:t>file:///Users/alexgordy/Downloads/afr490022014en.pdf</w:t>
              </w:r>
              <w:r w:rsidRPr="002815F4">
                <w:rPr>
                  <w:noProof/>
                </w:rPr>
                <w:br/>
                <w:t>[Accessed July 2017].</w:t>
              </w:r>
            </w:p>
            <w:p w14:paraId="0B1335F8" w14:textId="77777777" w:rsidR="003E626E" w:rsidRPr="002815F4" w:rsidRDefault="003E626E" w:rsidP="003E626E">
              <w:pPr>
                <w:pStyle w:val="Bibliography"/>
                <w:rPr>
                  <w:noProof/>
                </w:rPr>
              </w:pPr>
              <w:r w:rsidRPr="002815F4">
                <w:rPr>
                  <w:noProof/>
                </w:rPr>
                <w:t xml:space="preserve">CIVICUS, 2011. </w:t>
              </w:r>
              <w:r w:rsidRPr="002815F4">
                <w:rPr>
                  <w:i/>
                  <w:iCs/>
                  <w:noProof/>
                </w:rPr>
                <w:t xml:space="preserve">CIVICUS CIVIL SOCIETY INDEX ANALYTICAL COUNTRY REPORT FOR SENEGAL 2011. </w:t>
              </w:r>
              <w:r w:rsidRPr="002815F4">
                <w:rPr>
                  <w:noProof/>
                </w:rPr>
                <w:t xml:space="preserve">[Online] </w:t>
              </w:r>
              <w:r w:rsidRPr="002815F4">
                <w:rPr>
                  <w:noProof/>
                </w:rPr>
                <w:br/>
                <w:t xml:space="preserve">Available at: </w:t>
              </w:r>
              <w:r w:rsidRPr="002815F4">
                <w:rPr>
                  <w:noProof/>
                  <w:u w:val="single"/>
                </w:rPr>
                <w:t>http://www.civicus.org/downloads/CSI/Senegal.pdf</w:t>
              </w:r>
              <w:r w:rsidRPr="002815F4">
                <w:rPr>
                  <w:noProof/>
                </w:rPr>
                <w:br/>
                <w:t>[Accessed July 2017].</w:t>
              </w:r>
            </w:p>
            <w:p w14:paraId="7B0A18DF" w14:textId="77777777" w:rsidR="003E626E" w:rsidRPr="002815F4" w:rsidRDefault="003E626E" w:rsidP="003E626E">
              <w:pPr>
                <w:pStyle w:val="Bibliography"/>
                <w:rPr>
                  <w:noProof/>
                </w:rPr>
              </w:pPr>
              <w:r w:rsidRPr="002815F4">
                <w:rPr>
                  <w:noProof/>
                </w:rPr>
                <w:t xml:space="preserve">Amnesty International, 2016. </w:t>
              </w:r>
              <w:r w:rsidRPr="002815F4">
                <w:rPr>
                  <w:i/>
                  <w:iCs/>
                  <w:noProof/>
                </w:rPr>
                <w:t xml:space="preserve">SENEGAL 2016/2017. </w:t>
              </w:r>
              <w:r w:rsidRPr="002815F4">
                <w:rPr>
                  <w:noProof/>
                </w:rPr>
                <w:t xml:space="preserve">[Online] </w:t>
              </w:r>
              <w:r w:rsidRPr="002815F4">
                <w:rPr>
                  <w:noProof/>
                </w:rPr>
                <w:br/>
                <w:t xml:space="preserve">Available at: </w:t>
              </w:r>
              <w:r w:rsidRPr="002815F4">
                <w:rPr>
                  <w:noProof/>
                  <w:u w:val="single"/>
                </w:rPr>
                <w:t>https://www.amnesty.org/en/countries/africa/senegal/report-senegal/</w:t>
              </w:r>
              <w:r w:rsidRPr="002815F4">
                <w:rPr>
                  <w:noProof/>
                </w:rPr>
                <w:br/>
                <w:t>[Accessed July 2017].</w:t>
              </w:r>
            </w:p>
            <w:p w14:paraId="4D69228A" w14:textId="77777777" w:rsidR="003E626E" w:rsidRPr="002815F4" w:rsidRDefault="003E626E" w:rsidP="003E626E">
              <w:pPr>
                <w:pStyle w:val="Bibliography"/>
                <w:rPr>
                  <w:noProof/>
                </w:rPr>
              </w:pPr>
              <w:r w:rsidRPr="002815F4">
                <w:rPr>
                  <w:noProof/>
                </w:rPr>
                <w:t xml:space="preserve">The International Center for Not-for-Profit Law, 2017. </w:t>
              </w:r>
              <w:r w:rsidRPr="002815F4">
                <w:rPr>
                  <w:i/>
                  <w:iCs/>
                  <w:noProof/>
                </w:rPr>
                <w:t xml:space="preserve">Civic Freedom Monitor: Senegal. </w:t>
              </w:r>
              <w:r w:rsidRPr="002815F4">
                <w:rPr>
                  <w:noProof/>
                </w:rPr>
                <w:t xml:space="preserve">[Online] </w:t>
              </w:r>
              <w:r w:rsidRPr="002815F4">
                <w:rPr>
                  <w:noProof/>
                </w:rPr>
                <w:br/>
                <w:t xml:space="preserve">Available at: </w:t>
              </w:r>
              <w:r w:rsidRPr="002815F4">
                <w:rPr>
                  <w:noProof/>
                  <w:u w:val="single"/>
                </w:rPr>
                <w:t>http://www.icnl.org/research/monitor/Senegal.html</w:t>
              </w:r>
              <w:r w:rsidRPr="002815F4">
                <w:rPr>
                  <w:noProof/>
                </w:rPr>
                <w:br/>
                <w:t>[Accessed July 2017].</w:t>
              </w:r>
            </w:p>
            <w:p w14:paraId="555EE7F7" w14:textId="77777777" w:rsidR="003E626E" w:rsidRPr="002815F4" w:rsidRDefault="003E626E" w:rsidP="003E626E">
              <w:pPr>
                <w:pStyle w:val="Bibliography"/>
                <w:rPr>
                  <w:noProof/>
                </w:rPr>
              </w:pPr>
              <w:r w:rsidRPr="002815F4">
                <w:rPr>
                  <w:noProof/>
                </w:rPr>
                <w:t xml:space="preserve">The International Centre for Not-for-Profit Law, 2012. </w:t>
              </w:r>
              <w:r w:rsidRPr="002815F4">
                <w:rPr>
                  <w:i/>
                  <w:iCs/>
                  <w:noProof/>
                </w:rPr>
                <w:t xml:space="preserve">NGO LAWS IN SUB-SAHARAN AFRICA. </w:t>
              </w:r>
              <w:r w:rsidRPr="002815F4">
                <w:rPr>
                  <w:noProof/>
                </w:rPr>
                <w:t xml:space="preserve">[Online] </w:t>
              </w:r>
              <w:r w:rsidRPr="002815F4">
                <w:rPr>
                  <w:noProof/>
                </w:rPr>
                <w:br/>
                <w:t xml:space="preserve">Available at: </w:t>
              </w:r>
              <w:r w:rsidRPr="002815F4">
                <w:rPr>
                  <w:noProof/>
                  <w:u w:val="single"/>
                </w:rPr>
                <w:t>http://www.icnl.org/research/trends/trends3-3.pdf</w:t>
              </w:r>
              <w:r w:rsidRPr="002815F4">
                <w:rPr>
                  <w:noProof/>
                </w:rPr>
                <w:br/>
                <w:t>[Accessed July 2017].</w:t>
              </w:r>
            </w:p>
            <w:p w14:paraId="34F5D4C9" w14:textId="77777777" w:rsidR="003E626E" w:rsidRPr="002815F4" w:rsidRDefault="003E626E" w:rsidP="003E626E">
              <w:pPr>
                <w:pStyle w:val="Bibliography"/>
                <w:rPr>
                  <w:noProof/>
                </w:rPr>
              </w:pPr>
              <w:r w:rsidRPr="00863985">
                <w:rPr>
                  <w:lang w:val="fr-FR"/>
                </w:rPr>
                <w:t xml:space="preserve">CONGAD, 2010. </w:t>
              </w:r>
              <w:r w:rsidRPr="00863985">
                <w:rPr>
                  <w:i/>
                  <w:lang w:val="fr-FR"/>
                </w:rPr>
                <w:t xml:space="preserve">ANALYSE DU REGIME LEGISLATIF ET REGLEMENTAIRE DES ORGANISATIONS DE LA SOCIETE CIVILE AU SENEGAL. </w:t>
              </w:r>
              <w:r w:rsidRPr="002815F4">
                <w:rPr>
                  <w:noProof/>
                </w:rPr>
                <w:t xml:space="preserve">[Online] </w:t>
              </w:r>
              <w:r w:rsidRPr="002815F4">
                <w:rPr>
                  <w:noProof/>
                </w:rPr>
                <w:br/>
                <w:t xml:space="preserve">Available at: </w:t>
              </w:r>
              <w:r w:rsidRPr="002815F4">
                <w:rPr>
                  <w:noProof/>
                  <w:u w:val="single"/>
                </w:rPr>
                <w:t>http://www.congad.org/cadrejuridique/5RAPPORT%20DE%20L%27ETUDE%20SUR%20LE%20CADRE%20LEGISLATIF%20ET%20REGL5EMENTAIRE%20D%27INSTALLATION%20ET%20D%27INTERVENTION%20DES%20ORGANISATIONS%20DE%20LA%20SOCIETE%20CIVILE%20AU%20SENEGAL.pdf</w:t>
              </w:r>
              <w:r w:rsidRPr="002815F4">
                <w:rPr>
                  <w:noProof/>
                </w:rPr>
                <w:br/>
                <w:t>[Accessed July 2017].</w:t>
              </w:r>
            </w:p>
            <w:p w14:paraId="55F0E5A1" w14:textId="77777777" w:rsidR="003E626E" w:rsidRPr="002815F4" w:rsidRDefault="003E626E" w:rsidP="003E626E">
              <w:pPr>
                <w:pStyle w:val="Bibliography"/>
                <w:rPr>
                  <w:noProof/>
                </w:rPr>
              </w:pPr>
              <w:r w:rsidRPr="00E2507C">
                <w:rPr>
                  <w:lang w:val="fr-FR"/>
                </w:rPr>
                <w:t xml:space="preserve">ITIE Senegal, 2015. </w:t>
              </w:r>
              <w:r w:rsidRPr="00E2507C">
                <w:rPr>
                  <w:i/>
                  <w:lang w:val="fr-FR"/>
                </w:rPr>
                <w:t xml:space="preserve">RAPPORT FORUM COMMUNAUTAIRE DE DISSEMINATION DU PREMIER RAPPORT ITIE DU SENEGAL. </w:t>
              </w:r>
              <w:r w:rsidRPr="002815F4">
                <w:rPr>
                  <w:noProof/>
                </w:rPr>
                <w:t xml:space="preserve">[Online] </w:t>
              </w:r>
              <w:r w:rsidRPr="002815F4">
                <w:rPr>
                  <w:noProof/>
                </w:rPr>
                <w:br/>
                <w:t xml:space="preserve">Available at: </w:t>
              </w:r>
              <w:r w:rsidRPr="002815F4">
                <w:rPr>
                  <w:noProof/>
                  <w:u w:val="single"/>
                </w:rPr>
                <w:t>http://itie.sn/?offshore_dl=2012</w:t>
              </w:r>
              <w:r w:rsidRPr="002815F4">
                <w:rPr>
                  <w:noProof/>
                </w:rPr>
                <w:br/>
                <w:t>[Accessed July 2017].</w:t>
              </w:r>
            </w:p>
            <w:p w14:paraId="15A63DB0" w14:textId="77777777" w:rsidR="003E626E" w:rsidRPr="002815F4" w:rsidRDefault="003E626E" w:rsidP="003E626E">
              <w:pPr>
                <w:pStyle w:val="Bibliography"/>
                <w:rPr>
                  <w:noProof/>
                </w:rPr>
              </w:pPr>
              <w:r w:rsidRPr="00863985">
                <w:rPr>
                  <w:lang w:val="fr-FR"/>
                </w:rPr>
                <w:t xml:space="preserve">ITIE Senegal, 2017. </w:t>
              </w:r>
              <w:r w:rsidRPr="00863985">
                <w:rPr>
                  <w:i/>
                  <w:lang w:val="fr-FR"/>
                </w:rPr>
                <w:t xml:space="preserve">PLAN DE TRAVAIL ANNUEL 2017 COMITE NATIONAL ITIE SENEGAL. </w:t>
              </w:r>
              <w:r w:rsidRPr="002815F4">
                <w:rPr>
                  <w:noProof/>
                </w:rPr>
                <w:t xml:space="preserve">[Online] </w:t>
              </w:r>
              <w:r w:rsidRPr="002815F4">
                <w:rPr>
                  <w:noProof/>
                </w:rPr>
                <w:br/>
                <w:t xml:space="preserve">Available at: </w:t>
              </w:r>
              <w:r w:rsidRPr="002815F4">
                <w:rPr>
                  <w:noProof/>
                  <w:u w:val="single"/>
                </w:rPr>
                <w:t>http://itie.sn/wp-content/uploads/2017/03/Plan-de-travail-annuel-ITIE-2017.pdf</w:t>
              </w:r>
              <w:r w:rsidRPr="002815F4">
                <w:rPr>
                  <w:noProof/>
                </w:rPr>
                <w:br/>
                <w:t>[Accessed July 2017].</w:t>
              </w:r>
            </w:p>
            <w:p w14:paraId="25994781" w14:textId="77777777" w:rsidR="003E626E" w:rsidRPr="002815F4" w:rsidRDefault="003E626E" w:rsidP="003E626E">
              <w:pPr>
                <w:pStyle w:val="Bibliography"/>
                <w:rPr>
                  <w:noProof/>
                </w:rPr>
              </w:pPr>
              <w:r w:rsidRPr="00863985">
                <w:rPr>
                  <w:lang w:val="fr-FR"/>
                </w:rPr>
                <w:t xml:space="preserve">ERAMET, 2016. </w:t>
              </w:r>
              <w:r w:rsidRPr="00863985">
                <w:rPr>
                  <w:i/>
                  <w:lang w:val="fr-FR"/>
                </w:rPr>
                <w:t xml:space="preserve">NOTE D’EXPLICATION RELATIVE AU RAPPORT 2016 SUR LA TRANSPARENCE FINANCIERE DU GROUPE ERAMET. </w:t>
              </w:r>
              <w:r w:rsidRPr="002815F4">
                <w:rPr>
                  <w:noProof/>
                </w:rPr>
                <w:t xml:space="preserve">[Online] </w:t>
              </w:r>
              <w:r w:rsidRPr="002815F4">
                <w:rPr>
                  <w:noProof/>
                </w:rPr>
                <w:br/>
                <w:t xml:space="preserve">Available at: </w:t>
              </w:r>
              <w:r w:rsidRPr="002815F4">
                <w:rPr>
                  <w:noProof/>
                  <w:u w:val="single"/>
                </w:rPr>
                <w:t>http://www.eramet.com/system/files/publications/pdf/transparence_financiere_mai_2016_fr_-_eng.docx_.pdf</w:t>
              </w:r>
              <w:r w:rsidRPr="002815F4">
                <w:rPr>
                  <w:noProof/>
                </w:rPr>
                <w:br/>
                <w:t>[Accessed July 2017].</w:t>
              </w:r>
            </w:p>
            <w:p w14:paraId="0458ED0B"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EXCLUSIF : Voici le Décret portant création et fixant les règles d’organisation et de fonctionnement du COS-PETROGAZ.. </w:t>
              </w:r>
              <w:r w:rsidRPr="002815F4">
                <w:rPr>
                  <w:noProof/>
                </w:rPr>
                <w:t xml:space="preserve">[Online] </w:t>
              </w:r>
              <w:r w:rsidRPr="002815F4">
                <w:rPr>
                  <w:noProof/>
                </w:rPr>
                <w:br/>
                <w:t xml:space="preserve">Available at: </w:t>
              </w:r>
              <w:r w:rsidRPr="002815F4">
                <w:rPr>
                  <w:noProof/>
                  <w:u w:val="single"/>
                </w:rPr>
                <w:t>http://itie.sn/exclusif-voici-le-decret-portant-creation-et-fixant-les-regles-dorganisation-et-de-fonctionnement-du-cos-petrogaz/</w:t>
              </w:r>
              <w:r w:rsidRPr="002815F4">
                <w:rPr>
                  <w:noProof/>
                </w:rPr>
                <w:br/>
                <w:t>[Accessed July 2017].</w:t>
              </w:r>
            </w:p>
            <w:p w14:paraId="628A75EB" w14:textId="77777777" w:rsidR="003E626E" w:rsidRPr="002815F4" w:rsidRDefault="003E626E" w:rsidP="003E626E">
              <w:pPr>
                <w:pStyle w:val="Bibliography"/>
                <w:rPr>
                  <w:noProof/>
                </w:rPr>
              </w:pPr>
              <w:r w:rsidRPr="00E2507C">
                <w:rPr>
                  <w:lang w:val="fr-FR"/>
                </w:rPr>
                <w:t xml:space="preserve">ITIE Senegal, 2013. </w:t>
              </w:r>
              <w:r w:rsidRPr="00E2507C">
                <w:rPr>
                  <w:i/>
                  <w:lang w:val="fr-FR"/>
                </w:rPr>
                <w:t xml:space="preserve">Dossier de candidature du Sénégal à l’ITIE. </w:t>
              </w:r>
              <w:r w:rsidRPr="002815F4">
                <w:rPr>
                  <w:noProof/>
                </w:rPr>
                <w:t xml:space="preserve">[Online] </w:t>
              </w:r>
              <w:r w:rsidRPr="002815F4">
                <w:rPr>
                  <w:noProof/>
                </w:rPr>
                <w:br/>
                <w:t xml:space="preserve">Available at: </w:t>
              </w:r>
              <w:r w:rsidRPr="002815F4">
                <w:rPr>
                  <w:noProof/>
                  <w:u w:val="single"/>
                </w:rPr>
                <w:t>http://itie.sn/?offshore_dl=490</w:t>
              </w:r>
              <w:r w:rsidRPr="002815F4">
                <w:rPr>
                  <w:noProof/>
                </w:rPr>
                <w:br/>
                <w:t>[Accessed July 2017].</w:t>
              </w:r>
            </w:p>
            <w:p w14:paraId="74DA97AD" w14:textId="77777777" w:rsidR="003E626E" w:rsidRPr="002815F4" w:rsidRDefault="003E626E" w:rsidP="003E626E">
              <w:pPr>
                <w:pStyle w:val="Bibliography"/>
                <w:rPr>
                  <w:noProof/>
                </w:rPr>
              </w:pPr>
              <w:r w:rsidRPr="00863985">
                <w:rPr>
                  <w:lang w:val="fr-FR"/>
                </w:rPr>
                <w:t xml:space="preserve">Premier Ministre, 2013. </w:t>
              </w:r>
              <w:r w:rsidRPr="00863985">
                <w:rPr>
                  <w:i/>
                  <w:lang w:val="fr-FR"/>
                </w:rPr>
                <w:t xml:space="preserve">Décret n° 2013-881 du 20 juin 2013 portant creation du CN-ITIE. </w:t>
              </w:r>
              <w:r w:rsidRPr="002815F4">
                <w:rPr>
                  <w:noProof/>
                </w:rPr>
                <w:t xml:space="preserve">[Online] </w:t>
              </w:r>
              <w:r w:rsidRPr="002815F4">
                <w:rPr>
                  <w:noProof/>
                </w:rPr>
                <w:br/>
                <w:t xml:space="preserve">Available at: </w:t>
              </w:r>
              <w:r w:rsidRPr="002815F4">
                <w:rPr>
                  <w:noProof/>
                  <w:u w:val="single"/>
                </w:rPr>
                <w:t>http://itie.sn/?offshore_dl=591</w:t>
              </w:r>
              <w:r w:rsidRPr="002815F4">
                <w:rPr>
                  <w:noProof/>
                </w:rPr>
                <w:br/>
                <w:t>[Accessed July 2017].</w:t>
              </w:r>
            </w:p>
            <w:p w14:paraId="00F9C9DA" w14:textId="77777777" w:rsidR="003E626E" w:rsidRPr="002815F4" w:rsidRDefault="003E626E" w:rsidP="003E626E">
              <w:pPr>
                <w:pStyle w:val="Bibliography"/>
                <w:rPr>
                  <w:noProof/>
                </w:rPr>
              </w:pPr>
              <w:r w:rsidRPr="00E2507C">
                <w:rPr>
                  <w:lang w:val="fr-FR"/>
                </w:rPr>
                <w:t xml:space="preserve">ITIE Senegal, 2016. </w:t>
              </w:r>
              <w:r w:rsidRPr="00E2507C">
                <w:rPr>
                  <w:i/>
                  <w:lang w:val="fr-FR"/>
                </w:rPr>
                <w:t xml:space="preserve">Rapport annuel d’activité du CN-ITIE Sénégal 2015/16. </w:t>
              </w:r>
              <w:r w:rsidRPr="002815F4">
                <w:rPr>
                  <w:noProof/>
                </w:rPr>
                <w:t xml:space="preserve">[Online] </w:t>
              </w:r>
              <w:r w:rsidRPr="002815F4">
                <w:rPr>
                  <w:noProof/>
                </w:rPr>
                <w:br/>
                <w:t xml:space="preserve">Available at: </w:t>
              </w:r>
              <w:r w:rsidRPr="002815F4">
                <w:rPr>
                  <w:noProof/>
                  <w:u w:val="single"/>
                </w:rPr>
                <w:t>https://eiti.org/sites/default/files/documents/rapport_dactivites_annuel_cn-itie_senegal_2015-2016_.pdf</w:t>
              </w:r>
              <w:r w:rsidRPr="002815F4">
                <w:rPr>
                  <w:noProof/>
                </w:rPr>
                <w:br/>
                <w:t>[Accessed July 2017].</w:t>
              </w:r>
            </w:p>
            <w:p w14:paraId="09C1695F" w14:textId="77777777" w:rsidR="003E626E" w:rsidRPr="002815F4" w:rsidRDefault="003E626E" w:rsidP="003E626E">
              <w:pPr>
                <w:pStyle w:val="Bibliography"/>
                <w:rPr>
                  <w:noProof/>
                </w:rPr>
              </w:pPr>
              <w:r w:rsidRPr="00863985">
                <w:rPr>
                  <w:lang w:val="fr-FR"/>
                </w:rPr>
                <w:t xml:space="preserve">ITIE Senegal, 2015. </w:t>
              </w:r>
              <w:r w:rsidRPr="00863985">
                <w:rPr>
                  <w:i/>
                  <w:lang w:val="fr-FR"/>
                </w:rPr>
                <w:t xml:space="preserve">Press Release: Rapport d’activités annuel 2015 de l’ITIE : Un bel élan de collaboration pour l’atteinte des objectifs. </w:t>
              </w:r>
              <w:r w:rsidRPr="002815F4">
                <w:rPr>
                  <w:noProof/>
                </w:rPr>
                <w:t xml:space="preserve">[Online] </w:t>
              </w:r>
              <w:r w:rsidRPr="002815F4">
                <w:rPr>
                  <w:noProof/>
                </w:rPr>
                <w:br/>
                <w:t xml:space="preserve">Available at: </w:t>
              </w:r>
              <w:r w:rsidRPr="002815F4">
                <w:rPr>
                  <w:noProof/>
                  <w:u w:val="single"/>
                </w:rPr>
                <w:t>http://itie.sn/rapport-dactivites-annuel-2015-de-litie-un-bel-elan-de-collaboration-pour-latteinte-des-objectifs/</w:t>
              </w:r>
              <w:r w:rsidRPr="002815F4">
                <w:rPr>
                  <w:noProof/>
                </w:rPr>
                <w:br/>
                <w:t>[Accessed July 2017].</w:t>
              </w:r>
            </w:p>
            <w:p w14:paraId="5BF40554" w14:textId="77777777" w:rsidR="003E626E" w:rsidRPr="002815F4" w:rsidRDefault="003E626E" w:rsidP="003E626E">
              <w:pPr>
                <w:pStyle w:val="Bibliography"/>
                <w:rPr>
                  <w:noProof/>
                </w:rPr>
              </w:pPr>
              <w:r w:rsidRPr="00863985">
                <w:rPr>
                  <w:lang w:val="fr-FR"/>
                </w:rPr>
                <w:t xml:space="preserve">President de la Republique, 2013. </w:t>
              </w:r>
              <w:r w:rsidRPr="00863985">
                <w:rPr>
                  <w:i/>
                  <w:lang w:val="fr-FR"/>
                </w:rPr>
                <w:t xml:space="preserve">Décret 2013-887 portant Nomination du Président du CN-ITIE Sénégal. </w:t>
              </w:r>
              <w:r w:rsidRPr="002815F4">
                <w:rPr>
                  <w:noProof/>
                </w:rPr>
                <w:t xml:space="preserve">[Online] </w:t>
              </w:r>
              <w:r w:rsidRPr="002815F4">
                <w:rPr>
                  <w:noProof/>
                </w:rPr>
                <w:br/>
                <w:t xml:space="preserve">Available at: </w:t>
              </w:r>
              <w:r w:rsidRPr="002815F4">
                <w:rPr>
                  <w:noProof/>
                  <w:u w:val="single"/>
                </w:rPr>
                <w:t>https://eiti.org/sites/default/files/documents/senegal_presidential_decree_2013-887.pdf</w:t>
              </w:r>
              <w:r w:rsidRPr="002815F4">
                <w:rPr>
                  <w:noProof/>
                </w:rPr>
                <w:br/>
                <w:t>[Accessed July 2017].</w:t>
              </w:r>
            </w:p>
            <w:p w14:paraId="3B7D461D" w14:textId="77777777" w:rsidR="003E626E" w:rsidRPr="002815F4" w:rsidRDefault="003E626E" w:rsidP="003E626E">
              <w:pPr>
                <w:pStyle w:val="Bibliography"/>
                <w:rPr>
                  <w:noProof/>
                </w:rPr>
              </w:pPr>
              <w:r w:rsidRPr="00863985">
                <w:rPr>
                  <w:lang w:val="fr-FR"/>
                </w:rPr>
                <w:t xml:space="preserve">ITIE Senegal, 2015. </w:t>
              </w:r>
              <w:r w:rsidRPr="00863985">
                <w:rPr>
                  <w:i/>
                  <w:lang w:val="fr-FR"/>
                </w:rPr>
                <w:t xml:space="preserve">Rapport Annuel d'Activites 2014-15. </w:t>
              </w:r>
              <w:r w:rsidRPr="002815F4">
                <w:rPr>
                  <w:noProof/>
                </w:rPr>
                <w:t xml:space="preserve">[Online] </w:t>
              </w:r>
              <w:r w:rsidRPr="002815F4">
                <w:rPr>
                  <w:noProof/>
                </w:rPr>
                <w:br/>
                <w:t xml:space="preserve">Available at: </w:t>
              </w:r>
              <w:r w:rsidRPr="002815F4">
                <w:rPr>
                  <w:noProof/>
                  <w:u w:val="single"/>
                </w:rPr>
                <w:t>https://eiti.org/sites/default/files/documents/2015_senegal_annual_activity_report.pdf</w:t>
              </w:r>
              <w:r w:rsidRPr="002815F4">
                <w:rPr>
                  <w:noProof/>
                </w:rPr>
                <w:br/>
                <w:t>[Accessed July 2017].</w:t>
              </w:r>
            </w:p>
            <w:p w14:paraId="4FF7998E" w14:textId="77777777" w:rsidR="003E626E" w:rsidRPr="002815F4" w:rsidRDefault="003E626E" w:rsidP="003E626E">
              <w:pPr>
                <w:pStyle w:val="Bibliography"/>
                <w:rPr>
                  <w:noProof/>
                </w:rPr>
              </w:pPr>
              <w:r w:rsidRPr="002815F4">
                <w:rPr>
                  <w:noProof/>
                </w:rPr>
                <w:t xml:space="preserve">USGS, 2016. </w:t>
              </w:r>
              <w:r w:rsidRPr="002815F4">
                <w:rPr>
                  <w:i/>
                  <w:iCs/>
                  <w:noProof/>
                </w:rPr>
                <w:t xml:space="preserve">The MIneral Industry of Senegal 2013. </w:t>
              </w:r>
              <w:r w:rsidRPr="002815F4">
                <w:rPr>
                  <w:noProof/>
                </w:rPr>
                <w:t xml:space="preserve">[Online] </w:t>
              </w:r>
              <w:r w:rsidRPr="002815F4">
                <w:rPr>
                  <w:noProof/>
                </w:rPr>
                <w:br/>
                <w:t xml:space="preserve">Available at: </w:t>
              </w:r>
              <w:r w:rsidRPr="002815F4">
                <w:rPr>
                  <w:noProof/>
                  <w:u w:val="single"/>
                </w:rPr>
                <w:t>https://minerals.usgs.gov/minerals/pubs/country/2013/myb3-2013-sg.pdf</w:t>
              </w:r>
              <w:r w:rsidRPr="002815F4">
                <w:rPr>
                  <w:noProof/>
                </w:rPr>
                <w:br/>
                <w:t>[Accessed July 2017].</w:t>
              </w:r>
            </w:p>
            <w:p w14:paraId="68CAC050" w14:textId="77777777" w:rsidR="003E626E" w:rsidRPr="002815F4" w:rsidRDefault="003E626E" w:rsidP="003E626E">
              <w:pPr>
                <w:pStyle w:val="Bibliography"/>
                <w:rPr>
                  <w:noProof/>
                </w:rPr>
              </w:pPr>
              <w:r w:rsidRPr="00863985">
                <w:rPr>
                  <w:lang w:val="fr-FR"/>
                </w:rPr>
                <w:t xml:space="preserve">Le Quotidien, 2016. </w:t>
              </w:r>
              <w:r w:rsidRPr="00863985">
                <w:rPr>
                  <w:i/>
                  <w:lang w:val="fr-FR"/>
                </w:rPr>
                <w:t xml:space="preserve">Elaboration d'un nouveau Code Petrolier: la societe civile veut un processus inclusif. </w:t>
              </w:r>
              <w:r w:rsidRPr="002815F4">
                <w:rPr>
                  <w:noProof/>
                </w:rPr>
                <w:t xml:space="preserve">[Online] </w:t>
              </w:r>
              <w:r w:rsidRPr="002815F4">
                <w:rPr>
                  <w:noProof/>
                </w:rPr>
                <w:br/>
                <w:t xml:space="preserve">Available at: </w:t>
              </w:r>
              <w:r w:rsidRPr="002815F4">
                <w:rPr>
                  <w:noProof/>
                  <w:u w:val="single"/>
                </w:rPr>
                <w:t>http://www.lequotidien.sn/elaboration-dun-nouveau-code-petrolier-la-societe-civile-veut-un-processus-inclusif/</w:t>
              </w:r>
              <w:r w:rsidRPr="002815F4">
                <w:rPr>
                  <w:noProof/>
                </w:rPr>
                <w:br/>
                <w:t>[Accessed July 2017].</w:t>
              </w:r>
            </w:p>
            <w:p w14:paraId="4540B433" w14:textId="77777777" w:rsidR="003E626E" w:rsidRPr="002815F4" w:rsidRDefault="003E626E" w:rsidP="003E626E">
              <w:pPr>
                <w:pStyle w:val="Bibliography"/>
                <w:rPr>
                  <w:noProof/>
                </w:rPr>
              </w:pPr>
              <w:r w:rsidRPr="002815F4">
                <w:rPr>
                  <w:noProof/>
                </w:rPr>
                <w:t xml:space="preserve">US Department of State, 2015. </w:t>
              </w:r>
              <w:r w:rsidRPr="002815F4">
                <w:rPr>
                  <w:i/>
                  <w:iCs/>
                  <w:noProof/>
                </w:rPr>
                <w:t xml:space="preserve">SENEGAL 2015 HUMAN RIGHTS REPORT. </w:t>
              </w:r>
              <w:r w:rsidRPr="002815F4">
                <w:rPr>
                  <w:noProof/>
                </w:rPr>
                <w:t xml:space="preserve">[Online] </w:t>
              </w:r>
              <w:r w:rsidRPr="002815F4">
                <w:rPr>
                  <w:noProof/>
                </w:rPr>
                <w:br/>
                <w:t xml:space="preserve">Available at: </w:t>
              </w:r>
              <w:r w:rsidRPr="002815F4">
                <w:rPr>
                  <w:noProof/>
                  <w:u w:val="single"/>
                </w:rPr>
                <w:t>https://www.state.gov/documents/organization/252933.pdf</w:t>
              </w:r>
              <w:r w:rsidRPr="002815F4">
                <w:rPr>
                  <w:noProof/>
                </w:rPr>
                <w:br/>
                <w:t>[Accessed July 2017].</w:t>
              </w:r>
            </w:p>
            <w:p w14:paraId="5E4DDB06" w14:textId="77777777" w:rsidR="003E626E" w:rsidRPr="002815F4" w:rsidRDefault="003E626E" w:rsidP="003E626E">
              <w:pPr>
                <w:pStyle w:val="Bibliography"/>
                <w:rPr>
                  <w:noProof/>
                </w:rPr>
              </w:pPr>
              <w:r w:rsidRPr="002815F4">
                <w:rPr>
                  <w:noProof/>
                </w:rPr>
                <w:t xml:space="preserve">US Department of State, 2014. </w:t>
              </w:r>
              <w:r w:rsidRPr="002815F4">
                <w:rPr>
                  <w:i/>
                  <w:iCs/>
                  <w:noProof/>
                </w:rPr>
                <w:t xml:space="preserve">SENEGAL 2014 HUMAN RIGHTS REPORT. </w:t>
              </w:r>
              <w:r w:rsidRPr="002815F4">
                <w:rPr>
                  <w:noProof/>
                </w:rPr>
                <w:t xml:space="preserve">[Online] </w:t>
              </w:r>
              <w:r w:rsidRPr="002815F4">
                <w:rPr>
                  <w:noProof/>
                </w:rPr>
                <w:br/>
                <w:t xml:space="preserve">Available at: </w:t>
              </w:r>
              <w:r w:rsidRPr="002815F4">
                <w:rPr>
                  <w:noProof/>
                  <w:u w:val="single"/>
                </w:rPr>
                <w:t>https://www.state.gov/documents/organization/236610.pdf</w:t>
              </w:r>
              <w:r w:rsidRPr="002815F4">
                <w:rPr>
                  <w:noProof/>
                </w:rPr>
                <w:br/>
                <w:t>[Accessed July 2017].</w:t>
              </w:r>
            </w:p>
            <w:p w14:paraId="6BD84E7E" w14:textId="77777777" w:rsidR="003E626E" w:rsidRPr="002815F4" w:rsidRDefault="003E626E" w:rsidP="003E626E">
              <w:pPr>
                <w:pStyle w:val="Bibliography"/>
                <w:rPr>
                  <w:noProof/>
                </w:rPr>
              </w:pPr>
              <w:r w:rsidRPr="00863985">
                <w:rPr>
                  <w:lang w:val="fr-FR"/>
                </w:rPr>
                <w:t xml:space="preserve">PWYP Senegal, 2017. </w:t>
              </w:r>
              <w:r w:rsidRPr="00863985">
                <w:rPr>
                  <w:i/>
                  <w:lang w:val="fr-FR"/>
                </w:rPr>
                <w:t xml:space="preserve">Cayar : L’exploitation du pétrole va impacter les activités de pêche. </w:t>
              </w:r>
              <w:r w:rsidRPr="002815F4">
                <w:rPr>
                  <w:noProof/>
                </w:rPr>
                <w:t xml:space="preserve">[Online] </w:t>
              </w:r>
              <w:r w:rsidRPr="002815F4">
                <w:rPr>
                  <w:noProof/>
                </w:rPr>
                <w:br/>
                <w:t xml:space="preserve">Available at: </w:t>
              </w:r>
              <w:r w:rsidRPr="002815F4">
                <w:rPr>
                  <w:noProof/>
                  <w:u w:val="single"/>
                </w:rPr>
                <w:t>http://pcqvp-senegal.com/?p=942</w:t>
              </w:r>
              <w:r w:rsidRPr="002815F4">
                <w:rPr>
                  <w:noProof/>
                </w:rPr>
                <w:br/>
                <w:t>[Accessed July 2017].</w:t>
              </w:r>
            </w:p>
            <w:p w14:paraId="64482564" w14:textId="77777777" w:rsidR="003E626E" w:rsidRPr="002815F4" w:rsidRDefault="003E626E" w:rsidP="003E626E">
              <w:pPr>
                <w:pStyle w:val="Bibliography"/>
                <w:rPr>
                  <w:noProof/>
                </w:rPr>
              </w:pPr>
              <w:r w:rsidRPr="00863985">
                <w:rPr>
                  <w:lang w:val="fr-FR"/>
                </w:rPr>
                <w:t xml:space="preserve">PWYP Senegal, 2016. </w:t>
              </w:r>
              <w:r w:rsidRPr="00863985">
                <w:rPr>
                  <w:i/>
                  <w:lang w:val="fr-FR"/>
                </w:rPr>
                <w:t xml:space="preserve">Pour une Reforme Consensuelle du Code Minier. </w:t>
              </w:r>
              <w:r w:rsidRPr="002815F4">
                <w:rPr>
                  <w:noProof/>
                </w:rPr>
                <w:t xml:space="preserve">[Online] </w:t>
              </w:r>
              <w:r w:rsidRPr="002815F4">
                <w:rPr>
                  <w:noProof/>
                </w:rPr>
                <w:br/>
                <w:t xml:space="preserve">Available at: </w:t>
              </w:r>
              <w:r w:rsidRPr="002815F4">
                <w:rPr>
                  <w:noProof/>
                  <w:u w:val="single"/>
                </w:rPr>
                <w:t>http://pcqvp-senegal.com/?page_id=51#</w:t>
              </w:r>
              <w:r w:rsidRPr="002815F4">
                <w:rPr>
                  <w:noProof/>
                </w:rPr>
                <w:br/>
                <w:t>[Accessed July 2017].</w:t>
              </w:r>
            </w:p>
            <w:p w14:paraId="3ECF63A4" w14:textId="77777777" w:rsidR="003E626E" w:rsidRPr="002815F4" w:rsidRDefault="003E626E" w:rsidP="003E626E">
              <w:pPr>
                <w:pStyle w:val="Bibliography"/>
                <w:rPr>
                  <w:noProof/>
                </w:rPr>
              </w:pPr>
              <w:r w:rsidRPr="00863985">
                <w:rPr>
                  <w:lang w:val="fr-FR"/>
                </w:rPr>
                <w:t xml:space="preserve">Le Quotidien, 2017. </w:t>
              </w:r>
              <w:r w:rsidRPr="00863985">
                <w:rPr>
                  <w:i/>
                  <w:lang w:val="fr-FR"/>
                </w:rPr>
                <w:t xml:space="preserve">Hydrocarbures: la societe civile s'impregne du cadre juridique. </w:t>
              </w:r>
              <w:r w:rsidRPr="002815F4">
                <w:rPr>
                  <w:noProof/>
                </w:rPr>
                <w:t xml:space="preserve">[Online] </w:t>
              </w:r>
              <w:r w:rsidRPr="002815F4">
                <w:rPr>
                  <w:noProof/>
                </w:rPr>
                <w:br/>
                <w:t xml:space="preserve">Available at: </w:t>
              </w:r>
              <w:r w:rsidRPr="002815F4">
                <w:rPr>
                  <w:noProof/>
                  <w:u w:val="single"/>
                </w:rPr>
                <w:t>http://www.lequotidien.sn/hydrocarbures-la-societe-civile-simpregne-du-cadre-juridique/</w:t>
              </w:r>
              <w:r w:rsidRPr="002815F4">
                <w:rPr>
                  <w:noProof/>
                </w:rPr>
                <w:br/>
                <w:t>[Accessed July 2017].</w:t>
              </w:r>
            </w:p>
            <w:p w14:paraId="352E5D26" w14:textId="77777777" w:rsidR="003E626E" w:rsidRPr="002815F4" w:rsidRDefault="003E626E" w:rsidP="003E626E">
              <w:pPr>
                <w:pStyle w:val="Bibliography"/>
                <w:rPr>
                  <w:noProof/>
                </w:rPr>
              </w:pPr>
              <w:r w:rsidRPr="00863985">
                <w:rPr>
                  <w:lang w:val="fr-FR"/>
                </w:rPr>
                <w:t xml:space="preserve">Rewmi.com, 2017. </w:t>
              </w:r>
              <w:r w:rsidRPr="00863985">
                <w:rPr>
                  <w:i/>
                  <w:lang w:val="fr-FR"/>
                </w:rPr>
                <w:t xml:space="preserve">Sénégal : Un collectif de la société civile lancé pour le « recouvrement » des avoirs pétroliers et miniers. </w:t>
              </w:r>
              <w:r w:rsidRPr="002815F4">
                <w:rPr>
                  <w:noProof/>
                </w:rPr>
                <w:t xml:space="preserve">[Online] </w:t>
              </w:r>
              <w:r w:rsidRPr="002815F4">
                <w:rPr>
                  <w:noProof/>
                </w:rPr>
                <w:br/>
                <w:t xml:space="preserve">Available at: </w:t>
              </w:r>
              <w:r w:rsidRPr="002815F4">
                <w:rPr>
                  <w:noProof/>
                  <w:u w:val="single"/>
                </w:rPr>
                <w:t>https://business-humanrights.org/fr/s%C3%A9n%C3%A9gal-un-collectif-de-la-soci%C3%A9t%C3%A9-civile-lanc%C3%A9-pour-le-%C2%AB-recouvrement-%C2%BB-des-avoirs-p%C3%A9troliers-et-miniers</w:t>
              </w:r>
              <w:r w:rsidRPr="002815F4">
                <w:rPr>
                  <w:noProof/>
                </w:rPr>
                <w:br/>
                <w:t>[Accessed July 2017].</w:t>
              </w:r>
            </w:p>
            <w:p w14:paraId="4EB85B16" w14:textId="77777777" w:rsidR="003E626E" w:rsidRPr="002815F4" w:rsidRDefault="003E626E" w:rsidP="003E626E">
              <w:pPr>
                <w:pStyle w:val="Bibliography"/>
                <w:rPr>
                  <w:noProof/>
                </w:rPr>
              </w:pPr>
              <w:r w:rsidRPr="00863985">
                <w:rPr>
                  <w:lang w:val="fr-FR"/>
                </w:rPr>
                <w:t xml:space="preserve">Le 360 Afrique, 2016. </w:t>
              </w:r>
              <w:r w:rsidRPr="00863985">
                <w:rPr>
                  <w:i/>
                  <w:lang w:val="fr-FR"/>
                </w:rPr>
                <w:t xml:space="preserve">http://afrique.le360.ma/senegal/politique/2016/09/22/5832-senegal-le-gouvernement-publie-les-contrats-petroliers-pour-etouffer-la-polemique-5832. </w:t>
              </w:r>
              <w:r w:rsidRPr="002815F4">
                <w:rPr>
                  <w:noProof/>
                </w:rPr>
                <w:t xml:space="preserve">[Online] </w:t>
              </w:r>
              <w:r w:rsidRPr="002815F4">
                <w:rPr>
                  <w:noProof/>
                </w:rPr>
                <w:br/>
                <w:t xml:space="preserve">Available at: </w:t>
              </w:r>
              <w:r w:rsidRPr="002815F4">
                <w:rPr>
                  <w:noProof/>
                  <w:u w:val="single"/>
                </w:rPr>
                <w:t>http://afrique.le360.ma/senegal/politique/2016/09/22/5832-senegal-le-gouvernement-publie-les-contrats-petroliers-pour-etouffer-la-polemique-5832</w:t>
              </w:r>
              <w:r w:rsidRPr="002815F4">
                <w:rPr>
                  <w:noProof/>
                </w:rPr>
                <w:br/>
                <w:t>[Accessed July 2017].</w:t>
              </w:r>
            </w:p>
            <w:p w14:paraId="118B447F" w14:textId="77777777" w:rsidR="003E626E" w:rsidRPr="002815F4" w:rsidRDefault="003E626E" w:rsidP="003E626E">
              <w:pPr>
                <w:pStyle w:val="Bibliography"/>
                <w:rPr>
                  <w:noProof/>
                </w:rPr>
              </w:pPr>
              <w:r w:rsidRPr="002815F4">
                <w:rPr>
                  <w:noProof/>
                </w:rPr>
                <w:t xml:space="preserve">MSI Integrity, 2015. </w:t>
              </w:r>
              <w:r w:rsidRPr="002815F4">
                <w:rPr>
                  <w:i/>
                  <w:iCs/>
                  <w:noProof/>
                </w:rPr>
                <w:t xml:space="preserve">Protecting the Cornerstone Assessing the Governance of Extractive Industries Transparency Initiative Multi-Stakeholder Groups. </w:t>
              </w:r>
              <w:r w:rsidRPr="002815F4">
                <w:rPr>
                  <w:noProof/>
                </w:rPr>
                <w:t xml:space="preserve">[Online] </w:t>
              </w:r>
              <w:r w:rsidRPr="002815F4">
                <w:rPr>
                  <w:noProof/>
                </w:rPr>
                <w:br/>
                <w:t xml:space="preserve">Available at: </w:t>
              </w:r>
              <w:r w:rsidRPr="002815F4">
                <w:rPr>
                  <w:noProof/>
                  <w:u w:val="single"/>
                </w:rPr>
                <w:t>http://www.msi-integrity.org/wp-content/uploads/2015/02/MSI-Integrity-Protecting-The-Cornerstone-Report.pdf</w:t>
              </w:r>
              <w:r w:rsidRPr="002815F4">
                <w:rPr>
                  <w:noProof/>
                </w:rPr>
                <w:br/>
                <w:t>[Accessed July 2017].</w:t>
              </w:r>
            </w:p>
            <w:p w14:paraId="26CF6606" w14:textId="77777777" w:rsidR="003E626E" w:rsidRPr="002815F4" w:rsidRDefault="003E626E" w:rsidP="003E626E">
              <w:pPr>
                <w:pStyle w:val="Bibliography"/>
                <w:rPr>
                  <w:noProof/>
                </w:rPr>
              </w:pPr>
              <w:r w:rsidRPr="00E2507C">
                <w:rPr>
                  <w:lang w:val="fr-FR"/>
                </w:rPr>
                <w:t xml:space="preserve">BBC, 2016. </w:t>
              </w:r>
              <w:r w:rsidRPr="00E2507C">
                <w:rPr>
                  <w:i/>
                  <w:lang w:val="fr-FR"/>
                </w:rPr>
                <w:t xml:space="preserve">Sénégal : le pétrole engendre la polémique. </w:t>
              </w:r>
              <w:r w:rsidRPr="002815F4">
                <w:rPr>
                  <w:noProof/>
                </w:rPr>
                <w:t xml:space="preserve">[Online] </w:t>
              </w:r>
              <w:r w:rsidRPr="002815F4">
                <w:rPr>
                  <w:noProof/>
                </w:rPr>
                <w:br/>
                <w:t xml:space="preserve">Available at: </w:t>
              </w:r>
              <w:r w:rsidRPr="002815F4">
                <w:rPr>
                  <w:noProof/>
                  <w:u w:val="single"/>
                </w:rPr>
                <w:t>http://www.bbc.com/afrique/region-37617408</w:t>
              </w:r>
              <w:r w:rsidRPr="002815F4">
                <w:rPr>
                  <w:noProof/>
                </w:rPr>
                <w:br/>
                <w:t>[Accessed July 2017].</w:t>
              </w:r>
            </w:p>
            <w:p w14:paraId="7D89BC42" w14:textId="77777777" w:rsidR="003E626E" w:rsidRPr="002815F4" w:rsidRDefault="003E626E" w:rsidP="003E626E">
              <w:pPr>
                <w:pStyle w:val="Bibliography"/>
                <w:rPr>
                  <w:noProof/>
                </w:rPr>
              </w:pPr>
              <w:r w:rsidRPr="00863985">
                <w:rPr>
                  <w:lang w:val="fr-FR"/>
                </w:rPr>
                <w:t xml:space="preserve">PressTV, 2016. </w:t>
              </w:r>
              <w:r w:rsidRPr="00863985">
                <w:rPr>
                  <w:i/>
                  <w:lang w:val="fr-FR"/>
                </w:rPr>
                <w:t xml:space="preserve">Sénégal: l'opposition dans la rue contre la gestion du dossier gazier. </w:t>
              </w:r>
              <w:r w:rsidRPr="002815F4">
                <w:rPr>
                  <w:noProof/>
                </w:rPr>
                <w:t xml:space="preserve">[Online] </w:t>
              </w:r>
              <w:r w:rsidRPr="002815F4">
                <w:rPr>
                  <w:noProof/>
                </w:rPr>
                <w:br/>
                <w:t xml:space="preserve">Available at: </w:t>
              </w:r>
              <w:r w:rsidRPr="002815F4">
                <w:rPr>
                  <w:noProof/>
                  <w:u w:val="single"/>
                </w:rPr>
                <w:t>http://www.presstv.ir/DetailFr/2016/10/15/489158/Sngal-lopposition-dans-la-rue-contre-la-gestion-du-dossier-gazier</w:t>
              </w:r>
              <w:r w:rsidRPr="002815F4">
                <w:rPr>
                  <w:noProof/>
                </w:rPr>
                <w:br/>
                <w:t>[Accessed July 2017].</w:t>
              </w:r>
            </w:p>
            <w:p w14:paraId="28082624" w14:textId="77777777" w:rsidR="003E626E" w:rsidRPr="002815F4" w:rsidRDefault="003E626E" w:rsidP="003E626E">
              <w:pPr>
                <w:pStyle w:val="Bibliography"/>
                <w:rPr>
                  <w:noProof/>
                </w:rPr>
              </w:pPr>
              <w:r w:rsidRPr="00863985">
                <w:rPr>
                  <w:lang w:val="fr-FR"/>
                </w:rPr>
                <w:t xml:space="preserve">ITIE Senegal, 2014. </w:t>
              </w:r>
              <w:r w:rsidRPr="00863985">
                <w:rPr>
                  <w:i/>
                  <w:lang w:val="fr-FR"/>
                </w:rPr>
                <w:t xml:space="preserve">Réflexion de la Société civile ouest-africaine sur un code minier communautaire. </w:t>
              </w:r>
              <w:r w:rsidRPr="002815F4">
                <w:rPr>
                  <w:noProof/>
                </w:rPr>
                <w:t xml:space="preserve">[Online] </w:t>
              </w:r>
              <w:r w:rsidRPr="002815F4">
                <w:rPr>
                  <w:noProof/>
                </w:rPr>
                <w:br/>
                <w:t xml:space="preserve">Available at: </w:t>
              </w:r>
              <w:r w:rsidRPr="002815F4">
                <w:rPr>
                  <w:noProof/>
                  <w:u w:val="single"/>
                </w:rPr>
                <w:t>http://itie.sn/reflexion-de-la-societe-civile-ouest-africaine-sur-un-code-minier-communautaire/</w:t>
              </w:r>
              <w:r w:rsidRPr="002815F4">
                <w:rPr>
                  <w:noProof/>
                </w:rPr>
                <w:br/>
                <w:t>[Accessed July 2017].</w:t>
              </w:r>
            </w:p>
            <w:p w14:paraId="5BABF7C9" w14:textId="77777777" w:rsidR="003E626E" w:rsidRPr="002815F4" w:rsidRDefault="003E626E" w:rsidP="003E626E">
              <w:pPr>
                <w:pStyle w:val="Bibliography"/>
                <w:rPr>
                  <w:noProof/>
                </w:rPr>
              </w:pPr>
              <w:r w:rsidRPr="002815F4">
                <w:rPr>
                  <w:noProof/>
                </w:rPr>
                <w:t xml:space="preserve">Article 19, 2014. </w:t>
              </w:r>
              <w:r w:rsidRPr="002815F4">
                <w:rPr>
                  <w:i/>
                  <w:iCs/>
                  <w:noProof/>
                </w:rPr>
                <w:t xml:space="preserve">Senegal: ARTICLE 19 publishes report on access to information in the fight against Fistula. </w:t>
              </w:r>
              <w:r w:rsidRPr="002815F4">
                <w:rPr>
                  <w:noProof/>
                </w:rPr>
                <w:t xml:space="preserve">[Online] </w:t>
              </w:r>
              <w:r w:rsidRPr="002815F4">
                <w:rPr>
                  <w:noProof/>
                </w:rPr>
                <w:br/>
                <w:t xml:space="preserve">Available at: </w:t>
              </w:r>
              <w:r w:rsidRPr="002815F4">
                <w:rPr>
                  <w:noProof/>
                  <w:u w:val="single"/>
                </w:rPr>
                <w:t>https://www.article19.org/resources.php/resource/37713/en/senegal:-article-19-publishes-report-on-access-to-information-in-the-fight-against-fistula</w:t>
              </w:r>
              <w:r w:rsidRPr="002815F4">
                <w:rPr>
                  <w:noProof/>
                </w:rPr>
                <w:br/>
                <w:t>[Accessed July 2017].</w:t>
              </w:r>
            </w:p>
            <w:p w14:paraId="6F4DC983" w14:textId="77777777" w:rsidR="003E626E" w:rsidRPr="002815F4" w:rsidRDefault="003E626E" w:rsidP="003E626E">
              <w:pPr>
                <w:pStyle w:val="Bibliography"/>
                <w:rPr>
                  <w:noProof/>
                </w:rPr>
              </w:pPr>
              <w:r w:rsidRPr="00863985">
                <w:rPr>
                  <w:lang w:val="fr-FR"/>
                </w:rPr>
                <w:t xml:space="preserve">SenePlus, 2015. </w:t>
              </w:r>
              <w:r w:rsidRPr="00863985">
                <w:rPr>
                  <w:i/>
                  <w:lang w:val="fr-FR"/>
                </w:rPr>
                <w:t xml:space="preserve">LE SENEGAL MENACE D’EXPULSION DE L’ITIE. </w:t>
              </w:r>
              <w:r w:rsidRPr="002815F4">
                <w:rPr>
                  <w:noProof/>
                </w:rPr>
                <w:t xml:space="preserve">[Online] </w:t>
              </w:r>
              <w:r w:rsidRPr="002815F4">
                <w:rPr>
                  <w:noProof/>
                </w:rPr>
                <w:br/>
                <w:t xml:space="preserve">Available at: </w:t>
              </w:r>
              <w:r w:rsidRPr="002815F4">
                <w:rPr>
                  <w:noProof/>
                  <w:u w:val="single"/>
                </w:rPr>
                <w:t>http://www.seneplus.com/article/le-senegal-menace-d%E2%80%99expulsion-de-l%E2%80%99itie</w:t>
              </w:r>
              <w:r w:rsidRPr="002815F4">
                <w:rPr>
                  <w:noProof/>
                </w:rPr>
                <w:br/>
                <w:t>[Accessed July 2017].</w:t>
              </w:r>
            </w:p>
            <w:p w14:paraId="16388B39" w14:textId="77777777" w:rsidR="003E626E" w:rsidRPr="00863985" w:rsidRDefault="003E626E" w:rsidP="003E626E">
              <w:pPr>
                <w:pStyle w:val="Bibliography"/>
                <w:rPr>
                  <w:lang w:val="fr-FR"/>
                </w:rPr>
              </w:pPr>
              <w:r w:rsidRPr="002815F4">
                <w:rPr>
                  <w:noProof/>
                </w:rPr>
                <w:t xml:space="preserve">World Bank, 2014. </w:t>
              </w:r>
              <w:r w:rsidRPr="002815F4">
                <w:rPr>
                  <w:i/>
                  <w:iCs/>
                  <w:noProof/>
                </w:rPr>
                <w:t xml:space="preserve">Philippines: Extractive Industries Transparency Initiative Implementation (P128290). </w:t>
              </w:r>
              <w:r w:rsidRPr="00863985">
                <w:rPr>
                  <w:lang w:val="fr-FR"/>
                </w:rPr>
                <w:t xml:space="preserve">[Online] </w:t>
              </w:r>
              <w:r w:rsidRPr="00863985">
                <w:rPr>
                  <w:lang w:val="fr-FR"/>
                </w:rPr>
                <w:br/>
                <w:t xml:space="preserve">Available at: </w:t>
              </w:r>
              <w:r w:rsidRPr="00863985">
                <w:rPr>
                  <w:u w:val="single"/>
                  <w:lang w:val="fr-FR"/>
                </w:rPr>
                <w:t>http://documents.worldbank.org/curated/en/147391468091762306/pdf/ISR-Disclosable-P128290-07-07-2015-1436286668056.pdf</w:t>
              </w:r>
              <w:r w:rsidRPr="00863985">
                <w:rPr>
                  <w:lang w:val="fr-FR"/>
                </w:rPr>
                <w:br/>
                <w:t>[Accessed September 2016].</w:t>
              </w:r>
            </w:p>
            <w:p w14:paraId="1241BB17"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PLAN DE TRAVAIL DU SENEGAL AU STATUT DE PAYS CONFORME A L'ITIE (2016-2020). </w:t>
              </w:r>
              <w:r w:rsidRPr="002815F4">
                <w:rPr>
                  <w:noProof/>
                </w:rPr>
                <w:t xml:space="preserve">[Online] </w:t>
              </w:r>
              <w:r w:rsidRPr="002815F4">
                <w:rPr>
                  <w:noProof/>
                </w:rPr>
                <w:br/>
                <w:t xml:space="preserve">Available at: </w:t>
              </w:r>
              <w:r w:rsidRPr="002815F4">
                <w:rPr>
                  <w:noProof/>
                  <w:u w:val="single"/>
                </w:rPr>
                <w:t>https://eiti.org/sites/default/files/documents/itie_senegal_plan_daction_2016-2017_0.pdf</w:t>
              </w:r>
              <w:r w:rsidRPr="002815F4">
                <w:rPr>
                  <w:noProof/>
                </w:rPr>
                <w:br/>
                <w:t>[Accessed July 2017].</w:t>
              </w:r>
            </w:p>
            <w:p w14:paraId="7EB3095D" w14:textId="77777777" w:rsidR="003E626E" w:rsidRPr="002815F4" w:rsidRDefault="003E626E" w:rsidP="003E626E">
              <w:pPr>
                <w:pStyle w:val="Bibliography"/>
                <w:rPr>
                  <w:noProof/>
                </w:rPr>
              </w:pPr>
              <w:r w:rsidRPr="00863985">
                <w:rPr>
                  <w:lang w:val="fr-FR"/>
                </w:rPr>
                <w:t xml:space="preserve">ITIE Senegal, 2017. </w:t>
              </w:r>
              <w:r w:rsidRPr="00863985">
                <w:rPr>
                  <w:i/>
                  <w:lang w:val="fr-FR"/>
                </w:rPr>
                <w:t xml:space="preserve">PlAn d’ACtIon StRAtégIque 2017-2021. </w:t>
              </w:r>
              <w:r w:rsidRPr="002815F4">
                <w:rPr>
                  <w:noProof/>
                </w:rPr>
                <w:t xml:space="preserve">[Online] </w:t>
              </w:r>
              <w:r w:rsidRPr="002815F4">
                <w:rPr>
                  <w:noProof/>
                </w:rPr>
                <w:br/>
                <w:t xml:space="preserve">Available at: </w:t>
              </w:r>
              <w:r w:rsidRPr="002815F4">
                <w:rPr>
                  <w:noProof/>
                  <w:u w:val="single"/>
                </w:rPr>
                <w:t>http://itie.sn/wp-content/uploads/2017/03/Version-simplifi%C3%A9e-Plan-Strat%C3%A9gique-2017-2021.pdf</w:t>
              </w:r>
              <w:r w:rsidRPr="002815F4">
                <w:rPr>
                  <w:noProof/>
                </w:rPr>
                <w:br/>
                <w:t>[Accessed July 2017].</w:t>
              </w:r>
            </w:p>
            <w:p w14:paraId="357B34D7" w14:textId="77777777" w:rsidR="003E626E" w:rsidRPr="002815F4" w:rsidRDefault="003E626E" w:rsidP="003E626E">
              <w:pPr>
                <w:pStyle w:val="Bibliography"/>
                <w:rPr>
                  <w:noProof/>
                </w:rPr>
              </w:pPr>
              <w:r w:rsidRPr="00863985">
                <w:rPr>
                  <w:lang w:val="fr-FR"/>
                </w:rPr>
                <w:t xml:space="preserve">ITIE Senegal, 2017. </w:t>
              </w:r>
              <w:r w:rsidRPr="00863985">
                <w:rPr>
                  <w:i/>
                  <w:lang w:val="fr-FR"/>
                </w:rPr>
                <w:t xml:space="preserve">PLAN D'ACTION TRIENNAL DU COMITE NATIONAL DE L'ITIE (2017-2019). </w:t>
              </w:r>
              <w:r w:rsidRPr="002815F4">
                <w:rPr>
                  <w:noProof/>
                </w:rPr>
                <w:t xml:space="preserve">[Online] </w:t>
              </w:r>
              <w:r w:rsidRPr="002815F4">
                <w:rPr>
                  <w:noProof/>
                </w:rPr>
                <w:br/>
                <w:t xml:space="preserve">Available at: </w:t>
              </w:r>
              <w:r w:rsidRPr="002815F4">
                <w:rPr>
                  <w:noProof/>
                  <w:u w:val="single"/>
                </w:rPr>
                <w:t>http://itie.sn/wp-content/uploads/2017/03/Plan-daction-Triennal-2017-2019-vf-2.pdf</w:t>
              </w:r>
              <w:r w:rsidRPr="002815F4">
                <w:rPr>
                  <w:noProof/>
                </w:rPr>
                <w:br/>
                <w:t>[Accessed July 2017].</w:t>
              </w:r>
            </w:p>
            <w:p w14:paraId="52A6DFEA" w14:textId="77777777" w:rsidR="003E626E" w:rsidRPr="002815F4" w:rsidRDefault="003E626E" w:rsidP="003E626E">
              <w:pPr>
                <w:pStyle w:val="Bibliography"/>
                <w:rPr>
                  <w:noProof/>
                </w:rPr>
              </w:pPr>
              <w:r w:rsidRPr="002815F4">
                <w:rPr>
                  <w:noProof/>
                </w:rPr>
                <w:t xml:space="preserve">Kosmos Energy, 2016. </w:t>
              </w:r>
              <w:r w:rsidRPr="002815F4">
                <w:rPr>
                  <w:i/>
                  <w:iCs/>
                  <w:noProof/>
                </w:rPr>
                <w:t xml:space="preserve">Kosmos: Credit Suisse 21st Annual Energy Summit. </w:t>
              </w:r>
              <w:r w:rsidRPr="002815F4">
                <w:rPr>
                  <w:noProof/>
                </w:rPr>
                <w:t xml:space="preserve">[Online] </w:t>
              </w:r>
              <w:r w:rsidRPr="002815F4">
                <w:rPr>
                  <w:noProof/>
                </w:rPr>
                <w:br/>
                <w:t xml:space="preserve">Available at: </w:t>
              </w:r>
              <w:r w:rsidRPr="002815F4">
                <w:rPr>
                  <w:noProof/>
                  <w:u w:val="single"/>
                </w:rPr>
                <w:t>http://www.kosmosenergy.com/pdfs/CreditSuisse-21st-Annual-Energy-Summit-February2016.pdf</w:t>
              </w:r>
              <w:r w:rsidRPr="002815F4">
                <w:rPr>
                  <w:noProof/>
                </w:rPr>
                <w:br/>
                <w:t>[Accessed July 2017].</w:t>
              </w:r>
            </w:p>
            <w:p w14:paraId="66E8FC9B" w14:textId="77777777" w:rsidR="003E626E" w:rsidRPr="002815F4" w:rsidRDefault="003E626E" w:rsidP="003E626E">
              <w:pPr>
                <w:pStyle w:val="Bibliography"/>
                <w:rPr>
                  <w:noProof/>
                </w:rPr>
              </w:pPr>
              <w:r w:rsidRPr="002815F4">
                <w:rPr>
                  <w:noProof/>
                </w:rPr>
                <w:t xml:space="preserve">UNDP, 2017. </w:t>
              </w:r>
              <w:r w:rsidRPr="002815F4">
                <w:rPr>
                  <w:i/>
                  <w:iCs/>
                  <w:noProof/>
                </w:rPr>
                <w:t xml:space="preserve">UN Human Development Index Senegal. </w:t>
              </w:r>
              <w:r w:rsidRPr="002815F4">
                <w:rPr>
                  <w:noProof/>
                </w:rPr>
                <w:t xml:space="preserve">[Online] </w:t>
              </w:r>
              <w:r w:rsidRPr="002815F4">
                <w:rPr>
                  <w:noProof/>
                </w:rPr>
                <w:br/>
                <w:t xml:space="preserve">Available at: </w:t>
              </w:r>
              <w:r w:rsidRPr="002815F4">
                <w:rPr>
                  <w:noProof/>
                  <w:u w:val="single"/>
                </w:rPr>
                <w:t>http://hdr.undp.org/en/countries/profiles/SEN</w:t>
              </w:r>
              <w:r w:rsidRPr="002815F4">
                <w:rPr>
                  <w:noProof/>
                </w:rPr>
                <w:br/>
                <w:t>[Accessed July 2017].</w:t>
              </w:r>
            </w:p>
            <w:p w14:paraId="132FB608" w14:textId="77777777" w:rsidR="003E626E" w:rsidRPr="002815F4" w:rsidRDefault="003E626E" w:rsidP="003E626E">
              <w:pPr>
                <w:pStyle w:val="Bibliography"/>
                <w:rPr>
                  <w:noProof/>
                </w:rPr>
              </w:pPr>
              <w:r w:rsidRPr="002815F4">
                <w:rPr>
                  <w:noProof/>
                </w:rPr>
                <w:t xml:space="preserve">OEDigital, 2017. </w:t>
              </w:r>
              <w:r w:rsidRPr="002815F4">
                <w:rPr>
                  <w:i/>
                  <w:iCs/>
                  <w:noProof/>
                </w:rPr>
                <w:t xml:space="preserve">CNOOC, FAR partner off Senegal, Gambia. </w:t>
              </w:r>
              <w:r w:rsidRPr="002815F4">
                <w:rPr>
                  <w:noProof/>
                </w:rPr>
                <w:t xml:space="preserve">[Online] </w:t>
              </w:r>
              <w:r w:rsidRPr="002815F4">
                <w:rPr>
                  <w:noProof/>
                </w:rPr>
                <w:br/>
                <w:t xml:space="preserve">Available at: </w:t>
              </w:r>
              <w:r w:rsidRPr="002815F4">
                <w:rPr>
                  <w:noProof/>
                  <w:u w:val="single"/>
                </w:rPr>
                <w:t>http://www.oedigital.com/component/k2/item/15028-cnooc-far-partner-off-senegal-gambia</w:t>
              </w:r>
              <w:r w:rsidRPr="002815F4">
                <w:rPr>
                  <w:noProof/>
                </w:rPr>
                <w:br/>
                <w:t>[Accessed July 2017].</w:t>
              </w:r>
            </w:p>
            <w:p w14:paraId="2866FDB7"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Installation du COS-PETROGAZ. </w:t>
              </w:r>
              <w:r w:rsidRPr="002815F4">
                <w:rPr>
                  <w:noProof/>
                </w:rPr>
                <w:t xml:space="preserve">[Online] </w:t>
              </w:r>
              <w:r w:rsidRPr="002815F4">
                <w:rPr>
                  <w:noProof/>
                </w:rPr>
                <w:br/>
                <w:t xml:space="preserve">Available at: </w:t>
              </w:r>
              <w:r w:rsidRPr="002815F4">
                <w:rPr>
                  <w:noProof/>
                  <w:u w:val="single"/>
                </w:rPr>
                <w:t>http://itie.sn/installation-du-cos-petrogaz/</w:t>
              </w:r>
              <w:r w:rsidRPr="002815F4">
                <w:rPr>
                  <w:noProof/>
                </w:rPr>
                <w:br/>
                <w:t>[Accessed July 2017].</w:t>
              </w:r>
            </w:p>
            <w:p w14:paraId="122020C9" w14:textId="77777777" w:rsidR="003E626E" w:rsidRPr="002815F4" w:rsidRDefault="003E626E" w:rsidP="003E626E">
              <w:pPr>
                <w:pStyle w:val="Bibliography"/>
                <w:rPr>
                  <w:noProof/>
                </w:rPr>
              </w:pPr>
              <w:r w:rsidRPr="00863985">
                <w:rPr>
                  <w:lang w:val="fr-FR"/>
                </w:rPr>
                <w:t xml:space="preserve">Gouvernement du Senegal, 2016. </w:t>
              </w:r>
              <w:r w:rsidRPr="00863985">
                <w:rPr>
                  <w:i/>
                  <w:lang w:val="fr-FR"/>
                </w:rPr>
                <w:t xml:space="preserve">Installation du Comité d’Orientation Stratégique du Pétrole et du Gaz (COS-PETROGAZ)-Discours de Son Excellence Monsieur le Président de la République Macky Sall. </w:t>
              </w:r>
              <w:r w:rsidRPr="002815F4">
                <w:rPr>
                  <w:noProof/>
                </w:rPr>
                <w:t xml:space="preserve">[Online] </w:t>
              </w:r>
              <w:r w:rsidRPr="002815F4">
                <w:rPr>
                  <w:noProof/>
                </w:rPr>
                <w:br/>
                <w:t xml:space="preserve">Available at: </w:t>
              </w:r>
              <w:r w:rsidRPr="002815F4">
                <w:rPr>
                  <w:noProof/>
                  <w:u w:val="single"/>
                </w:rPr>
                <w:t>https://www.sec.gouv.sn/installation-du-comite-d%2C2126.html</w:t>
              </w:r>
              <w:r w:rsidRPr="002815F4">
                <w:rPr>
                  <w:noProof/>
                </w:rPr>
                <w:br/>
                <w:t>[Accessed July 2017].</w:t>
              </w:r>
            </w:p>
            <w:p w14:paraId="7596878C" w14:textId="77777777" w:rsidR="003E626E" w:rsidRPr="002815F4" w:rsidRDefault="003E626E" w:rsidP="003E626E">
              <w:pPr>
                <w:pStyle w:val="Bibliography"/>
                <w:rPr>
                  <w:noProof/>
                </w:rPr>
              </w:pPr>
              <w:r w:rsidRPr="002815F4">
                <w:rPr>
                  <w:noProof/>
                </w:rPr>
                <w:t xml:space="preserve">EITI, 2013. </w:t>
              </w:r>
              <w:r w:rsidRPr="002815F4">
                <w:rPr>
                  <w:i/>
                  <w:iCs/>
                  <w:noProof/>
                </w:rPr>
                <w:t xml:space="preserve">EITI to be a key instrument in Senegal’s extractive reforms. </w:t>
              </w:r>
              <w:r w:rsidRPr="002815F4">
                <w:rPr>
                  <w:noProof/>
                </w:rPr>
                <w:t xml:space="preserve">[Online] </w:t>
              </w:r>
              <w:r w:rsidRPr="002815F4">
                <w:rPr>
                  <w:noProof/>
                </w:rPr>
                <w:br/>
                <w:t xml:space="preserve">Available at: </w:t>
              </w:r>
              <w:r w:rsidRPr="002815F4">
                <w:rPr>
                  <w:noProof/>
                  <w:u w:val="single"/>
                </w:rPr>
                <w:t>https://eiti.org/news/eiti-to-be-key-instrument-in-senegals-extractive-reforms</w:t>
              </w:r>
              <w:r w:rsidRPr="002815F4">
                <w:rPr>
                  <w:noProof/>
                </w:rPr>
                <w:br/>
                <w:t>[Accessed July 2017].</w:t>
              </w:r>
            </w:p>
            <w:p w14:paraId="2ADAFF78" w14:textId="77777777" w:rsidR="003E626E" w:rsidRPr="002815F4" w:rsidRDefault="003E626E" w:rsidP="003E626E">
              <w:pPr>
                <w:pStyle w:val="Bibliography"/>
                <w:rPr>
                  <w:noProof/>
                </w:rPr>
              </w:pPr>
              <w:r w:rsidRPr="00863985">
                <w:rPr>
                  <w:lang w:val="fr-FR"/>
                </w:rPr>
                <w:t xml:space="preserve">Gouvernement du Senegal, 2016. </w:t>
              </w:r>
              <w:r w:rsidRPr="00863985">
                <w:rPr>
                  <w:i/>
                  <w:lang w:val="fr-FR"/>
                </w:rPr>
                <w:t xml:space="preserve">SOMMET SUR LA LUTTE CONTRE LA CORRUPTION DECLARATION DE LA REPUBLIQUE DU SENEGAL LONDRES, LE 12 MAI 2016. </w:t>
              </w:r>
              <w:r w:rsidRPr="002815F4">
                <w:rPr>
                  <w:noProof/>
                </w:rPr>
                <w:t xml:space="preserve">[Online] </w:t>
              </w:r>
              <w:r w:rsidRPr="002815F4">
                <w:rPr>
                  <w:noProof/>
                </w:rPr>
                <w:br/>
                <w:t xml:space="preserve">Available at: </w:t>
              </w:r>
              <w:r w:rsidRPr="002815F4">
                <w:rPr>
                  <w:noProof/>
                  <w:u w:val="single"/>
                </w:rPr>
                <w:t>itie.sn/?offshore_dl=2275</w:t>
              </w:r>
              <w:r w:rsidRPr="002815F4">
                <w:rPr>
                  <w:noProof/>
                </w:rPr>
                <w:br/>
                <w:t>[Accessed July 2017].</w:t>
              </w:r>
            </w:p>
            <w:p w14:paraId="2E8770F1" w14:textId="77777777" w:rsidR="003E626E" w:rsidRPr="002815F4" w:rsidRDefault="003E626E" w:rsidP="003E626E">
              <w:pPr>
                <w:pStyle w:val="Bibliography"/>
                <w:rPr>
                  <w:noProof/>
                </w:rPr>
              </w:pPr>
              <w:r w:rsidRPr="002815F4">
                <w:rPr>
                  <w:noProof/>
                </w:rPr>
                <w:t xml:space="preserve">ITIE Senegal, 2016. </w:t>
              </w:r>
              <w:r w:rsidRPr="00863985">
                <w:rPr>
                  <w:i/>
                  <w:lang w:val="fr-FR"/>
                </w:rPr>
                <w:t xml:space="preserve">L’or, le produit le plus exporté en Mars 2016, selon l’ANSD. </w:t>
              </w:r>
              <w:r w:rsidRPr="002815F4">
                <w:rPr>
                  <w:noProof/>
                </w:rPr>
                <w:t xml:space="preserve">[Online] </w:t>
              </w:r>
              <w:r w:rsidRPr="002815F4">
                <w:rPr>
                  <w:noProof/>
                </w:rPr>
                <w:br/>
                <w:t xml:space="preserve">Available at: </w:t>
              </w:r>
              <w:r w:rsidRPr="002815F4">
                <w:rPr>
                  <w:noProof/>
                  <w:u w:val="single"/>
                </w:rPr>
                <w:t>http://itie.sn/lor-le-produit-le-plus-exporte-en-mars-2016-selon-lansd/</w:t>
              </w:r>
              <w:r w:rsidRPr="002815F4">
                <w:rPr>
                  <w:noProof/>
                </w:rPr>
                <w:br/>
                <w:t>[Accessed July 2017].</w:t>
              </w:r>
            </w:p>
            <w:p w14:paraId="1D0498EE" w14:textId="77777777" w:rsidR="003E626E" w:rsidRPr="002815F4" w:rsidRDefault="003E626E" w:rsidP="003E626E">
              <w:pPr>
                <w:pStyle w:val="Bibliography"/>
                <w:rPr>
                  <w:noProof/>
                </w:rPr>
              </w:pPr>
              <w:r w:rsidRPr="00863985">
                <w:rPr>
                  <w:lang w:val="fr-FR"/>
                </w:rPr>
                <w:t xml:space="preserve">ITIE Senegal, 2016. </w:t>
              </w:r>
              <w:r w:rsidRPr="00863985">
                <w:rPr>
                  <w:i/>
                  <w:lang w:val="fr-FR"/>
                </w:rPr>
                <w:t xml:space="preserve">Termes de Référence Administrateur Indépendant pour le Rapport ITIE 2014 du Sénégal. </w:t>
              </w:r>
              <w:r w:rsidRPr="002815F4">
                <w:rPr>
                  <w:noProof/>
                </w:rPr>
                <w:t xml:space="preserve">[Online] </w:t>
              </w:r>
              <w:r w:rsidRPr="002815F4">
                <w:rPr>
                  <w:noProof/>
                </w:rPr>
                <w:br/>
                <w:t xml:space="preserve">Available at: </w:t>
              </w:r>
              <w:r w:rsidRPr="002815F4">
                <w:rPr>
                  <w:noProof/>
                  <w:u w:val="single"/>
                </w:rPr>
                <w:t>unpublished, provided by EITI Senegal Secretariat</w:t>
              </w:r>
              <w:r w:rsidRPr="002815F4">
                <w:rPr>
                  <w:noProof/>
                </w:rPr>
                <w:br/>
                <w:t>[Accessed July 2017].</w:t>
              </w:r>
            </w:p>
            <w:p w14:paraId="546BB1F5" w14:textId="77777777" w:rsidR="003E626E" w:rsidRPr="002815F4" w:rsidRDefault="003E626E" w:rsidP="003E626E">
              <w:pPr>
                <w:pStyle w:val="Bibliography"/>
                <w:rPr>
                  <w:noProof/>
                </w:rPr>
              </w:pPr>
              <w:r w:rsidRPr="00863985">
                <w:rPr>
                  <w:noProof/>
                </w:rPr>
                <w:t xml:space="preserve">ITIE Senegal, 2015. </w:t>
              </w:r>
              <w:r w:rsidRPr="00863985">
                <w:rPr>
                  <w:i/>
                  <w:iCs/>
                  <w:noProof/>
                </w:rPr>
                <w:t xml:space="preserve">GMP – 23 JUIN 2015 PV. </w:t>
              </w:r>
              <w:r w:rsidRPr="002815F4">
                <w:rPr>
                  <w:noProof/>
                </w:rPr>
                <w:t xml:space="preserve">[Online] </w:t>
              </w:r>
              <w:r w:rsidRPr="002815F4">
                <w:rPr>
                  <w:noProof/>
                </w:rPr>
                <w:br/>
                <w:t xml:space="preserve">Available at: </w:t>
              </w:r>
              <w:r w:rsidRPr="002815F4">
                <w:rPr>
                  <w:noProof/>
                  <w:u w:val="single"/>
                </w:rPr>
                <w:t>http://itie.sn/wp-content/uploads/2017/06/Compte-rendu-2015-n%C2%B04-23-Juin-2015.pdf</w:t>
              </w:r>
              <w:r w:rsidRPr="002815F4">
                <w:rPr>
                  <w:noProof/>
                </w:rPr>
                <w:br/>
                <w:t>[Accessed July 2017].</w:t>
              </w:r>
            </w:p>
            <w:p w14:paraId="4296F97E" w14:textId="77777777" w:rsidR="003E626E" w:rsidRPr="002815F4" w:rsidRDefault="003E626E" w:rsidP="003E626E">
              <w:pPr>
                <w:pStyle w:val="Bibliography"/>
                <w:rPr>
                  <w:noProof/>
                </w:rPr>
              </w:pPr>
              <w:r w:rsidRPr="00E2507C">
                <w:rPr>
                  <w:lang w:val="fr-FR"/>
                </w:rPr>
                <w:t xml:space="preserve">ITIE Senegal, 2017. </w:t>
              </w:r>
              <w:r w:rsidRPr="00E2507C">
                <w:rPr>
                  <w:i/>
                  <w:lang w:val="fr-FR"/>
                </w:rPr>
                <w:t xml:space="preserve">PV RÉUNION GMP N°2- 14 MARS 2O17. </w:t>
              </w:r>
              <w:r w:rsidRPr="002815F4">
                <w:rPr>
                  <w:noProof/>
                </w:rPr>
                <w:t xml:space="preserve">[Online] </w:t>
              </w:r>
              <w:r w:rsidRPr="002815F4">
                <w:rPr>
                  <w:noProof/>
                </w:rPr>
                <w:br/>
                <w:t xml:space="preserve">Available at: </w:t>
              </w:r>
              <w:r w:rsidRPr="002815F4">
                <w:rPr>
                  <w:noProof/>
                  <w:u w:val="single"/>
                </w:rPr>
                <w:t>http://itie.sn/wp-content/uploads/2017/06/Compte-rendu-2017-n%C2%B02-14-Mars-2017.pdf</w:t>
              </w:r>
              <w:r w:rsidRPr="002815F4">
                <w:rPr>
                  <w:noProof/>
                </w:rPr>
                <w:br/>
                <w:t>[Accessed July 2017].</w:t>
              </w:r>
            </w:p>
            <w:p w14:paraId="34EE296C" w14:textId="77777777" w:rsidR="003E626E" w:rsidRPr="002815F4" w:rsidRDefault="003E626E" w:rsidP="003E626E">
              <w:pPr>
                <w:pStyle w:val="Bibliography"/>
                <w:rPr>
                  <w:noProof/>
                </w:rPr>
              </w:pPr>
              <w:r w:rsidRPr="00E2507C">
                <w:rPr>
                  <w:lang w:val="fr-FR"/>
                </w:rPr>
                <w:t xml:space="preserve">ITIE Senegal, 2014. </w:t>
              </w:r>
              <w:r w:rsidRPr="00E2507C">
                <w:rPr>
                  <w:i/>
                  <w:lang w:val="fr-FR"/>
                </w:rPr>
                <w:t xml:space="preserve">PV RÉUNION DU GMP – 04 SEPTEMBRE 2014. </w:t>
              </w:r>
              <w:r w:rsidRPr="002815F4">
                <w:rPr>
                  <w:noProof/>
                </w:rPr>
                <w:t xml:space="preserve">[Online] </w:t>
              </w:r>
              <w:r w:rsidRPr="002815F4">
                <w:rPr>
                  <w:noProof/>
                </w:rPr>
                <w:br/>
                <w:t xml:space="preserve">Available at: </w:t>
              </w:r>
              <w:r w:rsidRPr="002815F4">
                <w:rPr>
                  <w:noProof/>
                  <w:u w:val="single"/>
                </w:rPr>
                <w:t>http://itie.sn/wp-content/uploads/2017/06/CR-GMP-N3.pdf</w:t>
              </w:r>
              <w:r w:rsidRPr="002815F4">
                <w:rPr>
                  <w:noProof/>
                </w:rPr>
                <w:br/>
                <w:t>[Accessed July 2017].</w:t>
              </w:r>
            </w:p>
            <w:p w14:paraId="2FB7D520" w14:textId="77777777" w:rsidR="003E626E" w:rsidRPr="002815F4" w:rsidRDefault="003E626E" w:rsidP="003E626E">
              <w:pPr>
                <w:pStyle w:val="Bibliography"/>
                <w:rPr>
                  <w:noProof/>
                </w:rPr>
              </w:pPr>
              <w:r w:rsidRPr="00E2507C">
                <w:rPr>
                  <w:lang w:val="fr-FR"/>
                </w:rPr>
                <w:t xml:space="preserve">ITIE Senegal, 2016. </w:t>
              </w:r>
              <w:r w:rsidRPr="00E2507C">
                <w:rPr>
                  <w:i/>
                  <w:lang w:val="fr-FR"/>
                </w:rPr>
                <w:t xml:space="preserve">REUNION DU GMP – 24 MAI 2016. </w:t>
              </w:r>
              <w:r w:rsidRPr="002815F4">
                <w:rPr>
                  <w:noProof/>
                </w:rPr>
                <w:t xml:space="preserve">[Online] </w:t>
              </w:r>
              <w:r w:rsidRPr="002815F4">
                <w:rPr>
                  <w:noProof/>
                </w:rPr>
                <w:br/>
                <w:t xml:space="preserve">Available at: </w:t>
              </w:r>
              <w:r w:rsidRPr="002815F4">
                <w:rPr>
                  <w:noProof/>
                  <w:u w:val="single"/>
                </w:rPr>
                <w:t>http://itie.sn/wp-content/uploads/2017/02/CR-2eme-re%CC%81union-extraordinaire.pdf</w:t>
              </w:r>
              <w:r w:rsidRPr="002815F4">
                <w:rPr>
                  <w:noProof/>
                </w:rPr>
                <w:br/>
                <w:t>[Accessed July 2017].</w:t>
              </w:r>
            </w:p>
            <w:p w14:paraId="3A77EBA4" w14:textId="77777777" w:rsidR="003E626E" w:rsidRPr="002815F4" w:rsidRDefault="003E626E" w:rsidP="003E626E">
              <w:pPr>
                <w:pStyle w:val="Bibliography"/>
                <w:rPr>
                  <w:noProof/>
                </w:rPr>
              </w:pPr>
              <w:r w:rsidRPr="00863985">
                <w:rPr>
                  <w:lang w:val="fr-FR"/>
                </w:rPr>
                <w:t xml:space="preserve">ITIE Senegal, 2017. </w:t>
              </w:r>
              <w:r w:rsidRPr="00863985">
                <w:rPr>
                  <w:i/>
                  <w:lang w:val="fr-FR"/>
                </w:rPr>
                <w:t xml:space="preserve">Rapport annuel d'avancement 2016 ITIE Senegal. </w:t>
              </w:r>
              <w:r w:rsidRPr="002815F4">
                <w:rPr>
                  <w:noProof/>
                </w:rPr>
                <w:t xml:space="preserve">[Online] </w:t>
              </w:r>
              <w:r w:rsidRPr="002815F4">
                <w:rPr>
                  <w:noProof/>
                </w:rPr>
                <w:br/>
                <w:t xml:space="preserve">Available at: </w:t>
              </w:r>
              <w:r w:rsidRPr="002815F4">
                <w:rPr>
                  <w:noProof/>
                  <w:u w:val="single"/>
                </w:rPr>
                <w:t>http://itie.sn/?offshore_dl=2430</w:t>
              </w:r>
              <w:r w:rsidRPr="002815F4">
                <w:rPr>
                  <w:noProof/>
                </w:rPr>
                <w:br/>
                <w:t>[Accessed July 2017].</w:t>
              </w:r>
            </w:p>
            <w:p w14:paraId="2597C334" w14:textId="77777777" w:rsidR="003E626E" w:rsidRPr="002815F4" w:rsidRDefault="003E626E" w:rsidP="003E626E">
              <w:pPr>
                <w:pStyle w:val="Bibliography"/>
                <w:rPr>
                  <w:noProof/>
                </w:rPr>
              </w:pPr>
              <w:r w:rsidRPr="00E2507C">
                <w:rPr>
                  <w:lang w:val="fr-FR"/>
                </w:rPr>
                <w:t xml:space="preserve">ITIE Senegal, 2017. </w:t>
              </w:r>
              <w:r w:rsidRPr="00E2507C">
                <w:rPr>
                  <w:i/>
                  <w:lang w:val="fr-FR"/>
                </w:rPr>
                <w:t xml:space="preserve">IMPACTS DE LA MISE EN OEUVRE DU PROCESSUS ITIE AU NIVEAU DES ADMINISTRATIONS ET DES ENTREPRISES (Juillet 2017). </w:t>
              </w:r>
              <w:r w:rsidRPr="002815F4">
                <w:rPr>
                  <w:noProof/>
                </w:rPr>
                <w:t xml:space="preserve">[Online] </w:t>
              </w:r>
              <w:r w:rsidRPr="002815F4">
                <w:rPr>
                  <w:noProof/>
                </w:rPr>
                <w:br/>
                <w:t xml:space="preserve">Available at: </w:t>
              </w:r>
              <w:r w:rsidRPr="002815F4">
                <w:rPr>
                  <w:noProof/>
                  <w:u w:val="single"/>
                </w:rPr>
                <w:t>unpublished, provided by the Senegal EITI Secretariat</w:t>
              </w:r>
              <w:r w:rsidRPr="002815F4">
                <w:rPr>
                  <w:noProof/>
                </w:rPr>
                <w:br/>
                <w:t>[Accessed July 2017].</w:t>
              </w:r>
            </w:p>
            <w:p w14:paraId="6DD4A2F4" w14:textId="6E090960" w:rsidR="00CB2928" w:rsidRPr="002815F4" w:rsidRDefault="00CB2928" w:rsidP="003E626E">
              <w:r w:rsidRPr="002815F4">
                <w:rPr>
                  <w:b/>
                </w:rPr>
                <w:fldChar w:fldCharType="end"/>
              </w:r>
            </w:p>
          </w:sdtContent>
        </w:sdt>
      </w:sdtContent>
    </w:sdt>
    <w:p w14:paraId="2BDCD0CF" w14:textId="7AB35C5A" w:rsidR="00CB2928" w:rsidRPr="002815F4" w:rsidRDefault="00CB2928" w:rsidP="00E02D8A"/>
    <w:p w14:paraId="2169B6EE" w14:textId="77777777" w:rsidR="00CB2928" w:rsidRPr="002815F4" w:rsidRDefault="00CB2928" w:rsidP="00E02D8A"/>
    <w:p w14:paraId="6F9B8D78" w14:textId="77777777" w:rsidR="00CB2928" w:rsidRPr="002815F4" w:rsidRDefault="00CB2928" w:rsidP="00E02D8A"/>
    <w:p w14:paraId="3D8F1999" w14:textId="77777777" w:rsidR="00CB2928" w:rsidRPr="002815F4" w:rsidRDefault="00CB2928" w:rsidP="00E02D8A"/>
    <w:p w14:paraId="35B493A9" w14:textId="4FBE0F39" w:rsidR="00112D9C" w:rsidRPr="002815F4" w:rsidRDefault="00CB2928" w:rsidP="009B3E66">
      <w:pPr>
        <w:pStyle w:val="Heading2notindexed"/>
      </w:pPr>
      <w:r w:rsidRPr="002815F4" w:rsidDel="00CB2928">
        <w:t xml:space="preserve"> </w:t>
      </w:r>
    </w:p>
    <w:p w14:paraId="2DC03CE1" w14:textId="62036CD3" w:rsidR="00320E5D" w:rsidRPr="002815F4" w:rsidRDefault="00320E5D" w:rsidP="00460ED2">
      <w:pPr>
        <w:spacing w:before="120"/>
        <w:rPr>
          <w:rFonts w:ascii="Calibri" w:hAnsi="Calibri"/>
        </w:rPr>
      </w:pPr>
    </w:p>
    <w:p w14:paraId="0D810FE2" w14:textId="723DE4F6" w:rsidR="002A170A" w:rsidRPr="002815F4" w:rsidRDefault="002A170A" w:rsidP="005F383B">
      <w:pPr>
        <w:widowControl/>
        <w:suppressAutoHyphens w:val="0"/>
        <w:spacing w:after="0" w:line="240" w:lineRule="auto"/>
        <w:rPr>
          <w:rFonts w:ascii="Calibri" w:hAnsi="Calibri"/>
          <w:b/>
          <w:bCs/>
          <w:color w:val="365F91"/>
        </w:rPr>
      </w:pPr>
    </w:p>
    <w:sectPr w:rsidR="002A170A" w:rsidRPr="002815F4" w:rsidSect="00505DFB">
      <w:pgSz w:w="11905" w:h="16837"/>
      <w:pgMar w:top="1175" w:right="1276" w:bottom="1418" w:left="1134" w:header="567" w:footer="0" w:gutter="0"/>
      <w:cols w:space="708"/>
      <w:titlePg/>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8" w:author="Jeremy Weate" w:date="2018-01-07T15:17:00Z" w:initials="JW">
    <w:p w14:paraId="0CF881D5" w14:textId="0205B1A5" w:rsidR="003C01E6" w:rsidRDefault="003C01E6">
      <w:pPr>
        <w:pStyle w:val="CommentText"/>
      </w:pPr>
      <w:r>
        <w:rPr>
          <w:rStyle w:val="CommentReference"/>
        </w:rPr>
        <w:annotationRef/>
      </w:r>
      <w:r>
        <w:t>Numbers need reformatting</w:t>
      </w:r>
    </w:p>
  </w:comment>
  <w:comment w:id="88" w:author="Jeremy Weate" w:date="2018-01-07T15:17:00Z" w:initials="JW">
    <w:p w14:paraId="2F7CB746" w14:textId="471733FD" w:rsidR="003C01E6" w:rsidRDefault="003C01E6">
      <w:pPr>
        <w:pStyle w:val="CommentText"/>
      </w:pPr>
      <w:r>
        <w:rPr>
          <w:rStyle w:val="CommentReference"/>
        </w:rPr>
        <w:annotationRef/>
      </w:r>
      <w:r>
        <w:rPr>
          <w:rStyle w:val="CommentReference"/>
        </w:rPr>
        <w:t>Agree with this assessment</w:t>
      </w:r>
    </w:p>
  </w:comment>
  <w:comment w:id="94" w:author="Jeremy Weate" w:date="2018-01-07T15:18:00Z" w:initials="JW">
    <w:p w14:paraId="679E05A0" w14:textId="31424B66" w:rsidR="003C01E6" w:rsidRDefault="003C01E6">
      <w:pPr>
        <w:pStyle w:val="CommentText"/>
      </w:pPr>
      <w:r>
        <w:rPr>
          <w:rStyle w:val="CommentReference"/>
        </w:rPr>
        <w:annotationRef/>
      </w:r>
      <w:r>
        <w:t>Great!</w:t>
      </w:r>
    </w:p>
  </w:comment>
  <w:comment w:id="96" w:author="Jeremy Weate" w:date="2018-01-07T15:18:00Z" w:initials="JW">
    <w:p w14:paraId="57536471" w14:textId="0B2AB3F8" w:rsidR="003C01E6" w:rsidRDefault="003C01E6">
      <w:pPr>
        <w:pStyle w:val="CommentText"/>
      </w:pPr>
      <w:r>
        <w:rPr>
          <w:rStyle w:val="CommentReference"/>
        </w:rPr>
        <w:annotationRef/>
      </w:r>
      <w:r>
        <w:rPr>
          <w:rStyle w:val="CommentReference"/>
        </w:rPr>
        <w:annotationRef/>
      </w:r>
      <w:r>
        <w:rPr>
          <w:rStyle w:val="CommentReference"/>
        </w:rPr>
        <w:t>Agree with this assessment</w:t>
      </w:r>
    </w:p>
  </w:comment>
  <w:comment w:id="102" w:author="Jeremy Weate" w:date="2018-01-07T15:18:00Z" w:initials="JW">
    <w:p w14:paraId="0046F834" w14:textId="5691E5F6" w:rsidR="003C01E6" w:rsidRDefault="003C01E6">
      <w:pPr>
        <w:pStyle w:val="CommentText"/>
      </w:pPr>
      <w:r>
        <w:rPr>
          <w:rStyle w:val="CommentReference"/>
        </w:rPr>
        <w:annotationRef/>
      </w:r>
      <w:r>
        <w:rPr>
          <w:rStyle w:val="CommentReference"/>
        </w:rPr>
        <w:annotationRef/>
      </w:r>
      <w:r>
        <w:rPr>
          <w:rStyle w:val="CommentReference"/>
        </w:rPr>
        <w:t>Agree with this assessment</w:t>
      </w:r>
    </w:p>
  </w:comment>
  <w:comment w:id="109" w:author="Jeremy Weate" w:date="2018-01-07T15:20:00Z" w:initials="JW">
    <w:p w14:paraId="2E224919" w14:textId="646FD13C" w:rsidR="007322F9" w:rsidRDefault="007322F9">
      <w:pPr>
        <w:pStyle w:val="CommentText"/>
      </w:pPr>
      <w:r>
        <w:rPr>
          <w:rStyle w:val="CommentReference"/>
        </w:rPr>
        <w:annotationRef/>
      </w:r>
      <w:r>
        <w:rPr>
          <w:rFonts w:ascii="Helvetica" w:eastAsia="Helvetica" w:hAnsi="Helvetica" w:cs="Helvetica"/>
        </w:rPr>
        <w:t>–</w:t>
      </w:r>
      <w:r>
        <w:t xml:space="preserve"> and almost could be classified as </w:t>
      </w:r>
      <w:r>
        <w:rPr>
          <w:rFonts w:ascii="Helvetica" w:eastAsia="Helvetica" w:hAnsi="Helvetica" w:cs="Helvetica"/>
        </w:rPr>
        <w:t>‘</w:t>
      </w:r>
      <w:r>
        <w:t>beyond</w:t>
      </w:r>
      <w:r>
        <w:rPr>
          <w:rFonts w:ascii="Helvetica" w:eastAsia="Helvetica" w:hAnsi="Helvetica" w:cs="Helvetica"/>
        </w:rPr>
        <w:t>’</w:t>
      </w:r>
      <w:r>
        <w:t xml:space="preserve"> if it wasn</w:t>
      </w:r>
      <w:r>
        <w:rPr>
          <w:rFonts w:ascii="Helvetica" w:eastAsia="Helvetica" w:hAnsi="Helvetica" w:cs="Helvetica"/>
        </w:rPr>
        <w:t>’</w:t>
      </w:r>
      <w:r>
        <w:t>t for lack of publicly available codified nomination procedures and updated foundational decree? Very impressive MSG!</w:t>
      </w:r>
    </w:p>
  </w:comment>
  <w:comment w:id="116" w:author="Jeremy Weate" w:date="2018-01-07T15:20:00Z" w:initials="JW">
    <w:p w14:paraId="698CACA9" w14:textId="0CF856B0" w:rsidR="003C01E6" w:rsidRDefault="003C01E6">
      <w:pPr>
        <w:pStyle w:val="CommentText"/>
      </w:pPr>
      <w:r>
        <w:rPr>
          <w:rStyle w:val="CommentReference"/>
        </w:rPr>
        <w:annotationRef/>
      </w:r>
      <w:r>
        <w:t>Agree</w:t>
      </w:r>
      <w:r w:rsidR="007322F9">
        <w:rPr>
          <w:rFonts w:ascii="Helvetica" w:eastAsia="Helvetica" w:hAnsi="Helvetica" w:cs="Helvetica"/>
        </w:rPr>
        <w:t xml:space="preserve"> with this assessment</w:t>
      </w:r>
    </w:p>
  </w:comment>
  <w:comment w:id="118" w:author="Jeremy Weate" w:date="2018-01-07T15:19:00Z" w:initials="JW">
    <w:p w14:paraId="481B66A0" w14:textId="5EA1CA53" w:rsidR="007322F9" w:rsidRDefault="007322F9">
      <w:pPr>
        <w:pStyle w:val="CommentText"/>
      </w:pPr>
      <w:r>
        <w:rPr>
          <w:rStyle w:val="CommentReference"/>
        </w:rPr>
        <w:annotationRef/>
      </w:r>
      <w:r>
        <w:t>Agree with assessment for all requirements and also with recommendations. Impressive MSG governance and functioning.</w:t>
      </w:r>
    </w:p>
  </w:comment>
  <w:comment w:id="152" w:author="Jeremy Weate" w:date="2018-01-07T15:11:00Z" w:initials="JW">
    <w:p w14:paraId="1C9CEF32" w14:textId="688A2E3F" w:rsidR="00594087" w:rsidRDefault="00594087">
      <w:pPr>
        <w:pStyle w:val="CommentText"/>
      </w:pPr>
      <w:r>
        <w:rPr>
          <w:rStyle w:val="CommentReference"/>
        </w:rPr>
        <w:annotationRef/>
      </w:r>
      <w:r>
        <w:rPr>
          <w:rStyle w:val="CommentReference"/>
        </w:rPr>
        <w:t>Agree with this assessment</w:t>
      </w:r>
    </w:p>
  </w:comment>
  <w:comment w:id="156" w:author="Jeremy Weate" w:date="2018-01-07T15:11:00Z" w:initials="JW">
    <w:p w14:paraId="444A0CB7" w14:textId="127C8F1D" w:rsidR="00594087" w:rsidRDefault="00594087">
      <w:pPr>
        <w:pStyle w:val="CommentText"/>
      </w:pPr>
      <w:r>
        <w:rPr>
          <w:rStyle w:val="CommentReference"/>
        </w:rPr>
        <w:annotationRef/>
      </w:r>
      <w:r>
        <w:rPr>
          <w:rStyle w:val="CommentReference"/>
        </w:rPr>
        <w:annotationRef/>
      </w:r>
      <w:r>
        <w:rPr>
          <w:rStyle w:val="CommentReference"/>
        </w:rPr>
        <w:t>Agree with this assessment</w:t>
      </w:r>
    </w:p>
  </w:comment>
  <w:comment w:id="163" w:author="Jeremy Weate" w:date="2018-01-07T15:11:00Z" w:initials="JW">
    <w:p w14:paraId="74EBF032" w14:textId="4C8FBF3B" w:rsidR="00D27A59" w:rsidRDefault="00D27A59">
      <w:pPr>
        <w:pStyle w:val="CommentText"/>
      </w:pPr>
      <w:r>
        <w:rPr>
          <w:rStyle w:val="CommentReference"/>
        </w:rPr>
        <w:annotationRef/>
      </w:r>
      <w:r>
        <w:rPr>
          <w:rStyle w:val="CommentReference"/>
        </w:rPr>
        <w:annotationRef/>
      </w:r>
      <w:r>
        <w:rPr>
          <w:rStyle w:val="CommentReference"/>
        </w:rPr>
        <w:t>Agree with this assessment</w:t>
      </w:r>
    </w:p>
  </w:comment>
  <w:comment w:id="171" w:author="Jeremy Weate" w:date="2018-01-07T15:11:00Z" w:initials="JW">
    <w:p w14:paraId="41A825CE" w14:textId="6FBFA069" w:rsidR="00D27A59" w:rsidRDefault="00D27A59">
      <w:pPr>
        <w:pStyle w:val="CommentText"/>
      </w:pPr>
      <w:r>
        <w:rPr>
          <w:rStyle w:val="CommentReference"/>
        </w:rPr>
        <w:annotationRef/>
      </w:r>
      <w:r>
        <w:rPr>
          <w:rStyle w:val="CommentReference"/>
        </w:rPr>
        <w:annotationRef/>
      </w:r>
      <w:r>
        <w:rPr>
          <w:rStyle w:val="CommentReference"/>
        </w:rPr>
        <w:t>Agree with this assessment</w:t>
      </w:r>
    </w:p>
  </w:comment>
  <w:comment w:id="186" w:author="Jeremy Weate" w:date="2018-01-07T15:11:00Z" w:initials="JW">
    <w:p w14:paraId="2579E231" w14:textId="7E95EB0B" w:rsidR="00D27A59" w:rsidRDefault="00D27A59">
      <w:pPr>
        <w:pStyle w:val="CommentText"/>
      </w:pPr>
      <w:r>
        <w:rPr>
          <w:rStyle w:val="CommentReference"/>
        </w:rPr>
        <w:annotationRef/>
      </w:r>
      <w:r>
        <w:rPr>
          <w:rStyle w:val="CommentReference"/>
        </w:rPr>
        <w:annotationRef/>
      </w:r>
      <w:r>
        <w:rPr>
          <w:rStyle w:val="CommentReference"/>
        </w:rPr>
        <w:t>Agree with this assessment</w:t>
      </w:r>
    </w:p>
  </w:comment>
  <w:comment w:id="208" w:author="Jeremy Weate" w:date="2018-01-07T15:11:00Z" w:initials="JW">
    <w:p w14:paraId="5866F16B" w14:textId="40DCE1F5" w:rsidR="00D27A59" w:rsidRDefault="00D27A59">
      <w:pPr>
        <w:pStyle w:val="CommentText"/>
      </w:pPr>
      <w:r>
        <w:rPr>
          <w:rStyle w:val="CommentReference"/>
        </w:rPr>
        <w:annotationRef/>
      </w:r>
      <w:r>
        <w:rPr>
          <w:rStyle w:val="CommentReference"/>
        </w:rPr>
        <w:annotationRef/>
      </w:r>
      <w:r>
        <w:rPr>
          <w:rStyle w:val="CommentReference"/>
        </w:rPr>
        <w:t>Agree with this assessment</w:t>
      </w:r>
    </w:p>
  </w:comment>
  <w:comment w:id="215" w:author="Jeremy Weate" w:date="2018-01-07T15:12:00Z" w:initials="JW">
    <w:p w14:paraId="74D55795" w14:textId="38F13B2E" w:rsidR="00D27A59" w:rsidRDefault="00D27A59">
      <w:pPr>
        <w:pStyle w:val="CommentText"/>
      </w:pPr>
      <w:r>
        <w:rPr>
          <w:rStyle w:val="CommentReference"/>
        </w:rPr>
        <w:annotationRef/>
      </w:r>
      <w:r>
        <w:rPr>
          <w:rStyle w:val="CommentReference"/>
        </w:rPr>
        <w:annotationRef/>
      </w:r>
      <w:r>
        <w:rPr>
          <w:rStyle w:val="CommentReference"/>
        </w:rPr>
        <w:t>Agree with this assessment</w:t>
      </w:r>
    </w:p>
  </w:comment>
  <w:comment w:id="223" w:author="Jeremy Weate" w:date="2018-01-07T15:12:00Z" w:initials="JW">
    <w:p w14:paraId="19782204" w14:textId="646B0820" w:rsidR="00D27A59" w:rsidRDefault="00D27A59">
      <w:pPr>
        <w:pStyle w:val="CommentText"/>
      </w:pPr>
      <w:r>
        <w:rPr>
          <w:rStyle w:val="CommentReference"/>
        </w:rPr>
        <w:annotationRef/>
      </w:r>
      <w:r>
        <w:rPr>
          <w:rStyle w:val="CommentReference"/>
        </w:rPr>
        <w:annotationRef/>
      </w:r>
      <w:r>
        <w:rPr>
          <w:rStyle w:val="CommentReference"/>
        </w:rPr>
        <w:t>Agree with this assessment</w:t>
      </w:r>
    </w:p>
  </w:comment>
  <w:comment w:id="257" w:author="Jeremy Weate" w:date="2018-01-07T15:24:00Z" w:initials="JW">
    <w:p w14:paraId="5028621C" w14:textId="4C9F9B69" w:rsidR="00237E0F" w:rsidRDefault="00237E0F">
      <w:pPr>
        <w:pStyle w:val="CommentText"/>
      </w:pPr>
      <w:r>
        <w:rPr>
          <w:rStyle w:val="CommentReference"/>
        </w:rPr>
        <w:annotationRef/>
      </w:r>
      <w:r>
        <w:rPr>
          <w:rStyle w:val="CommentReference"/>
        </w:rPr>
        <w:t>Agree with this assessment</w:t>
      </w:r>
    </w:p>
  </w:comment>
  <w:comment w:id="265" w:author="Jeremy Weate" w:date="2018-01-07T15:25:00Z" w:initials="JW">
    <w:p w14:paraId="09A1E51F" w14:textId="74560373" w:rsidR="006C1263" w:rsidRDefault="006C1263">
      <w:pPr>
        <w:pStyle w:val="CommentText"/>
      </w:pPr>
      <w:r>
        <w:rPr>
          <w:rStyle w:val="CommentReference"/>
        </w:rPr>
        <w:annotationRef/>
      </w:r>
      <w:r>
        <w:rPr>
          <w:rStyle w:val="CommentReference"/>
        </w:rPr>
        <w:annotationRef/>
      </w:r>
      <w:r>
        <w:rPr>
          <w:rStyle w:val="CommentReference"/>
        </w:rPr>
        <w:t>Agree with this assessment</w:t>
      </w:r>
    </w:p>
  </w:comment>
  <w:comment w:id="274" w:author="Jeremy Weate" w:date="2018-01-07T15:25:00Z" w:initials="JW">
    <w:p w14:paraId="620AA895" w14:textId="48F27B33" w:rsidR="00C54E41" w:rsidRDefault="00C54E41">
      <w:pPr>
        <w:pStyle w:val="CommentText"/>
      </w:pPr>
      <w:r>
        <w:rPr>
          <w:rStyle w:val="CommentReference"/>
        </w:rPr>
        <w:annotationRef/>
      </w:r>
      <w:r>
        <w:rPr>
          <w:rStyle w:val="CommentReference"/>
        </w:rPr>
        <w:annotationRef/>
      </w:r>
      <w:r>
        <w:rPr>
          <w:rStyle w:val="CommentReference"/>
        </w:rPr>
        <w:t>Agree with this assessment</w:t>
      </w:r>
    </w:p>
  </w:comment>
  <w:comment w:id="283" w:author="Jeremy Weate" w:date="2018-01-07T15:25:00Z" w:initials="JW">
    <w:p w14:paraId="6ED51497" w14:textId="0E47D1B6" w:rsidR="00B87010" w:rsidRDefault="00B87010">
      <w:pPr>
        <w:pStyle w:val="CommentText"/>
      </w:pPr>
      <w:r>
        <w:rPr>
          <w:rStyle w:val="CommentReference"/>
        </w:rPr>
        <w:annotationRef/>
      </w:r>
      <w:r>
        <w:rPr>
          <w:rStyle w:val="CommentReference"/>
        </w:rPr>
        <w:annotationRef/>
      </w:r>
      <w:r>
        <w:rPr>
          <w:rStyle w:val="CommentReference"/>
        </w:rPr>
        <w:t>Agree with this assessment</w:t>
      </w:r>
    </w:p>
  </w:comment>
  <w:comment w:id="292" w:author="Jeremy Weate" w:date="2018-01-07T15:25:00Z" w:initials="JW">
    <w:p w14:paraId="2BD037F7" w14:textId="2D25AD40" w:rsidR="00581ABB" w:rsidRDefault="00581ABB">
      <w:pPr>
        <w:pStyle w:val="CommentText"/>
      </w:pPr>
      <w:r>
        <w:rPr>
          <w:rStyle w:val="CommentReference"/>
        </w:rPr>
        <w:annotationRef/>
      </w:r>
      <w:r>
        <w:rPr>
          <w:rStyle w:val="CommentReference"/>
        </w:rPr>
        <w:annotationRef/>
      </w:r>
      <w:r>
        <w:rPr>
          <w:rStyle w:val="CommentReference"/>
        </w:rPr>
        <w:t>Agree with this assessment</w:t>
      </w:r>
    </w:p>
  </w:comment>
  <w:comment w:id="300" w:author="Jeremy Weate" w:date="2018-01-07T15:26:00Z" w:initials="JW">
    <w:p w14:paraId="722EAE44" w14:textId="3CB25706" w:rsidR="00233E1F" w:rsidRDefault="00233E1F">
      <w:pPr>
        <w:pStyle w:val="CommentText"/>
      </w:pPr>
      <w:r>
        <w:rPr>
          <w:rStyle w:val="CommentReference"/>
        </w:rPr>
        <w:annotationRef/>
      </w:r>
      <w:r>
        <w:rPr>
          <w:rStyle w:val="CommentReference"/>
        </w:rPr>
        <w:annotationRef/>
      </w:r>
      <w:r>
        <w:rPr>
          <w:rStyle w:val="CommentReference"/>
        </w:rPr>
        <w:t>Agree with this assessment</w:t>
      </w:r>
    </w:p>
  </w:comment>
  <w:comment w:id="309" w:author="Jeremy Weate" w:date="2018-01-07T15:26:00Z" w:initials="JW">
    <w:p w14:paraId="0429FA20" w14:textId="3048F0F2" w:rsidR="000977BB" w:rsidRDefault="000977BB">
      <w:pPr>
        <w:pStyle w:val="CommentText"/>
      </w:pPr>
      <w:r>
        <w:rPr>
          <w:rStyle w:val="CommentReference"/>
        </w:rPr>
        <w:annotationRef/>
      </w:r>
      <w:r>
        <w:rPr>
          <w:rStyle w:val="CommentReference"/>
        </w:rPr>
        <w:annotationRef/>
      </w:r>
      <w:r>
        <w:rPr>
          <w:rStyle w:val="CommentReference"/>
        </w:rPr>
        <w:t>Agree with this assessment</w:t>
      </w:r>
    </w:p>
  </w:comment>
  <w:comment w:id="317" w:author="Jeremy Weate" w:date="2018-01-07T15:26:00Z" w:initials="JW">
    <w:p w14:paraId="79503FE3" w14:textId="316D72BB" w:rsidR="000977BB" w:rsidRDefault="000977BB">
      <w:pPr>
        <w:pStyle w:val="CommentText"/>
      </w:pPr>
      <w:r>
        <w:rPr>
          <w:rStyle w:val="CommentReference"/>
        </w:rPr>
        <w:annotationRef/>
      </w:r>
      <w:r>
        <w:rPr>
          <w:rStyle w:val="CommentReference"/>
        </w:rPr>
        <w:annotationRef/>
      </w:r>
      <w:r>
        <w:rPr>
          <w:rStyle w:val="CommentReference"/>
        </w:rPr>
        <w:t>Agree with this assessment</w:t>
      </w:r>
    </w:p>
  </w:comment>
  <w:comment w:id="325" w:author="Jeremy Weate" w:date="2018-01-07T15:26:00Z" w:initials="JW">
    <w:p w14:paraId="4ED736E4" w14:textId="6917695E" w:rsidR="000977BB" w:rsidRDefault="000977BB">
      <w:pPr>
        <w:pStyle w:val="CommentText"/>
      </w:pPr>
      <w:r>
        <w:rPr>
          <w:rStyle w:val="CommentReference"/>
        </w:rPr>
        <w:annotationRef/>
      </w:r>
      <w:r>
        <w:rPr>
          <w:rStyle w:val="CommentReference"/>
        </w:rPr>
        <w:annotationRef/>
      </w:r>
      <w:r>
        <w:rPr>
          <w:rStyle w:val="CommentReference"/>
        </w:rPr>
        <w:t>Agree with this assessment</w:t>
      </w:r>
    </w:p>
  </w:comment>
  <w:comment w:id="348" w:author="Jeremy Weate" w:date="2018-01-07T15:28:00Z" w:initials="JW">
    <w:p w14:paraId="11C0A07E" w14:textId="3B3C1771" w:rsidR="00FE1E4C" w:rsidRDefault="00FE1E4C">
      <w:pPr>
        <w:pStyle w:val="CommentText"/>
      </w:pPr>
      <w:r>
        <w:rPr>
          <w:rStyle w:val="CommentReference"/>
        </w:rPr>
        <w:annotationRef/>
      </w:r>
      <w:r>
        <w:rPr>
          <w:rStyle w:val="CommentReference"/>
        </w:rPr>
        <w:annotationRef/>
      </w:r>
      <w:r>
        <w:rPr>
          <w:rStyle w:val="CommentReference"/>
        </w:rPr>
        <w:t>Agree with this assessment</w:t>
      </w:r>
    </w:p>
  </w:comment>
  <w:comment w:id="357" w:author="Jeremy Weate" w:date="2018-01-07T15:28:00Z" w:initials="JW">
    <w:p w14:paraId="1FF79E68" w14:textId="746C2FD1" w:rsidR="00622B3E" w:rsidRDefault="00622B3E">
      <w:pPr>
        <w:pStyle w:val="CommentText"/>
      </w:pPr>
      <w:r>
        <w:rPr>
          <w:rStyle w:val="CommentReference"/>
        </w:rPr>
        <w:annotationRef/>
      </w:r>
      <w:r>
        <w:t>Agree</w:t>
      </w:r>
    </w:p>
  </w:comment>
  <w:comment w:id="366" w:author="Jeremy Weate" w:date="2018-01-07T15:28:00Z" w:initials="JW">
    <w:p w14:paraId="75734CD9" w14:textId="469C2C28" w:rsidR="00622B3E" w:rsidRDefault="00622B3E">
      <w:pPr>
        <w:pStyle w:val="CommentText"/>
      </w:pPr>
      <w:r>
        <w:rPr>
          <w:rStyle w:val="CommentReference"/>
        </w:rPr>
        <w:annotationRef/>
      </w:r>
      <w:r>
        <w:t>Agree</w:t>
      </w:r>
    </w:p>
  </w:comment>
  <w:comment w:id="389" w:author="Jeremy Weate" w:date="2018-01-07T15:29:00Z" w:initials="JW">
    <w:p w14:paraId="0801CEF7" w14:textId="7E7755C8" w:rsidR="008B1C30" w:rsidRDefault="008B1C30">
      <w:pPr>
        <w:pStyle w:val="CommentText"/>
      </w:pPr>
      <w:r>
        <w:rPr>
          <w:rStyle w:val="CommentReference"/>
        </w:rPr>
        <w:annotationRef/>
      </w:r>
      <w:r>
        <w:rPr>
          <w:rStyle w:val="CommentReference"/>
        </w:rPr>
        <w:annotationRef/>
      </w:r>
      <w:r>
        <w:rPr>
          <w:rStyle w:val="CommentReference"/>
        </w:rPr>
        <w:t>Agree with this assessment</w:t>
      </w:r>
    </w:p>
  </w:comment>
  <w:comment w:id="398" w:author="Jeremy Weate" w:date="2018-01-07T15:29:00Z" w:initials="JW">
    <w:p w14:paraId="7B061825" w14:textId="30BA260D" w:rsidR="00154B5A" w:rsidRDefault="00154B5A">
      <w:pPr>
        <w:pStyle w:val="CommentText"/>
      </w:pPr>
      <w:r>
        <w:rPr>
          <w:rStyle w:val="CommentReference"/>
        </w:rPr>
        <w:annotationRef/>
      </w:r>
      <w:r>
        <w:t>Agree</w:t>
      </w:r>
    </w:p>
  </w:comment>
  <w:comment w:id="407" w:author="Jeremy Weate" w:date="2018-01-07T15:29:00Z" w:initials="JW">
    <w:p w14:paraId="2D3529ED" w14:textId="234D1F92" w:rsidR="00EF1184" w:rsidRDefault="00EF1184">
      <w:pPr>
        <w:pStyle w:val="CommentText"/>
      </w:pPr>
      <w:r>
        <w:rPr>
          <w:rStyle w:val="CommentReference"/>
        </w:rPr>
        <w:annotationRef/>
      </w:r>
      <w:r>
        <w:rPr>
          <w:rStyle w:val="CommentReference"/>
        </w:rPr>
        <w:annotationRef/>
      </w:r>
      <w:r>
        <w:rPr>
          <w:rStyle w:val="CommentReference"/>
        </w:rPr>
        <w:t>Agree with this assessment</w:t>
      </w:r>
    </w:p>
  </w:comment>
  <w:comment w:id="430" w:author="Jeremy Weate" w:date="2018-01-07T15:15:00Z" w:initials="JW">
    <w:p w14:paraId="59FF3384" w14:textId="15FD3B64" w:rsidR="006A3A0E" w:rsidRDefault="006A3A0E">
      <w:pPr>
        <w:pStyle w:val="CommentText"/>
      </w:pPr>
      <w:r>
        <w:rPr>
          <w:rStyle w:val="CommentReference"/>
        </w:rPr>
        <w:annotationRef/>
      </w:r>
      <w:r>
        <w:rPr>
          <w:rStyle w:val="CommentReference"/>
        </w:rPr>
        <w:annotationRef/>
      </w:r>
      <w:r>
        <w:rPr>
          <w:rStyle w:val="CommentReference"/>
        </w:rPr>
        <w:t>Agree with this assessment</w:t>
      </w:r>
    </w:p>
  </w:comment>
  <w:comment w:id="446" w:author="Jeremy Weate" w:date="2018-01-07T15:15:00Z" w:initials="JW">
    <w:p w14:paraId="2EDC2E3E" w14:textId="6BBD4F64" w:rsidR="006A3A0E" w:rsidRDefault="006A3A0E">
      <w:pPr>
        <w:pStyle w:val="CommentText"/>
      </w:pPr>
      <w:r>
        <w:rPr>
          <w:rStyle w:val="CommentReference"/>
        </w:rPr>
        <w:annotationRef/>
      </w:r>
      <w:r>
        <w:rPr>
          <w:rStyle w:val="CommentReference"/>
        </w:rPr>
        <w:annotationRef/>
      </w:r>
      <w:r>
        <w:rPr>
          <w:rStyle w:val="CommentReference"/>
        </w:rPr>
        <w:t>Agree with this assessment</w:t>
      </w:r>
    </w:p>
  </w:comment>
  <w:comment w:id="455" w:author="Jeremy Weate" w:date="2018-01-07T15:16:00Z" w:initials="JW">
    <w:p w14:paraId="589BA4E4" w14:textId="5963D65A" w:rsidR="006A3A0E" w:rsidRDefault="006A3A0E">
      <w:pPr>
        <w:pStyle w:val="CommentText"/>
      </w:pPr>
      <w:r>
        <w:rPr>
          <w:rStyle w:val="CommentReference"/>
        </w:rPr>
        <w:annotationRef/>
      </w:r>
      <w:r>
        <w:rPr>
          <w:rStyle w:val="CommentReference"/>
        </w:rPr>
        <w:annotationRef/>
      </w:r>
      <w:r>
        <w:rPr>
          <w:rStyle w:val="CommentReference"/>
        </w:rPr>
        <w:t>Agree with this assessment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37DDD" w14:textId="77777777" w:rsidR="00EB7029" w:rsidRDefault="00EB7029">
      <w:pPr>
        <w:spacing w:after="0" w:line="240" w:lineRule="auto"/>
      </w:pPr>
      <w:r>
        <w:separator/>
      </w:r>
    </w:p>
    <w:p w14:paraId="4FC06FBC" w14:textId="77777777" w:rsidR="00EB7029" w:rsidRDefault="00EB7029"/>
    <w:p w14:paraId="248B6C9F" w14:textId="77777777" w:rsidR="00EB7029" w:rsidRDefault="00EB7029"/>
  </w:endnote>
  <w:endnote w:type="continuationSeparator" w:id="0">
    <w:p w14:paraId="17ACEBEE" w14:textId="77777777" w:rsidR="00EB7029" w:rsidRDefault="00EB7029">
      <w:pPr>
        <w:spacing w:after="0" w:line="240" w:lineRule="auto"/>
      </w:pPr>
      <w:r>
        <w:continuationSeparator/>
      </w:r>
    </w:p>
    <w:p w14:paraId="5FE3C600" w14:textId="77777777" w:rsidR="00EB7029" w:rsidRDefault="00EB7029"/>
    <w:p w14:paraId="402FE536" w14:textId="77777777" w:rsidR="00EB7029" w:rsidRDefault="00EB7029"/>
  </w:endnote>
  <w:endnote w:type="continuationNotice" w:id="1">
    <w:p w14:paraId="2A1D54D3" w14:textId="77777777" w:rsidR="00EB7029" w:rsidRDefault="00EB7029">
      <w:pPr>
        <w:spacing w:after="0" w:line="240" w:lineRule="auto"/>
      </w:pPr>
    </w:p>
    <w:p w14:paraId="424BEA49" w14:textId="77777777" w:rsidR="00EB7029" w:rsidRDefault="00EB7029"/>
    <w:p w14:paraId="7567BEDE" w14:textId="77777777" w:rsidR="00EB7029" w:rsidRDefault="00EB7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yriad Pro SemiCond">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Myriad Pro Light SemiCond">
    <w:altName w:val="Corbel"/>
    <w:panose1 w:val="00000000000000000000"/>
    <w:charset w:val="00"/>
    <w:family w:val="swiss"/>
    <w:notTrueType/>
    <w:pitch w:val="variable"/>
    <w:sig w:usb0="A00002AF" w:usb1="5000204B" w:usb2="00000000" w:usb3="00000000" w:csb0="000000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System">
    <w:panose1 w:val="00000000000000000000"/>
    <w:charset w:val="4D"/>
    <w:family w:val="swiss"/>
    <w:notTrueType/>
    <w:pitch w:val="variable"/>
    <w:sig w:usb0="00000003" w:usb1="00000000" w:usb2="00000000" w:usb3="00000000" w:csb0="00000001" w:csb1="00000000"/>
  </w:font>
  <w:font w:name="Heiti SC">
    <w:altName w:val="Heiti SC Light"/>
    <w:charset w:val="86"/>
    <w:family w:val="auto"/>
    <w:pitch w:val="variable"/>
    <w:sig w:usb0="8000002F" w:usb1="080E004A" w:usb2="00000010" w:usb3="00000000" w:csb0="003E0000"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EED85" w14:textId="77777777" w:rsidR="00EB7029" w:rsidRDefault="00EB7029" w:rsidP="005E6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EED86" w14:textId="77777777" w:rsidR="00EB7029" w:rsidRDefault="00EB7029" w:rsidP="00F149CB">
    <w:pPr>
      <w:pStyle w:val="Footer"/>
      <w:ind w:right="360"/>
    </w:pPr>
  </w:p>
  <w:p w14:paraId="07E8C7CB" w14:textId="77777777" w:rsidR="00EB7029" w:rsidRDefault="00EB7029"/>
  <w:p w14:paraId="16681215" w14:textId="77777777" w:rsidR="00EB7029" w:rsidRDefault="00EB702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EED87" w14:textId="12D587B0" w:rsidR="00EB7029" w:rsidRPr="00F149CB" w:rsidRDefault="00EB7029" w:rsidP="00F149CB">
    <w:pPr>
      <w:pStyle w:val="Footer"/>
      <w:framePr w:h="1102" w:hRule="exact" w:wrap="around" w:vAnchor="text" w:hAnchor="page" w:x="10510" w:y="-478"/>
      <w:rPr>
        <w:rStyle w:val="PageNumber"/>
        <w:rFonts w:ascii="Calibri" w:hAnsi="Calibri"/>
      </w:rPr>
    </w:pPr>
  </w:p>
  <w:p w14:paraId="0EA0808F" w14:textId="4FD4F8D5" w:rsidR="00EB7029" w:rsidRPr="0079042F" w:rsidRDefault="00EB7029" w:rsidP="00263937">
    <w:pPr>
      <w:widowControl/>
      <w:pBdr>
        <w:top w:val="single" w:sz="4" w:space="1" w:color="0076AF"/>
      </w:pBdr>
      <w:tabs>
        <w:tab w:val="right" w:pos="9639"/>
      </w:tabs>
      <w:suppressAutoHyphens w:val="0"/>
      <w:spacing w:after="0" w:line="240" w:lineRule="auto"/>
      <w:rPr>
        <w:rFonts w:ascii="Calibri" w:eastAsia="Calibri" w:hAnsi="Calibri" w:cs="Times New Roman"/>
        <w:color w:val="0076AF"/>
        <w:sz w:val="28"/>
      </w:rPr>
    </w:pPr>
    <w:r w:rsidRPr="00263937">
      <w:rPr>
        <w:rFonts w:ascii="Calibri" w:eastAsia="Calibri" w:hAnsi="Calibri" w:cs="Times New Roman"/>
        <w:sz w:val="18"/>
        <w:szCs w:val="18"/>
      </w:rPr>
      <w:t xml:space="preserve"> </w:t>
    </w:r>
    <w:r>
      <w:rPr>
        <w:rFonts w:ascii="Calibri" w:eastAsia="Calibri" w:hAnsi="Calibri" w:cs="Times New Roman"/>
        <w:sz w:val="18"/>
        <w:szCs w:val="18"/>
      </w:rPr>
      <w:br/>
    </w:r>
    <w:r w:rsidRPr="0079042F">
      <w:rPr>
        <w:rFonts w:ascii="Calibri" w:eastAsia="Calibri" w:hAnsi="Calibri" w:cs="Times New Roman"/>
        <w:sz w:val="18"/>
        <w:szCs w:val="18"/>
      </w:rPr>
      <w:t xml:space="preserve">Website </w:t>
    </w:r>
    <w:r w:rsidRPr="0079042F">
      <w:rPr>
        <w:rFonts w:ascii="Calibri" w:eastAsia="Calibri" w:hAnsi="Calibri" w:cs="Times New Roman"/>
        <w:color w:val="0076AF"/>
        <w:sz w:val="18"/>
        <w:szCs w:val="18"/>
      </w:rPr>
      <w:t>www.eiti.org</w:t>
    </w:r>
    <w:r w:rsidRPr="0079042F">
      <w:rPr>
        <w:rFonts w:ascii="Calibri" w:eastAsia="Calibri" w:hAnsi="Calibri" w:cs="Times New Roman"/>
        <w:sz w:val="18"/>
        <w:szCs w:val="18"/>
      </w:rPr>
      <w:t xml:space="preserve"> Email </w:t>
    </w:r>
    <w:r w:rsidRPr="0079042F">
      <w:rPr>
        <w:rFonts w:ascii="Calibri" w:eastAsia="Calibri" w:hAnsi="Calibri" w:cs="Times New Roman"/>
        <w:color w:val="0076AF"/>
        <w:sz w:val="18"/>
        <w:szCs w:val="18"/>
      </w:rPr>
      <w:t>secretariat@eiti.org</w:t>
    </w:r>
    <w:r w:rsidRPr="0079042F">
      <w:rPr>
        <w:rFonts w:ascii="Calibri" w:eastAsia="Calibri" w:hAnsi="Calibri" w:cs="Times New Roman"/>
        <w:sz w:val="18"/>
        <w:szCs w:val="18"/>
      </w:rPr>
      <w:t xml:space="preserve"> Telephone </w:t>
    </w:r>
    <w:r w:rsidRPr="0079042F">
      <w:rPr>
        <w:rFonts w:ascii="Calibri" w:eastAsia="Calibri" w:hAnsi="Calibri" w:cs="Times New Roman"/>
        <w:color w:val="0076AF"/>
        <w:sz w:val="18"/>
        <w:szCs w:val="18"/>
      </w:rPr>
      <w:t>+47 22 20 08 00</w:t>
    </w:r>
    <w:r w:rsidRPr="0079042F">
      <w:rPr>
        <w:rFonts w:ascii="Calibri" w:eastAsia="Calibri" w:hAnsi="Calibri" w:cs="Times New Roman"/>
        <w:sz w:val="18"/>
        <w:szCs w:val="18"/>
      </w:rPr>
      <w:t xml:space="preserve"> Fax </w:t>
    </w:r>
    <w:r w:rsidRPr="0079042F">
      <w:rPr>
        <w:rFonts w:ascii="Calibri" w:eastAsia="Calibri" w:hAnsi="Calibri" w:cs="Times New Roman"/>
        <w:color w:val="0076AF"/>
        <w:sz w:val="18"/>
        <w:szCs w:val="18"/>
      </w:rPr>
      <w:t>+47 22 83 08 02</w:t>
    </w:r>
    <w:r w:rsidRPr="0079042F">
      <w:rPr>
        <w:rFonts w:ascii="Calibri" w:eastAsia="Calibri" w:hAnsi="Calibri" w:cs="Times New Roman"/>
        <w:color w:val="0076AF"/>
        <w:sz w:val="18"/>
        <w:szCs w:val="18"/>
      </w:rPr>
      <w:tab/>
    </w:r>
  </w:p>
  <w:p w14:paraId="02130298" w14:textId="1A78D3F2" w:rsidR="00EB7029" w:rsidRPr="00A2070A" w:rsidRDefault="00EB7029" w:rsidP="00E03D03">
    <w:pPr>
      <w:widowControl/>
      <w:pBdr>
        <w:top w:val="single" w:sz="4" w:space="1" w:color="0076AF"/>
      </w:pBdr>
      <w:tabs>
        <w:tab w:val="right" w:pos="9639"/>
      </w:tabs>
      <w:suppressAutoHyphens w:val="0"/>
      <w:spacing w:after="0" w:line="240" w:lineRule="auto"/>
    </w:pPr>
    <w:r w:rsidRPr="0079042F">
      <w:rPr>
        <w:rFonts w:ascii="Calibri" w:eastAsia="Calibri" w:hAnsi="Calibri" w:cs="Times New Roman"/>
        <w:sz w:val="18"/>
        <w:szCs w:val="18"/>
      </w:rPr>
      <w:t xml:space="preserve">Address </w:t>
    </w:r>
    <w:r w:rsidRPr="0079042F">
      <w:rPr>
        <w:rFonts w:ascii="Calibri" w:eastAsia="Calibri" w:hAnsi="Calibri" w:cs="Times New Roman"/>
        <w:color w:val="0076AF"/>
        <w:sz w:val="18"/>
        <w:szCs w:val="18"/>
      </w:rPr>
      <w:t xml:space="preserve">EITI International Secretariat, </w:t>
    </w:r>
    <w:r w:rsidRPr="00331F62">
      <w:rPr>
        <w:rFonts w:ascii="Calibri" w:eastAsia="Calibri" w:hAnsi="Calibri" w:cs="Times New Roman"/>
        <w:color w:val="0076AF"/>
        <w:sz w:val="18"/>
        <w:szCs w:val="18"/>
      </w:rPr>
      <w:t>Skippergate 22, 0154 Oslo</w:t>
    </w:r>
    <w:r w:rsidRPr="0079042F">
      <w:rPr>
        <w:rFonts w:ascii="Calibri" w:eastAsia="Calibri" w:hAnsi="Calibri" w:cs="Times New Roman"/>
        <w:color w:val="0076AF"/>
        <w:sz w:val="18"/>
        <w:szCs w:val="18"/>
      </w:rPr>
      <w:t>, Norway</w:t>
    </w:r>
  </w:p>
  <w:p w14:paraId="70BEED89" w14:textId="600B6AD5" w:rsidR="00EB7029" w:rsidRPr="00EC431E" w:rsidRDefault="00EB7029" w:rsidP="00C80AFC">
    <w:pPr>
      <w:pStyle w:val="Footer"/>
      <w:ind w:left="-993" w:right="360"/>
      <w:jc w:val="right"/>
      <w:rPr>
        <w:sz w:val="16"/>
        <w:lang w:eastAsia="ar-SA"/>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61380" w14:textId="24751CE8" w:rsidR="00EB7029" w:rsidRPr="0079042F" w:rsidRDefault="00EB7029" w:rsidP="00263937">
    <w:pPr>
      <w:widowControl/>
      <w:pBdr>
        <w:top w:val="single" w:sz="4" w:space="1" w:color="0076AF"/>
      </w:pBdr>
      <w:tabs>
        <w:tab w:val="right" w:pos="9639"/>
      </w:tabs>
      <w:suppressAutoHyphens w:val="0"/>
      <w:spacing w:after="0" w:line="240" w:lineRule="auto"/>
      <w:rPr>
        <w:rFonts w:ascii="Calibri" w:eastAsia="Calibri" w:hAnsi="Calibri" w:cs="Times New Roman"/>
        <w:color w:val="0076AF"/>
        <w:sz w:val="28"/>
      </w:rPr>
    </w:pPr>
    <w:r w:rsidRPr="00263937">
      <w:rPr>
        <w:rFonts w:ascii="Calibri" w:eastAsia="Calibri" w:hAnsi="Calibri" w:cs="Times New Roman"/>
        <w:sz w:val="18"/>
        <w:szCs w:val="18"/>
      </w:rPr>
      <w:t xml:space="preserve"> </w:t>
    </w:r>
    <w:r>
      <w:rPr>
        <w:rFonts w:ascii="Calibri" w:eastAsia="Calibri" w:hAnsi="Calibri" w:cs="Times New Roman"/>
        <w:sz w:val="18"/>
        <w:szCs w:val="18"/>
      </w:rPr>
      <w:br/>
    </w:r>
    <w:r w:rsidRPr="0079042F">
      <w:rPr>
        <w:rFonts w:ascii="Calibri" w:eastAsia="Calibri" w:hAnsi="Calibri" w:cs="Times New Roman"/>
        <w:sz w:val="18"/>
        <w:szCs w:val="18"/>
      </w:rPr>
      <w:t xml:space="preserve">Website </w:t>
    </w:r>
    <w:r w:rsidRPr="0079042F">
      <w:rPr>
        <w:rFonts w:ascii="Calibri" w:eastAsia="Calibri" w:hAnsi="Calibri" w:cs="Times New Roman"/>
        <w:color w:val="0076AF"/>
        <w:sz w:val="18"/>
        <w:szCs w:val="18"/>
      </w:rPr>
      <w:t>www.eiti.org</w:t>
    </w:r>
    <w:r w:rsidRPr="0079042F">
      <w:rPr>
        <w:rFonts w:ascii="Calibri" w:eastAsia="Calibri" w:hAnsi="Calibri" w:cs="Times New Roman"/>
        <w:sz w:val="18"/>
        <w:szCs w:val="18"/>
      </w:rPr>
      <w:t xml:space="preserve"> Email </w:t>
    </w:r>
    <w:r w:rsidRPr="0079042F">
      <w:rPr>
        <w:rFonts w:ascii="Calibri" w:eastAsia="Calibri" w:hAnsi="Calibri" w:cs="Times New Roman"/>
        <w:color w:val="0076AF"/>
        <w:sz w:val="18"/>
        <w:szCs w:val="18"/>
      </w:rPr>
      <w:t>secretariat@eiti.org</w:t>
    </w:r>
    <w:r w:rsidRPr="0079042F">
      <w:rPr>
        <w:rFonts w:ascii="Calibri" w:eastAsia="Calibri" w:hAnsi="Calibri" w:cs="Times New Roman"/>
        <w:sz w:val="18"/>
        <w:szCs w:val="18"/>
      </w:rPr>
      <w:t xml:space="preserve"> Telephone </w:t>
    </w:r>
    <w:r w:rsidRPr="0079042F">
      <w:rPr>
        <w:rFonts w:ascii="Calibri" w:eastAsia="Calibri" w:hAnsi="Calibri" w:cs="Times New Roman"/>
        <w:color w:val="0076AF"/>
        <w:sz w:val="18"/>
        <w:szCs w:val="18"/>
      </w:rPr>
      <w:t>+47 22 20 08 00</w:t>
    </w:r>
    <w:r w:rsidRPr="0079042F">
      <w:rPr>
        <w:rFonts w:ascii="Calibri" w:eastAsia="Calibri" w:hAnsi="Calibri" w:cs="Times New Roman"/>
        <w:sz w:val="18"/>
        <w:szCs w:val="18"/>
      </w:rPr>
      <w:t xml:space="preserve"> Fax </w:t>
    </w:r>
    <w:r w:rsidRPr="0079042F">
      <w:rPr>
        <w:rFonts w:ascii="Calibri" w:eastAsia="Calibri" w:hAnsi="Calibri" w:cs="Times New Roman"/>
        <w:color w:val="0076AF"/>
        <w:sz w:val="18"/>
        <w:szCs w:val="18"/>
      </w:rPr>
      <w:t>+47 22 83 08 02</w:t>
    </w:r>
    <w:r w:rsidRPr="0079042F">
      <w:rPr>
        <w:rFonts w:ascii="Calibri" w:eastAsia="Calibri" w:hAnsi="Calibri" w:cs="Times New Roman"/>
        <w:color w:val="0076AF"/>
        <w:sz w:val="18"/>
        <w:szCs w:val="18"/>
      </w:rPr>
      <w:tab/>
    </w:r>
  </w:p>
  <w:p w14:paraId="6476F5A2" w14:textId="6DF3882D" w:rsidR="00EB7029" w:rsidRPr="0079042F" w:rsidRDefault="00EB7029" w:rsidP="00263937">
    <w:pPr>
      <w:widowControl/>
      <w:pBdr>
        <w:top w:val="single" w:sz="4" w:space="1" w:color="0076AF"/>
      </w:pBdr>
      <w:tabs>
        <w:tab w:val="right" w:pos="9639"/>
      </w:tabs>
      <w:suppressAutoHyphens w:val="0"/>
      <w:spacing w:after="0" w:line="240" w:lineRule="auto"/>
      <w:rPr>
        <w:rFonts w:ascii="Calibri" w:eastAsia="Calibri" w:hAnsi="Calibri" w:cs="Times New Roman"/>
        <w:color w:val="0076AF"/>
        <w:sz w:val="28"/>
      </w:rPr>
    </w:pPr>
    <w:r w:rsidRPr="0079042F">
      <w:rPr>
        <w:rFonts w:ascii="Calibri" w:eastAsia="Calibri" w:hAnsi="Calibri" w:cs="Times New Roman"/>
        <w:sz w:val="18"/>
        <w:szCs w:val="18"/>
      </w:rPr>
      <w:t xml:space="preserve">Address </w:t>
    </w:r>
    <w:r w:rsidRPr="0079042F">
      <w:rPr>
        <w:rFonts w:ascii="Calibri" w:eastAsia="Calibri" w:hAnsi="Calibri" w:cs="Times New Roman"/>
        <w:color w:val="0076AF"/>
        <w:sz w:val="18"/>
        <w:szCs w:val="18"/>
      </w:rPr>
      <w:t xml:space="preserve">EITI International Secretariat, </w:t>
    </w:r>
    <w:r w:rsidRPr="007A08E5">
      <w:rPr>
        <w:rFonts w:ascii="Calibri" w:eastAsia="Calibri" w:hAnsi="Calibri" w:cs="Times New Roman"/>
        <w:color w:val="0076AF"/>
        <w:sz w:val="18"/>
        <w:szCs w:val="18"/>
      </w:rPr>
      <w:t>Skippergate 22, 0154 Oslo</w:t>
    </w:r>
    <w:r w:rsidRPr="0079042F">
      <w:rPr>
        <w:rFonts w:ascii="Calibri" w:eastAsia="Calibri" w:hAnsi="Calibri" w:cs="Times New Roman"/>
        <w:color w:val="0076AF"/>
        <w:sz w:val="18"/>
        <w:szCs w:val="18"/>
      </w:rPr>
      <w:t>, Norway</w:t>
    </w:r>
  </w:p>
  <w:p w14:paraId="6483ABE4" w14:textId="001B1A56" w:rsidR="00EB7029" w:rsidRPr="00C80AFC" w:rsidRDefault="00EB7029" w:rsidP="00C80AFC">
    <w:pPr>
      <w:tabs>
        <w:tab w:val="center" w:pos="4320"/>
        <w:tab w:val="right" w:pos="8640"/>
      </w:tabs>
      <w:spacing w:after="0"/>
      <w:rPr>
        <w:rFonts w:ascii="Calibri" w:hAnsi="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C7B1F" w14:textId="77777777" w:rsidR="00EB7029" w:rsidRDefault="00EB7029">
      <w:r>
        <w:separator/>
      </w:r>
    </w:p>
  </w:footnote>
  <w:footnote w:type="continuationSeparator" w:id="0">
    <w:p w14:paraId="5672C74C" w14:textId="77777777" w:rsidR="00EB7029" w:rsidRDefault="00EB7029">
      <w:r>
        <w:continuationSeparator/>
      </w:r>
    </w:p>
  </w:footnote>
  <w:footnote w:type="continuationNotice" w:id="1">
    <w:p w14:paraId="22E68B3C" w14:textId="77777777" w:rsidR="00EB7029" w:rsidRPr="006F348B" w:rsidRDefault="00EB7029" w:rsidP="006F348B">
      <w:pPr>
        <w:pStyle w:val="Footer"/>
      </w:pPr>
    </w:p>
  </w:footnote>
  <w:footnote w:id="2">
    <w:p w14:paraId="130C4753" w14:textId="77777777" w:rsidR="00EB7029" w:rsidRPr="00FF1374" w:rsidRDefault="00EB7029" w:rsidP="004E6B07">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1" w:history="1">
        <w:r w:rsidRPr="00FF1374">
          <w:rPr>
            <w:rStyle w:val="Hyperlink"/>
            <w:rFonts w:asciiTheme="majorHAnsi" w:hAnsiTheme="majorHAnsi" w:cs="Calibri"/>
            <w:sz w:val="16"/>
            <w:szCs w:val="16"/>
            <w:lang w:val="en-GB"/>
          </w:rPr>
          <w:t>https://eiti.org/BD/2016-18</w:t>
        </w:r>
      </w:hyperlink>
      <w:r w:rsidRPr="00FF1374">
        <w:rPr>
          <w:rFonts w:asciiTheme="majorHAnsi" w:hAnsiTheme="majorHAnsi"/>
          <w:sz w:val="16"/>
          <w:szCs w:val="16"/>
          <w:lang w:val="en-GB"/>
        </w:rPr>
        <w:t xml:space="preserve"> </w:t>
      </w:r>
    </w:p>
  </w:footnote>
  <w:footnote w:id="3">
    <w:p w14:paraId="5918F4EC" w14:textId="77777777" w:rsidR="00EB7029" w:rsidRPr="00FF1374" w:rsidRDefault="00EB7029" w:rsidP="004E6B07">
      <w:pPr>
        <w:pStyle w:val="FootnoteText"/>
        <w:rPr>
          <w:rFonts w:asciiTheme="majorHAnsi" w:hAnsiTheme="majorHAnsi" w:cstheme="majorHAnsi"/>
          <w:sz w:val="16"/>
          <w:szCs w:val="16"/>
          <w:lang w:val="en-GB"/>
        </w:rPr>
      </w:pPr>
      <w:r w:rsidRPr="00FF1374">
        <w:rPr>
          <w:rStyle w:val="FootnoteReference"/>
          <w:rFonts w:asciiTheme="majorHAnsi" w:hAnsiTheme="majorHAnsi" w:cstheme="majorHAnsi"/>
          <w:sz w:val="16"/>
          <w:szCs w:val="16"/>
          <w:lang w:val="en-GB"/>
        </w:rPr>
        <w:footnoteRef/>
      </w:r>
      <w:r w:rsidRPr="00FF1374">
        <w:rPr>
          <w:rFonts w:asciiTheme="majorHAnsi" w:hAnsiTheme="majorHAnsi" w:cstheme="majorHAnsi"/>
          <w:sz w:val="16"/>
          <w:szCs w:val="16"/>
          <w:lang w:val="en-GB"/>
        </w:rPr>
        <w:t xml:space="preserve"> </w:t>
      </w:r>
      <w:hyperlink r:id="rId2" w:history="1">
        <w:r w:rsidRPr="00FF1374">
          <w:rPr>
            <w:rStyle w:val="Hyperlink"/>
            <w:rFonts w:asciiTheme="majorHAnsi" w:hAnsiTheme="majorHAnsi" w:cstheme="majorHAnsi"/>
            <w:sz w:val="16"/>
            <w:szCs w:val="16"/>
            <w:lang w:val="en-GB"/>
          </w:rPr>
          <w:t>https://beta.eiti.org/document/validation-procedures</w:t>
        </w:r>
      </w:hyperlink>
      <w:r w:rsidRPr="00FF1374">
        <w:rPr>
          <w:rFonts w:asciiTheme="majorHAnsi" w:hAnsiTheme="majorHAnsi" w:cstheme="majorHAnsi"/>
          <w:sz w:val="16"/>
          <w:szCs w:val="16"/>
          <w:lang w:val="en-GB"/>
        </w:rPr>
        <w:t xml:space="preserve"> </w:t>
      </w:r>
    </w:p>
  </w:footnote>
  <w:footnote w:id="4">
    <w:p w14:paraId="2D78DD4C" w14:textId="77777777" w:rsidR="00EB7029" w:rsidRPr="00FF1374" w:rsidRDefault="00EB7029" w:rsidP="004E6B07">
      <w:pPr>
        <w:pStyle w:val="FootnoteText"/>
        <w:rPr>
          <w:rFonts w:asciiTheme="majorHAnsi" w:hAnsiTheme="majorHAnsi" w:cstheme="majorHAnsi"/>
          <w:sz w:val="16"/>
          <w:szCs w:val="16"/>
          <w:lang w:val="en-GB"/>
        </w:rPr>
      </w:pPr>
      <w:r w:rsidRPr="00FF1374">
        <w:rPr>
          <w:rStyle w:val="FootnoteReference"/>
          <w:rFonts w:asciiTheme="majorHAnsi" w:hAnsiTheme="majorHAnsi" w:cstheme="majorHAnsi"/>
          <w:sz w:val="16"/>
          <w:szCs w:val="16"/>
          <w:lang w:val="en-GB"/>
        </w:rPr>
        <w:footnoteRef/>
      </w:r>
      <w:r w:rsidRPr="00FF1374">
        <w:rPr>
          <w:rFonts w:asciiTheme="majorHAnsi" w:hAnsiTheme="majorHAnsi" w:cstheme="majorHAnsi"/>
          <w:sz w:val="16"/>
          <w:szCs w:val="16"/>
          <w:lang w:val="en-GB"/>
        </w:rPr>
        <w:t xml:space="preserve"> </w:t>
      </w:r>
      <w:hyperlink r:id="rId3" w:history="1">
        <w:r w:rsidRPr="00FF1374">
          <w:rPr>
            <w:rStyle w:val="Hyperlink"/>
            <w:rFonts w:asciiTheme="majorHAnsi" w:hAnsiTheme="majorHAnsi" w:cstheme="majorHAnsi"/>
            <w:sz w:val="16"/>
            <w:szCs w:val="16"/>
            <w:lang w:val="en-GB"/>
          </w:rPr>
          <w:t>https://beta.eiti.org/document/validation-guide</w:t>
        </w:r>
      </w:hyperlink>
      <w:r w:rsidRPr="00FF1374">
        <w:rPr>
          <w:rFonts w:asciiTheme="majorHAnsi" w:hAnsiTheme="majorHAnsi" w:cstheme="majorHAnsi"/>
          <w:sz w:val="16"/>
          <w:szCs w:val="16"/>
          <w:lang w:val="en-GB"/>
        </w:rPr>
        <w:t xml:space="preserve"> </w:t>
      </w:r>
    </w:p>
  </w:footnote>
  <w:footnote w:id="5">
    <w:p w14:paraId="42EC6559" w14:textId="77777777" w:rsidR="00EB7029" w:rsidRPr="00FF1374" w:rsidRDefault="00EB7029" w:rsidP="009D6AD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4" w:history="1">
        <w:r w:rsidRPr="00FF1374">
          <w:rPr>
            <w:rStyle w:val="Hyperlink"/>
            <w:rFonts w:asciiTheme="majorHAnsi" w:hAnsiTheme="majorHAnsi" w:cs="Calibri"/>
            <w:sz w:val="16"/>
            <w:szCs w:val="16"/>
            <w:lang w:val="en-GB"/>
          </w:rPr>
          <w:t>https://eiti.org/document/25th-board-meeting</w:t>
        </w:r>
      </w:hyperlink>
      <w:r w:rsidRPr="00FF1374">
        <w:rPr>
          <w:rFonts w:asciiTheme="majorHAnsi" w:hAnsiTheme="majorHAnsi"/>
          <w:sz w:val="16"/>
          <w:szCs w:val="16"/>
          <w:lang w:val="en-GB"/>
        </w:rPr>
        <w:t xml:space="preserve"> </w:t>
      </w:r>
    </w:p>
  </w:footnote>
  <w:footnote w:id="6">
    <w:p w14:paraId="2A8F8952" w14:textId="77777777" w:rsidR="00EB7029" w:rsidRPr="00FF1374" w:rsidRDefault="00EB7029" w:rsidP="00DB6A5F">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5" w:history="1">
        <w:r w:rsidRPr="00FF1374">
          <w:rPr>
            <w:rStyle w:val="Hyperlink"/>
            <w:rFonts w:asciiTheme="majorHAnsi" w:hAnsiTheme="majorHAnsi" w:cs="Calibri"/>
            <w:sz w:val="16"/>
            <w:szCs w:val="16"/>
            <w:lang w:val="en-GB"/>
          </w:rPr>
          <w:t>https://www.transparency.org/country/SEN</w:t>
        </w:r>
      </w:hyperlink>
      <w:r w:rsidRPr="00FF1374">
        <w:rPr>
          <w:rFonts w:asciiTheme="majorHAnsi" w:hAnsiTheme="majorHAnsi"/>
          <w:sz w:val="16"/>
          <w:szCs w:val="16"/>
          <w:lang w:val="en-GB"/>
        </w:rPr>
        <w:t xml:space="preserve"> </w:t>
      </w:r>
    </w:p>
  </w:footnote>
  <w:footnote w:id="7">
    <w:p w14:paraId="73B2D15E" w14:textId="77777777" w:rsidR="00EB7029" w:rsidRPr="00FF1374" w:rsidRDefault="00EB7029" w:rsidP="009C6D72">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6" w:history="1">
        <w:r w:rsidRPr="00FF1374">
          <w:rPr>
            <w:rStyle w:val="Hyperlink"/>
            <w:rFonts w:asciiTheme="majorHAnsi" w:hAnsiTheme="majorHAnsi" w:cs="Calibri"/>
            <w:sz w:val="16"/>
            <w:szCs w:val="16"/>
            <w:lang w:val="en-GB"/>
          </w:rPr>
          <w:t>http://itie.sn/?offshore_dl=1177</w:t>
        </w:r>
      </w:hyperlink>
      <w:r w:rsidRPr="00FF1374">
        <w:rPr>
          <w:rFonts w:asciiTheme="majorHAnsi" w:hAnsiTheme="majorHAnsi"/>
          <w:sz w:val="16"/>
          <w:szCs w:val="16"/>
          <w:lang w:val="en-GB"/>
        </w:rPr>
        <w:t xml:space="preserve"> </w:t>
      </w:r>
    </w:p>
  </w:footnote>
  <w:footnote w:id="8">
    <w:p w14:paraId="2AFA1CAE" w14:textId="20B4A4ED"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7" w:history="1">
        <w:r w:rsidRPr="00FF1374">
          <w:rPr>
            <w:rStyle w:val="Hyperlink"/>
            <w:rFonts w:asciiTheme="majorHAnsi" w:hAnsiTheme="majorHAnsi" w:cs="Calibri"/>
            <w:sz w:val="16"/>
            <w:szCs w:val="16"/>
            <w:lang w:val="en-GB"/>
          </w:rPr>
          <w:t>http://itie.sn/groupe-multipartite/</w:t>
        </w:r>
      </w:hyperlink>
      <w:r w:rsidRPr="00FF1374">
        <w:rPr>
          <w:rFonts w:asciiTheme="majorHAnsi" w:hAnsiTheme="majorHAnsi"/>
          <w:sz w:val="16"/>
          <w:szCs w:val="16"/>
          <w:lang w:val="en-GB"/>
        </w:rPr>
        <w:t xml:space="preserve"> </w:t>
      </w:r>
    </w:p>
  </w:footnote>
  <w:footnote w:id="9">
    <w:p w14:paraId="25AC4ECE" w14:textId="77777777" w:rsidR="00EB7029" w:rsidRPr="00FF1374" w:rsidRDefault="00EB7029" w:rsidP="002140C1">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8" w:history="1">
        <w:r w:rsidRPr="00FF1374">
          <w:rPr>
            <w:rStyle w:val="Hyperlink"/>
            <w:rFonts w:asciiTheme="majorHAnsi" w:hAnsiTheme="majorHAnsi" w:cs="Calibri"/>
            <w:sz w:val="16"/>
            <w:szCs w:val="16"/>
            <w:lang w:val="en-GB"/>
          </w:rPr>
          <w:t>http://agc-sngb.org/en/?page_id=1913</w:t>
        </w:r>
      </w:hyperlink>
      <w:r w:rsidRPr="00FF1374">
        <w:rPr>
          <w:rFonts w:asciiTheme="majorHAnsi" w:hAnsiTheme="majorHAnsi"/>
          <w:sz w:val="16"/>
          <w:szCs w:val="16"/>
          <w:lang w:val="en-GB"/>
        </w:rPr>
        <w:t xml:space="preserve"> </w:t>
      </w:r>
    </w:p>
  </w:footnote>
  <w:footnote w:id="10">
    <w:p w14:paraId="0A5B991D" w14:textId="04B0626B" w:rsidR="00EB7029" w:rsidRPr="00FF1374" w:rsidRDefault="00EB7029" w:rsidP="00E03D03">
      <w:pPr>
        <w:pStyle w:val="FootnoteText"/>
        <w:tabs>
          <w:tab w:val="left" w:pos="3416"/>
        </w:tabs>
        <w:contextualSpacing/>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See also </w:t>
      </w:r>
      <w:hyperlink r:id="rId9" w:history="1">
        <w:r w:rsidRPr="00FF1374">
          <w:rPr>
            <w:rStyle w:val="Hyperlink"/>
            <w:rFonts w:asciiTheme="majorHAnsi" w:hAnsiTheme="majorHAnsi" w:cs="Calibri"/>
            <w:sz w:val="16"/>
            <w:szCs w:val="16"/>
            <w:lang w:val="en-GB"/>
          </w:rPr>
          <w:t>https://eiti.org/validation</w:t>
        </w:r>
      </w:hyperlink>
      <w:r w:rsidRPr="00FF1374">
        <w:rPr>
          <w:rFonts w:asciiTheme="majorHAnsi" w:hAnsiTheme="majorHAnsi"/>
          <w:sz w:val="16"/>
          <w:szCs w:val="16"/>
          <w:lang w:val="en-GB"/>
        </w:rPr>
        <w:t xml:space="preserve">. </w:t>
      </w:r>
      <w:r w:rsidRPr="00FF1374">
        <w:rPr>
          <w:rFonts w:asciiTheme="majorHAnsi" w:hAnsiTheme="majorHAnsi"/>
          <w:sz w:val="16"/>
          <w:szCs w:val="16"/>
          <w:lang w:val="en-GB"/>
        </w:rPr>
        <w:tab/>
      </w:r>
    </w:p>
  </w:footnote>
  <w:footnote w:id="11">
    <w:p w14:paraId="7CDA977C" w14:textId="77777777" w:rsidR="00EB7029" w:rsidRPr="00FF1374" w:rsidRDefault="00EB7029" w:rsidP="002E290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10" w:history="1">
        <w:r w:rsidRPr="00FF1374">
          <w:rPr>
            <w:rStyle w:val="Hyperlink"/>
            <w:rFonts w:asciiTheme="majorHAnsi" w:hAnsiTheme="majorHAnsi" w:cs="Calibri"/>
            <w:sz w:val="16"/>
            <w:szCs w:val="16"/>
            <w:lang w:val="en-GB"/>
          </w:rPr>
          <w:t>http://itie.sn/groupe-multipartite/</w:t>
        </w:r>
      </w:hyperlink>
      <w:r w:rsidRPr="00FF1374">
        <w:rPr>
          <w:rFonts w:asciiTheme="majorHAnsi" w:hAnsiTheme="majorHAnsi"/>
          <w:sz w:val="16"/>
          <w:szCs w:val="16"/>
          <w:lang w:val="en-GB"/>
        </w:rPr>
        <w:t xml:space="preserve"> </w:t>
      </w:r>
    </w:p>
  </w:footnote>
  <w:footnote w:id="12">
    <w:p w14:paraId="2C997FB2" w14:textId="73070874"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11" w:history="1">
        <w:r w:rsidRPr="00FF1374">
          <w:rPr>
            <w:rStyle w:val="Hyperlink"/>
            <w:rFonts w:asciiTheme="majorHAnsi" w:hAnsiTheme="majorHAnsi" w:cs="Calibri"/>
            <w:sz w:val="16"/>
            <w:szCs w:val="16"/>
            <w:lang w:val="en-GB"/>
          </w:rPr>
          <w:t>http://itie.sn/groupe-multipartite/</w:t>
        </w:r>
      </w:hyperlink>
      <w:r w:rsidRPr="00FF1374">
        <w:rPr>
          <w:rFonts w:asciiTheme="majorHAnsi" w:hAnsiTheme="majorHAnsi"/>
          <w:sz w:val="16"/>
          <w:szCs w:val="16"/>
          <w:lang w:val="en-GB"/>
        </w:rPr>
        <w:t xml:space="preserve"> </w:t>
      </w:r>
    </w:p>
  </w:footnote>
  <w:footnote w:id="13">
    <w:p w14:paraId="5027806F" w14:textId="77777777" w:rsidR="00EB7029" w:rsidRPr="00FF1374" w:rsidRDefault="00EB7029" w:rsidP="007070FF">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12" w:history="1">
        <w:r w:rsidRPr="00FF1374">
          <w:rPr>
            <w:rStyle w:val="Hyperlink"/>
            <w:rFonts w:asciiTheme="majorHAnsi" w:hAnsiTheme="majorHAnsi" w:cs="Calibri"/>
            <w:sz w:val="16"/>
            <w:szCs w:val="16"/>
            <w:lang w:val="en-GB"/>
          </w:rPr>
          <w:t>http://itie.sn/?offshore_dl=2146</w:t>
        </w:r>
      </w:hyperlink>
      <w:r w:rsidRPr="00FF1374">
        <w:rPr>
          <w:rFonts w:asciiTheme="majorHAnsi" w:hAnsiTheme="majorHAnsi"/>
          <w:sz w:val="16"/>
          <w:szCs w:val="16"/>
          <w:lang w:val="en-GB"/>
        </w:rPr>
        <w:t xml:space="preserve"> </w:t>
      </w:r>
    </w:p>
  </w:footnote>
  <w:footnote w:id="14">
    <w:p w14:paraId="04F55D99" w14:textId="77777777" w:rsidR="00EB7029" w:rsidRPr="00FF1374" w:rsidRDefault="00EB7029" w:rsidP="006C669D">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13" w:history="1">
        <w:r w:rsidRPr="00FF1374">
          <w:rPr>
            <w:rStyle w:val="Hyperlink"/>
            <w:rFonts w:asciiTheme="majorHAnsi" w:hAnsiTheme="majorHAnsi" w:cs="Calibri"/>
            <w:sz w:val="16"/>
            <w:szCs w:val="16"/>
            <w:lang w:val="en-GB"/>
          </w:rPr>
          <w:t>https://freedomhouse.org/report/freedom-world/2017/senegal</w:t>
        </w:r>
      </w:hyperlink>
      <w:r w:rsidRPr="00FF1374">
        <w:rPr>
          <w:rFonts w:asciiTheme="majorHAnsi" w:hAnsiTheme="majorHAnsi"/>
          <w:sz w:val="16"/>
          <w:szCs w:val="16"/>
          <w:lang w:val="en-GB"/>
        </w:rPr>
        <w:t xml:space="preserve"> </w:t>
      </w:r>
    </w:p>
  </w:footnote>
  <w:footnote w:id="15">
    <w:p w14:paraId="1C32F5CC" w14:textId="02B4D5C2"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14" w:history="1">
        <w:r w:rsidRPr="00FF1374">
          <w:rPr>
            <w:rStyle w:val="Hyperlink"/>
            <w:rFonts w:asciiTheme="majorHAnsi" w:hAnsiTheme="majorHAnsi" w:cs="Calibri"/>
            <w:sz w:val="16"/>
            <w:szCs w:val="16"/>
            <w:lang w:val="en-GB"/>
          </w:rPr>
          <w:t>https://www.hrw.org/africa/senegal</w:t>
        </w:r>
      </w:hyperlink>
      <w:r w:rsidRPr="00FF1374">
        <w:rPr>
          <w:rFonts w:asciiTheme="majorHAnsi" w:hAnsiTheme="majorHAnsi"/>
          <w:sz w:val="16"/>
          <w:szCs w:val="16"/>
          <w:lang w:val="en-GB"/>
        </w:rPr>
        <w:t xml:space="preserve"> </w:t>
      </w:r>
    </w:p>
  </w:footnote>
  <w:footnote w:id="16">
    <w:p w14:paraId="6F109035" w14:textId="7E0635CA"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15" w:history="1">
        <w:r w:rsidRPr="00FF1374">
          <w:rPr>
            <w:rStyle w:val="Hyperlink"/>
            <w:rFonts w:asciiTheme="majorHAnsi" w:hAnsiTheme="majorHAnsi" w:cs="Calibri"/>
            <w:sz w:val="16"/>
            <w:szCs w:val="16"/>
            <w:lang w:val="en-GB"/>
          </w:rPr>
          <w:t>https://freedomhouse.org/country/senegal</w:t>
        </w:r>
      </w:hyperlink>
      <w:r w:rsidRPr="00FF1374">
        <w:rPr>
          <w:rFonts w:asciiTheme="majorHAnsi" w:hAnsiTheme="majorHAnsi"/>
          <w:sz w:val="16"/>
          <w:szCs w:val="16"/>
          <w:lang w:val="en-GB"/>
        </w:rPr>
        <w:t xml:space="preserve"> </w:t>
      </w:r>
    </w:p>
  </w:footnote>
  <w:footnote w:id="17">
    <w:p w14:paraId="354D6AA0" w14:textId="1A039F07"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16" w:history="1">
        <w:r w:rsidRPr="00FF1374">
          <w:rPr>
            <w:rStyle w:val="Hyperlink"/>
            <w:rFonts w:asciiTheme="majorHAnsi" w:hAnsiTheme="majorHAnsi" w:cs="Calibri"/>
            <w:sz w:val="16"/>
            <w:szCs w:val="16"/>
            <w:lang w:val="en-GB"/>
          </w:rPr>
          <w:t>https://rsf.org/en/senegal</w:t>
        </w:r>
      </w:hyperlink>
      <w:r w:rsidRPr="00FF1374">
        <w:rPr>
          <w:rFonts w:asciiTheme="majorHAnsi" w:hAnsiTheme="majorHAnsi"/>
          <w:sz w:val="16"/>
          <w:szCs w:val="16"/>
          <w:lang w:val="en-GB"/>
        </w:rPr>
        <w:t xml:space="preserve"> </w:t>
      </w:r>
    </w:p>
  </w:footnote>
  <w:footnote w:id="18">
    <w:p w14:paraId="4284DDEC" w14:textId="77777777" w:rsidR="00EB7029" w:rsidRPr="00E2507C" w:rsidRDefault="00EB7029" w:rsidP="00485BEA">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E2507C">
        <w:rPr>
          <w:rFonts w:asciiTheme="majorHAnsi" w:hAnsiTheme="majorHAnsi"/>
          <w:sz w:val="16"/>
          <w:szCs w:val="16"/>
          <w:lang w:val="fr-FR"/>
        </w:rPr>
        <w:t xml:space="preserve"> Organisation de défense du droit à la liberté d’opinion et d’expression. </w:t>
      </w:r>
    </w:p>
  </w:footnote>
  <w:footnote w:id="19">
    <w:p w14:paraId="7E42848B" w14:textId="77777777" w:rsidR="00EB7029" w:rsidRPr="00863985" w:rsidRDefault="00EB7029" w:rsidP="00485BEA">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Société internationale pour les droits de l'homme. </w:t>
      </w:r>
    </w:p>
  </w:footnote>
  <w:footnote w:id="20">
    <w:p w14:paraId="58E3B238" w14:textId="77777777" w:rsidR="00EB7029" w:rsidRPr="00863985" w:rsidRDefault="00EB7029" w:rsidP="00485BEA">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Groupe Agora pour l'éducation aux droits de l'enfant et à la paix. </w:t>
      </w:r>
    </w:p>
  </w:footnote>
  <w:footnote w:id="21">
    <w:p w14:paraId="3238F393" w14:textId="77777777" w:rsidR="00EB7029" w:rsidRPr="00863985" w:rsidRDefault="00EB7029" w:rsidP="00485BEA">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Organisation Nationale des Droits de l'Homme. </w:t>
      </w:r>
    </w:p>
  </w:footnote>
  <w:footnote w:id="22">
    <w:p w14:paraId="3DDA93F0" w14:textId="351BDE28" w:rsidR="00EB7029" w:rsidRPr="00863985" w:rsidRDefault="00EB7029" w:rsidP="009A417B">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w:t>
      </w:r>
      <w:hyperlink r:id="rId17" w:history="1">
        <w:r w:rsidRPr="00863985">
          <w:rPr>
            <w:rStyle w:val="Hyperlink"/>
            <w:rFonts w:asciiTheme="majorHAnsi" w:hAnsiTheme="majorHAnsi" w:cs="Calibri"/>
            <w:sz w:val="16"/>
            <w:szCs w:val="16"/>
            <w:lang w:val="fr-FR"/>
          </w:rPr>
          <w:t>http://www.publishwhatyoupay.org/members/senegal/</w:t>
        </w:r>
      </w:hyperlink>
      <w:r w:rsidRPr="00863985">
        <w:rPr>
          <w:rFonts w:asciiTheme="majorHAnsi" w:hAnsiTheme="majorHAnsi"/>
          <w:sz w:val="16"/>
          <w:szCs w:val="16"/>
          <w:lang w:val="fr-FR"/>
        </w:rPr>
        <w:t xml:space="preserve"> </w:t>
      </w:r>
    </w:p>
  </w:footnote>
  <w:footnote w:id="23">
    <w:p w14:paraId="56342BB0" w14:textId="77777777" w:rsidR="00EB7029" w:rsidRPr="00863985" w:rsidRDefault="00EB7029" w:rsidP="00A9141D">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w:t>
      </w:r>
      <w:hyperlink r:id="rId18" w:history="1">
        <w:r w:rsidRPr="00863985">
          <w:rPr>
            <w:rStyle w:val="Hyperlink"/>
            <w:rFonts w:asciiTheme="majorHAnsi" w:hAnsiTheme="majorHAnsi" w:cs="Calibri"/>
            <w:sz w:val="16"/>
            <w:szCs w:val="16"/>
            <w:lang w:val="fr-FR"/>
          </w:rPr>
          <w:t>http://rdmdev.com/itie/wp-content/uploads/2017/03/STATUT-PCQVP-SENEGAL.pdf</w:t>
        </w:r>
      </w:hyperlink>
      <w:r w:rsidRPr="00863985">
        <w:rPr>
          <w:rFonts w:asciiTheme="majorHAnsi" w:hAnsiTheme="majorHAnsi"/>
          <w:sz w:val="16"/>
          <w:szCs w:val="16"/>
          <w:lang w:val="fr-FR"/>
        </w:rPr>
        <w:t xml:space="preserve"> </w:t>
      </w:r>
    </w:p>
  </w:footnote>
  <w:footnote w:id="24">
    <w:p w14:paraId="7F81BA3B" w14:textId="02D6ABCB" w:rsidR="00EB7029" w:rsidRPr="00863985" w:rsidRDefault="00EB7029">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w:t>
      </w:r>
      <w:hyperlink r:id="rId19" w:history="1">
        <w:r w:rsidRPr="00863985">
          <w:rPr>
            <w:rStyle w:val="Hyperlink"/>
            <w:rFonts w:asciiTheme="majorHAnsi" w:hAnsiTheme="majorHAnsi" w:cs="Calibri"/>
            <w:sz w:val="16"/>
            <w:szCs w:val="16"/>
            <w:lang w:val="fr-FR"/>
          </w:rPr>
          <w:t>http://www.publishwhatyoupay.org/global-council/</w:t>
        </w:r>
      </w:hyperlink>
      <w:r w:rsidRPr="00863985">
        <w:rPr>
          <w:rFonts w:asciiTheme="majorHAnsi" w:hAnsiTheme="majorHAnsi"/>
          <w:sz w:val="16"/>
          <w:szCs w:val="16"/>
          <w:lang w:val="fr-FR"/>
        </w:rPr>
        <w:t xml:space="preserve"> </w:t>
      </w:r>
    </w:p>
  </w:footnote>
  <w:footnote w:id="25">
    <w:p w14:paraId="3E7A8A92" w14:textId="77777777" w:rsidR="00EB7029" w:rsidRPr="00863985" w:rsidRDefault="00EB7029" w:rsidP="00B874D9">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w:t>
      </w:r>
      <w:hyperlink r:id="rId20" w:history="1">
        <w:r w:rsidRPr="00863985">
          <w:rPr>
            <w:rStyle w:val="Hyperlink"/>
            <w:rFonts w:asciiTheme="majorHAnsi" w:hAnsiTheme="majorHAnsi" w:cs="Calibri"/>
            <w:sz w:val="16"/>
            <w:szCs w:val="16"/>
            <w:lang w:val="fr-FR"/>
          </w:rPr>
          <w:t>https://twitter.com/pcqvpsn</w:t>
        </w:r>
      </w:hyperlink>
      <w:r w:rsidRPr="00863985">
        <w:rPr>
          <w:rFonts w:asciiTheme="majorHAnsi" w:hAnsiTheme="majorHAnsi"/>
          <w:sz w:val="16"/>
          <w:szCs w:val="16"/>
          <w:lang w:val="fr-FR"/>
        </w:rPr>
        <w:t xml:space="preserve"> </w:t>
      </w:r>
    </w:p>
  </w:footnote>
  <w:footnote w:id="26">
    <w:p w14:paraId="7E22C63F" w14:textId="77777777" w:rsidR="00EB7029" w:rsidRPr="00863985" w:rsidRDefault="00EB7029" w:rsidP="00B874D9">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w:t>
      </w:r>
      <w:hyperlink r:id="rId21" w:history="1">
        <w:r w:rsidRPr="00863985">
          <w:rPr>
            <w:rStyle w:val="Hyperlink"/>
            <w:rFonts w:asciiTheme="majorHAnsi" w:hAnsiTheme="majorHAnsi" w:cs="Calibri"/>
            <w:sz w:val="16"/>
            <w:szCs w:val="16"/>
            <w:lang w:val="fr-FR"/>
          </w:rPr>
          <w:t>https://www.facebook.com/PubliezCeQueVousPayezSenegal/?fref=nf</w:t>
        </w:r>
      </w:hyperlink>
      <w:r w:rsidRPr="00863985">
        <w:rPr>
          <w:rFonts w:asciiTheme="majorHAnsi" w:hAnsiTheme="majorHAnsi"/>
          <w:sz w:val="16"/>
          <w:szCs w:val="16"/>
          <w:lang w:val="fr-FR"/>
        </w:rPr>
        <w:t xml:space="preserve"> </w:t>
      </w:r>
    </w:p>
  </w:footnote>
  <w:footnote w:id="27">
    <w:p w14:paraId="13004A69" w14:textId="6950A0BF" w:rsidR="00EB7029" w:rsidRPr="00863985" w:rsidRDefault="00EB7029">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w:t>
      </w:r>
      <w:hyperlink r:id="rId22" w:history="1">
        <w:r w:rsidRPr="00863985">
          <w:rPr>
            <w:rStyle w:val="Hyperlink"/>
            <w:rFonts w:asciiTheme="majorHAnsi" w:hAnsiTheme="majorHAnsi" w:cs="Calibri"/>
            <w:sz w:val="16"/>
            <w:szCs w:val="16"/>
            <w:lang w:val="fr-FR"/>
          </w:rPr>
          <w:t>http://itie.sn/reunion-gmp/</w:t>
        </w:r>
      </w:hyperlink>
      <w:r w:rsidRPr="00863985">
        <w:rPr>
          <w:rFonts w:asciiTheme="majorHAnsi" w:hAnsiTheme="majorHAnsi"/>
          <w:sz w:val="16"/>
          <w:szCs w:val="16"/>
          <w:lang w:val="fr-FR"/>
        </w:rPr>
        <w:t xml:space="preserve"> </w:t>
      </w:r>
    </w:p>
  </w:footnote>
  <w:footnote w:id="28">
    <w:p w14:paraId="5200C7E9" w14:textId="74F50679" w:rsidR="00EB7029" w:rsidRPr="00E2507C" w:rsidRDefault="00EB7029">
      <w:pPr>
        <w:pStyle w:val="FootnoteText"/>
        <w:rPr>
          <w:rFonts w:asciiTheme="majorHAnsi" w:hAnsiTheme="majorHAnsi"/>
          <w:sz w:val="16"/>
          <w:szCs w:val="16"/>
        </w:rPr>
      </w:pPr>
      <w:r w:rsidRPr="00E2507C">
        <w:rPr>
          <w:rStyle w:val="FootnoteReference"/>
          <w:rFonts w:asciiTheme="majorHAnsi" w:hAnsiTheme="majorHAnsi"/>
          <w:sz w:val="16"/>
          <w:szCs w:val="16"/>
        </w:rPr>
        <w:footnoteRef/>
      </w:r>
      <w:r w:rsidRPr="00E2507C">
        <w:rPr>
          <w:rFonts w:asciiTheme="majorHAnsi" w:hAnsiTheme="majorHAnsi"/>
          <w:sz w:val="16"/>
          <w:szCs w:val="16"/>
        </w:rPr>
        <w:t xml:space="preserve"> </w:t>
      </w:r>
      <w:r w:rsidRPr="00E2507C">
        <w:rPr>
          <w:rFonts w:asciiTheme="majorHAnsi" w:hAnsiTheme="majorHAnsi" w:cs="Arial"/>
          <w:sz w:val="16"/>
          <w:szCs w:val="16"/>
        </w:rPr>
        <w:t xml:space="preserve">Kédougou, Tambacounda and Thiès. </w:t>
      </w:r>
    </w:p>
  </w:footnote>
  <w:footnote w:id="29">
    <w:p w14:paraId="4D98EE9F" w14:textId="6237B7AF" w:rsidR="00EB7029" w:rsidRPr="00E2507C" w:rsidRDefault="00EB7029">
      <w:pPr>
        <w:pStyle w:val="FootnoteText"/>
        <w:rPr>
          <w:rFonts w:asciiTheme="majorHAnsi" w:hAnsiTheme="majorHAnsi"/>
          <w:sz w:val="16"/>
          <w:szCs w:val="16"/>
        </w:rPr>
      </w:pPr>
      <w:r w:rsidRPr="00E2507C">
        <w:rPr>
          <w:rStyle w:val="FootnoteReference"/>
          <w:rFonts w:asciiTheme="majorHAnsi" w:hAnsiTheme="majorHAnsi"/>
          <w:sz w:val="16"/>
          <w:szCs w:val="16"/>
        </w:rPr>
        <w:footnoteRef/>
      </w:r>
      <w:r w:rsidRPr="00E2507C">
        <w:rPr>
          <w:rFonts w:asciiTheme="majorHAnsi" w:hAnsiTheme="majorHAnsi"/>
          <w:sz w:val="16"/>
          <w:szCs w:val="16"/>
        </w:rPr>
        <w:t xml:space="preserve"> The National Council of Non-Governmental Organisations for Development Support (CONGAD), the information and communications labour union (SYNPICS), the accountant professional association and the association of local officials. </w:t>
      </w:r>
    </w:p>
  </w:footnote>
  <w:footnote w:id="30">
    <w:p w14:paraId="1E167835" w14:textId="0693DFFA" w:rsidR="00EB7029" w:rsidRPr="00E2507C" w:rsidRDefault="00EB7029">
      <w:pPr>
        <w:pStyle w:val="FootnoteText"/>
        <w:rPr>
          <w:rFonts w:asciiTheme="majorHAnsi" w:hAnsiTheme="majorHAnsi"/>
          <w:sz w:val="16"/>
          <w:szCs w:val="16"/>
        </w:rPr>
      </w:pPr>
      <w:r w:rsidRPr="00E2507C">
        <w:rPr>
          <w:rStyle w:val="FootnoteReference"/>
          <w:rFonts w:asciiTheme="majorHAnsi" w:hAnsiTheme="majorHAnsi"/>
          <w:sz w:val="16"/>
          <w:szCs w:val="16"/>
        </w:rPr>
        <w:footnoteRef/>
      </w:r>
      <w:r w:rsidRPr="00E2507C">
        <w:rPr>
          <w:rFonts w:asciiTheme="majorHAnsi" w:hAnsiTheme="majorHAnsi"/>
          <w:sz w:val="16"/>
          <w:szCs w:val="16"/>
        </w:rPr>
        <w:t xml:space="preserve"> From Fortesa and Cairn. </w:t>
      </w:r>
    </w:p>
  </w:footnote>
  <w:footnote w:id="31">
    <w:p w14:paraId="227F0555" w14:textId="5E69F599"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23" w:history="1">
        <w:r w:rsidRPr="00FF1374">
          <w:rPr>
            <w:rStyle w:val="Hyperlink"/>
            <w:rFonts w:asciiTheme="majorHAnsi" w:hAnsiTheme="majorHAnsi" w:cs="Calibri"/>
            <w:sz w:val="16"/>
            <w:szCs w:val="16"/>
            <w:lang w:val="en-GB"/>
          </w:rPr>
          <w:t>http://itie.sn/reunion-gmp/</w:t>
        </w:r>
      </w:hyperlink>
      <w:r w:rsidRPr="00FF1374">
        <w:rPr>
          <w:rFonts w:asciiTheme="majorHAnsi" w:hAnsiTheme="majorHAnsi"/>
          <w:sz w:val="16"/>
          <w:szCs w:val="16"/>
          <w:lang w:val="en-GB"/>
        </w:rPr>
        <w:t xml:space="preserve"> </w:t>
      </w:r>
    </w:p>
  </w:footnote>
  <w:footnote w:id="32">
    <w:p w14:paraId="10435303" w14:textId="33823125" w:rsidR="00EB7029" w:rsidRPr="00E2507C" w:rsidRDefault="00EB7029">
      <w:pPr>
        <w:pStyle w:val="FootnoteText"/>
        <w:rPr>
          <w:rFonts w:asciiTheme="majorHAnsi" w:hAnsiTheme="majorHAnsi"/>
          <w:sz w:val="16"/>
          <w:szCs w:val="16"/>
          <w:lang w:val="en-GB"/>
        </w:rPr>
      </w:pPr>
      <w:r w:rsidRPr="00E2507C">
        <w:rPr>
          <w:rStyle w:val="FootnoteReference"/>
          <w:rFonts w:asciiTheme="majorHAnsi" w:hAnsiTheme="majorHAnsi"/>
          <w:sz w:val="16"/>
          <w:szCs w:val="16"/>
          <w:lang w:val="en-GB"/>
        </w:rPr>
        <w:footnoteRef/>
      </w:r>
      <w:r w:rsidRPr="00E2507C">
        <w:rPr>
          <w:rFonts w:asciiTheme="majorHAnsi" w:hAnsiTheme="majorHAnsi"/>
          <w:sz w:val="16"/>
          <w:szCs w:val="16"/>
          <w:lang w:val="en-GB"/>
        </w:rPr>
        <w:t xml:space="preserve"> http://itie.sn/groupe-multipartite/</w:t>
      </w:r>
    </w:p>
  </w:footnote>
  <w:footnote w:id="33">
    <w:p w14:paraId="1B39AA32" w14:textId="77777777" w:rsidR="00EB7029" w:rsidRPr="00FF1374" w:rsidRDefault="00EB7029" w:rsidP="0025096D">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24" w:history="1">
        <w:r w:rsidRPr="00FF1374">
          <w:rPr>
            <w:rStyle w:val="Hyperlink"/>
            <w:rFonts w:asciiTheme="majorHAnsi" w:hAnsiTheme="majorHAnsi" w:cs="Calibri"/>
            <w:sz w:val="16"/>
            <w:szCs w:val="16"/>
            <w:lang w:val="en-GB"/>
          </w:rPr>
          <w:t>http://itie.sn/?offshore_dl=1177</w:t>
        </w:r>
      </w:hyperlink>
      <w:r w:rsidRPr="00FF1374">
        <w:rPr>
          <w:rFonts w:asciiTheme="majorHAnsi" w:hAnsiTheme="majorHAnsi"/>
          <w:sz w:val="16"/>
          <w:szCs w:val="16"/>
          <w:lang w:val="en-GB"/>
        </w:rPr>
        <w:t xml:space="preserve"> </w:t>
      </w:r>
    </w:p>
  </w:footnote>
  <w:footnote w:id="34">
    <w:p w14:paraId="75B460A5" w14:textId="77777777" w:rsidR="00EB7029" w:rsidRPr="00FF1374" w:rsidRDefault="00EB7029" w:rsidP="00B42F50">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25" w:history="1">
        <w:r w:rsidRPr="00FF1374">
          <w:rPr>
            <w:rStyle w:val="Hyperlink"/>
            <w:rFonts w:asciiTheme="majorHAnsi" w:hAnsiTheme="majorHAnsi" w:cs="Calibri"/>
            <w:sz w:val="16"/>
            <w:szCs w:val="16"/>
            <w:lang w:val="en-GB"/>
          </w:rPr>
          <w:t>http://itie.sn/wp-content/uploads/2017/03/Plan-de-travail-annuel-ITIE-2017.pdf</w:t>
        </w:r>
      </w:hyperlink>
      <w:r w:rsidRPr="00FF1374">
        <w:rPr>
          <w:rFonts w:asciiTheme="majorHAnsi" w:hAnsiTheme="majorHAnsi"/>
          <w:sz w:val="16"/>
          <w:szCs w:val="16"/>
          <w:lang w:val="en-GB"/>
        </w:rPr>
        <w:t xml:space="preserve"> </w:t>
      </w:r>
    </w:p>
  </w:footnote>
  <w:footnote w:id="35">
    <w:p w14:paraId="588B54A4" w14:textId="4F499955" w:rsidR="00EB7029" w:rsidRPr="00863985" w:rsidRDefault="00EB7029">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w:t>
      </w:r>
      <w:hyperlink r:id="rId26" w:history="1">
        <w:r w:rsidRPr="00863985">
          <w:rPr>
            <w:rStyle w:val="Hyperlink"/>
            <w:rFonts w:asciiTheme="majorHAnsi" w:hAnsiTheme="majorHAnsi" w:cs="Calibri"/>
            <w:sz w:val="16"/>
            <w:szCs w:val="16"/>
            <w:lang w:val="fr-FR"/>
          </w:rPr>
          <w:t>http://itie.sn/</w:t>
        </w:r>
      </w:hyperlink>
      <w:r w:rsidRPr="00863985">
        <w:rPr>
          <w:rFonts w:asciiTheme="majorHAnsi" w:hAnsiTheme="majorHAnsi"/>
          <w:sz w:val="16"/>
          <w:szCs w:val="16"/>
          <w:lang w:val="fr-FR"/>
        </w:rPr>
        <w:t xml:space="preserve"> </w:t>
      </w:r>
    </w:p>
  </w:footnote>
  <w:footnote w:id="36">
    <w:p w14:paraId="51EF0970" w14:textId="04706BB4" w:rsidR="00EB7029" w:rsidRPr="00E2507C" w:rsidRDefault="00EB7029" w:rsidP="00635965">
      <w:pPr>
        <w:pStyle w:val="FootnoteText"/>
        <w:rPr>
          <w:rFonts w:asciiTheme="majorHAnsi" w:hAnsiTheme="majorHAnsi"/>
          <w:sz w:val="16"/>
          <w:szCs w:val="16"/>
          <w:lang w:val="fr-FR"/>
        </w:rPr>
      </w:pPr>
      <w:r w:rsidRPr="00E2507C">
        <w:rPr>
          <w:rStyle w:val="FootnoteReference"/>
          <w:rFonts w:asciiTheme="majorHAnsi" w:hAnsiTheme="majorHAnsi"/>
          <w:sz w:val="16"/>
          <w:szCs w:val="16"/>
          <w:lang w:val="en-GB"/>
        </w:rPr>
        <w:footnoteRef/>
      </w:r>
      <w:r w:rsidRPr="00E2507C">
        <w:rPr>
          <w:rFonts w:asciiTheme="majorHAnsi" w:hAnsiTheme="majorHAnsi"/>
          <w:sz w:val="16"/>
          <w:szCs w:val="16"/>
          <w:lang w:val="fr-FR"/>
        </w:rPr>
        <w:t xml:space="preserve"> The six quarrying licenses for which dates are missing are held by Comptoire Commercial Daouda Dia SUARL (A00276), Société pour le Développement de l'Industrie du tourisme et de l'Habitat au Sénégal (SODEVIT) (A008230), and the Government of Senegal (dune sand quarrying licenses A005920). </w:t>
      </w:r>
    </w:p>
  </w:footnote>
  <w:footnote w:id="37">
    <w:p w14:paraId="578604D2" w14:textId="77777777" w:rsidR="00EB7029" w:rsidRPr="00863985" w:rsidRDefault="00EB7029" w:rsidP="00987C8C">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w:t>
      </w:r>
      <w:hyperlink r:id="rId27" w:history="1">
        <w:r w:rsidRPr="00863985">
          <w:rPr>
            <w:rStyle w:val="Hyperlink"/>
            <w:rFonts w:asciiTheme="majorHAnsi" w:hAnsiTheme="majorHAnsi" w:cs="Calibri"/>
            <w:sz w:val="16"/>
            <w:szCs w:val="16"/>
            <w:lang w:val="fr-FR"/>
          </w:rPr>
          <w:t>http://itie.sn/permis-de-recherche-de-mineraux-lourds-2014/</w:t>
        </w:r>
      </w:hyperlink>
      <w:r w:rsidRPr="00863985">
        <w:rPr>
          <w:rFonts w:asciiTheme="majorHAnsi" w:hAnsiTheme="majorHAnsi"/>
          <w:sz w:val="16"/>
          <w:szCs w:val="16"/>
          <w:lang w:val="fr-FR"/>
        </w:rPr>
        <w:t xml:space="preserve"> </w:t>
      </w:r>
    </w:p>
  </w:footnote>
  <w:footnote w:id="38">
    <w:p w14:paraId="4B73DF74" w14:textId="77777777" w:rsidR="00EB7029" w:rsidRPr="00863985" w:rsidRDefault="00EB7029" w:rsidP="00987C8C">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w:t>
      </w:r>
      <w:hyperlink r:id="rId28" w:history="1">
        <w:r w:rsidRPr="00863985">
          <w:rPr>
            <w:rStyle w:val="Hyperlink"/>
            <w:rFonts w:asciiTheme="majorHAnsi" w:hAnsiTheme="majorHAnsi" w:cs="Calibri"/>
            <w:sz w:val="16"/>
            <w:szCs w:val="16"/>
            <w:lang w:val="fr-FR"/>
          </w:rPr>
          <w:t>http://itie.sn/permis-de-recherche-de-fer-2014/</w:t>
        </w:r>
      </w:hyperlink>
      <w:r w:rsidRPr="00863985">
        <w:rPr>
          <w:rFonts w:asciiTheme="majorHAnsi" w:hAnsiTheme="majorHAnsi"/>
          <w:sz w:val="16"/>
          <w:szCs w:val="16"/>
          <w:lang w:val="fr-FR"/>
        </w:rPr>
        <w:t xml:space="preserve"> </w:t>
      </w:r>
    </w:p>
  </w:footnote>
  <w:footnote w:id="39">
    <w:p w14:paraId="375045F3" w14:textId="77777777" w:rsidR="00EB7029" w:rsidRPr="00863985" w:rsidRDefault="00EB7029" w:rsidP="00987C8C">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w:t>
      </w:r>
      <w:hyperlink r:id="rId29" w:history="1">
        <w:r w:rsidRPr="00863985">
          <w:rPr>
            <w:rStyle w:val="Hyperlink"/>
            <w:rFonts w:asciiTheme="majorHAnsi" w:hAnsiTheme="majorHAnsi" w:cs="Calibri"/>
            <w:sz w:val="16"/>
            <w:szCs w:val="16"/>
            <w:lang w:val="fr-FR"/>
          </w:rPr>
          <w:t>http://itie.sn/permis-de-recherche-de-phosphates-2014/</w:t>
        </w:r>
      </w:hyperlink>
      <w:r w:rsidRPr="00863985">
        <w:rPr>
          <w:rFonts w:asciiTheme="majorHAnsi" w:hAnsiTheme="majorHAnsi"/>
          <w:sz w:val="16"/>
          <w:szCs w:val="16"/>
          <w:lang w:val="fr-FR"/>
        </w:rPr>
        <w:t xml:space="preserve"> </w:t>
      </w:r>
    </w:p>
  </w:footnote>
  <w:footnote w:id="40">
    <w:p w14:paraId="1D9848D5" w14:textId="77777777" w:rsidR="00EB7029" w:rsidRPr="00863985" w:rsidRDefault="00EB7029" w:rsidP="00987C8C">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w:t>
      </w:r>
      <w:hyperlink r:id="rId30" w:history="1">
        <w:r w:rsidRPr="00863985">
          <w:rPr>
            <w:rStyle w:val="Hyperlink"/>
            <w:rFonts w:asciiTheme="majorHAnsi" w:hAnsiTheme="majorHAnsi" w:cs="Calibri"/>
            <w:sz w:val="16"/>
            <w:szCs w:val="16"/>
            <w:lang w:val="fr-FR"/>
          </w:rPr>
          <w:t>http://itie.sn/permis-de-recherche-dor-2014/</w:t>
        </w:r>
      </w:hyperlink>
      <w:r w:rsidRPr="00863985">
        <w:rPr>
          <w:rFonts w:asciiTheme="majorHAnsi" w:hAnsiTheme="majorHAnsi"/>
          <w:sz w:val="16"/>
          <w:szCs w:val="16"/>
          <w:lang w:val="fr-FR"/>
        </w:rPr>
        <w:t xml:space="preserve"> </w:t>
      </w:r>
    </w:p>
  </w:footnote>
  <w:footnote w:id="41">
    <w:p w14:paraId="762EC6C7" w14:textId="77777777" w:rsidR="00EB7029" w:rsidRPr="00863985" w:rsidRDefault="00EB7029" w:rsidP="00987C8C">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w:t>
      </w:r>
      <w:hyperlink r:id="rId31" w:history="1">
        <w:r w:rsidRPr="00863985">
          <w:rPr>
            <w:rStyle w:val="Hyperlink"/>
            <w:rFonts w:asciiTheme="majorHAnsi" w:hAnsiTheme="majorHAnsi" w:cs="Calibri"/>
            <w:sz w:val="16"/>
            <w:szCs w:val="16"/>
            <w:lang w:val="fr-FR"/>
          </w:rPr>
          <w:t>http://itie.sn/liste-des-permis-et-concessions/2012-mines-concessions-minieres/</w:t>
        </w:r>
      </w:hyperlink>
      <w:r w:rsidRPr="00863985">
        <w:rPr>
          <w:rFonts w:asciiTheme="majorHAnsi" w:hAnsiTheme="majorHAnsi"/>
          <w:sz w:val="16"/>
          <w:szCs w:val="16"/>
          <w:lang w:val="fr-FR"/>
        </w:rPr>
        <w:t xml:space="preserve"> </w:t>
      </w:r>
    </w:p>
  </w:footnote>
  <w:footnote w:id="42">
    <w:p w14:paraId="7B8CB15B" w14:textId="77777777" w:rsidR="00EB7029" w:rsidRPr="00863985" w:rsidRDefault="00EB7029" w:rsidP="00987C8C">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w:t>
      </w:r>
      <w:hyperlink r:id="rId32" w:history="1">
        <w:r w:rsidRPr="00863985">
          <w:rPr>
            <w:rStyle w:val="Hyperlink"/>
            <w:rFonts w:asciiTheme="majorHAnsi" w:hAnsiTheme="majorHAnsi" w:cs="Calibri"/>
            <w:sz w:val="16"/>
            <w:szCs w:val="16"/>
            <w:lang w:val="fr-FR"/>
          </w:rPr>
          <w:t>http://itie.sn/liste-des-permis-et-concessions/2012-mines-petites-mines/</w:t>
        </w:r>
      </w:hyperlink>
      <w:r w:rsidRPr="00863985">
        <w:rPr>
          <w:rFonts w:asciiTheme="majorHAnsi" w:hAnsiTheme="majorHAnsi"/>
          <w:sz w:val="16"/>
          <w:szCs w:val="16"/>
          <w:lang w:val="fr-FR"/>
        </w:rPr>
        <w:t xml:space="preserve"> </w:t>
      </w:r>
    </w:p>
  </w:footnote>
  <w:footnote w:id="43">
    <w:p w14:paraId="5F7CF401" w14:textId="77777777" w:rsidR="00EB7029" w:rsidRPr="00863985" w:rsidRDefault="00EB7029" w:rsidP="00987C8C">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w:t>
      </w:r>
      <w:hyperlink r:id="rId33" w:history="1">
        <w:r w:rsidRPr="00863985">
          <w:rPr>
            <w:rStyle w:val="Hyperlink"/>
            <w:rFonts w:asciiTheme="majorHAnsi" w:hAnsiTheme="majorHAnsi" w:cs="Calibri"/>
            <w:sz w:val="16"/>
            <w:szCs w:val="16"/>
            <w:lang w:val="fr-FR"/>
          </w:rPr>
          <w:t>http://itie.sn/liste-des-permis-et-concessions/2012-mines-mines-artisanales/</w:t>
        </w:r>
      </w:hyperlink>
      <w:r w:rsidRPr="00863985">
        <w:rPr>
          <w:rFonts w:asciiTheme="majorHAnsi" w:hAnsiTheme="majorHAnsi"/>
          <w:sz w:val="16"/>
          <w:szCs w:val="16"/>
          <w:lang w:val="fr-FR"/>
        </w:rPr>
        <w:t xml:space="preserve"> </w:t>
      </w:r>
    </w:p>
  </w:footnote>
  <w:footnote w:id="44">
    <w:p w14:paraId="57A9C59F" w14:textId="77777777" w:rsidR="00EB7029" w:rsidRPr="00863985" w:rsidRDefault="00EB7029" w:rsidP="00987C8C">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w:t>
      </w:r>
      <w:hyperlink r:id="rId34" w:history="1">
        <w:r w:rsidRPr="00863985">
          <w:rPr>
            <w:rStyle w:val="Hyperlink"/>
            <w:rFonts w:asciiTheme="majorHAnsi" w:hAnsiTheme="majorHAnsi" w:cs="Calibri"/>
            <w:sz w:val="16"/>
            <w:szCs w:val="16"/>
            <w:lang w:val="fr-FR"/>
          </w:rPr>
          <w:t>http://itie.sn/liste-des-permis-et-concessions/2012-carrieres-privees/</w:t>
        </w:r>
      </w:hyperlink>
      <w:r w:rsidRPr="00863985">
        <w:rPr>
          <w:rFonts w:asciiTheme="majorHAnsi" w:hAnsiTheme="majorHAnsi"/>
          <w:sz w:val="16"/>
          <w:szCs w:val="16"/>
          <w:lang w:val="fr-FR"/>
        </w:rPr>
        <w:t xml:space="preserve"> </w:t>
      </w:r>
    </w:p>
  </w:footnote>
  <w:footnote w:id="45">
    <w:p w14:paraId="270F36E3" w14:textId="77777777" w:rsidR="00EB7029" w:rsidRPr="00863985" w:rsidRDefault="00EB7029" w:rsidP="00987C8C">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w:t>
      </w:r>
      <w:hyperlink r:id="rId35" w:history="1">
        <w:r w:rsidRPr="00863985">
          <w:rPr>
            <w:rStyle w:val="Hyperlink"/>
            <w:rFonts w:asciiTheme="majorHAnsi" w:hAnsiTheme="majorHAnsi" w:cs="Calibri"/>
            <w:sz w:val="16"/>
            <w:szCs w:val="16"/>
            <w:lang w:val="fr-FR"/>
          </w:rPr>
          <w:t>http://itie.sn/liste-des-permis-et-concessions/2012-carrieres-publiques/</w:t>
        </w:r>
      </w:hyperlink>
      <w:r w:rsidRPr="00863985">
        <w:rPr>
          <w:rFonts w:asciiTheme="majorHAnsi" w:hAnsiTheme="majorHAnsi"/>
          <w:sz w:val="16"/>
          <w:szCs w:val="16"/>
          <w:lang w:val="fr-FR"/>
        </w:rPr>
        <w:t xml:space="preserve"> </w:t>
      </w:r>
    </w:p>
  </w:footnote>
  <w:footnote w:id="46">
    <w:p w14:paraId="0DB958F1" w14:textId="77777777" w:rsidR="00EB7029" w:rsidRPr="00863985" w:rsidRDefault="00EB7029" w:rsidP="00987C8C">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w:t>
      </w:r>
      <w:hyperlink r:id="rId36" w:history="1">
        <w:r w:rsidRPr="00863985">
          <w:rPr>
            <w:rStyle w:val="Hyperlink"/>
            <w:rFonts w:asciiTheme="majorHAnsi" w:hAnsiTheme="majorHAnsi" w:cs="Calibri"/>
            <w:sz w:val="16"/>
            <w:szCs w:val="16"/>
            <w:lang w:val="fr-FR"/>
          </w:rPr>
          <w:t>http://itie.sn/liste-des-permis-et-concessions/2012-carrieres-temporaires/</w:t>
        </w:r>
      </w:hyperlink>
      <w:r w:rsidRPr="00863985">
        <w:rPr>
          <w:rFonts w:asciiTheme="majorHAnsi" w:hAnsiTheme="majorHAnsi"/>
          <w:sz w:val="16"/>
          <w:szCs w:val="16"/>
          <w:lang w:val="fr-FR"/>
        </w:rPr>
        <w:t xml:space="preserve"> </w:t>
      </w:r>
    </w:p>
  </w:footnote>
  <w:footnote w:id="47">
    <w:p w14:paraId="4FDFE393" w14:textId="77777777" w:rsidR="00EB7029" w:rsidRPr="00863985" w:rsidRDefault="00EB7029" w:rsidP="00987C8C">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w:t>
      </w:r>
      <w:hyperlink r:id="rId37" w:history="1">
        <w:r w:rsidRPr="00863985">
          <w:rPr>
            <w:rStyle w:val="Hyperlink"/>
            <w:rFonts w:asciiTheme="majorHAnsi" w:hAnsiTheme="majorHAnsi" w:cs="Calibri"/>
            <w:sz w:val="16"/>
            <w:szCs w:val="16"/>
            <w:lang w:val="fr-FR"/>
          </w:rPr>
          <w:t>http://itie.sn/liste-des-permis/</w:t>
        </w:r>
      </w:hyperlink>
      <w:r w:rsidRPr="00863985">
        <w:rPr>
          <w:rFonts w:asciiTheme="majorHAnsi" w:hAnsiTheme="majorHAnsi"/>
          <w:sz w:val="16"/>
          <w:szCs w:val="16"/>
          <w:lang w:val="fr-FR"/>
        </w:rPr>
        <w:t xml:space="preserve"> </w:t>
      </w:r>
    </w:p>
  </w:footnote>
  <w:footnote w:id="48">
    <w:p w14:paraId="5B2A65F4" w14:textId="77777777" w:rsidR="00EB7029" w:rsidRPr="00863985" w:rsidRDefault="00EB7029" w:rsidP="00987C8C">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w:t>
      </w:r>
      <w:hyperlink r:id="rId38" w:history="1">
        <w:r w:rsidRPr="00863985">
          <w:rPr>
            <w:rStyle w:val="Hyperlink"/>
            <w:rFonts w:asciiTheme="majorHAnsi" w:hAnsiTheme="majorHAnsi" w:cs="Calibri"/>
            <w:sz w:val="16"/>
            <w:szCs w:val="16"/>
            <w:lang w:val="fr-FR"/>
          </w:rPr>
          <w:t>http://itie.sn/?offshore_dl=924</w:t>
        </w:r>
      </w:hyperlink>
      <w:r w:rsidRPr="00863985">
        <w:rPr>
          <w:rFonts w:asciiTheme="majorHAnsi" w:hAnsiTheme="majorHAnsi"/>
          <w:sz w:val="16"/>
          <w:szCs w:val="16"/>
          <w:lang w:val="fr-FR"/>
        </w:rPr>
        <w:t xml:space="preserve"> </w:t>
      </w:r>
    </w:p>
  </w:footnote>
  <w:footnote w:id="49">
    <w:p w14:paraId="4FA240D7" w14:textId="77777777" w:rsidR="00EB7029" w:rsidRPr="00863985" w:rsidRDefault="00EB7029" w:rsidP="002C18E9">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w:t>
      </w:r>
      <w:hyperlink r:id="rId39" w:history="1">
        <w:r w:rsidRPr="00863985">
          <w:rPr>
            <w:rStyle w:val="Hyperlink"/>
            <w:rFonts w:asciiTheme="majorHAnsi" w:hAnsiTheme="majorHAnsi" w:cs="Calibri"/>
            <w:sz w:val="16"/>
            <w:szCs w:val="16"/>
            <w:lang w:val="fr-FR"/>
          </w:rPr>
          <w:t>https://www.sec.gouv.sn/-Conventions-minieres-.html</w:t>
        </w:r>
      </w:hyperlink>
      <w:r w:rsidRPr="00863985">
        <w:rPr>
          <w:rFonts w:asciiTheme="majorHAnsi" w:hAnsiTheme="majorHAnsi"/>
          <w:sz w:val="16"/>
          <w:szCs w:val="16"/>
          <w:lang w:val="fr-FR"/>
        </w:rPr>
        <w:t xml:space="preserve"> </w:t>
      </w:r>
    </w:p>
  </w:footnote>
  <w:footnote w:id="50">
    <w:p w14:paraId="1E9E698D" w14:textId="77777777" w:rsidR="00EB7029" w:rsidRPr="00863985" w:rsidRDefault="00EB7029" w:rsidP="002C18E9">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w:t>
      </w:r>
      <w:hyperlink r:id="rId40" w:history="1">
        <w:r w:rsidRPr="00863985">
          <w:rPr>
            <w:rStyle w:val="Hyperlink"/>
            <w:rFonts w:asciiTheme="majorHAnsi" w:hAnsiTheme="majorHAnsi" w:cs="Calibri"/>
            <w:sz w:val="16"/>
            <w:szCs w:val="16"/>
            <w:lang w:val="fr-FR"/>
          </w:rPr>
          <w:t>https://www.sec.gouv.sn/Point-de-situation-sur-les.html</w:t>
        </w:r>
      </w:hyperlink>
      <w:r w:rsidRPr="00863985">
        <w:rPr>
          <w:rFonts w:asciiTheme="majorHAnsi" w:hAnsiTheme="majorHAnsi"/>
          <w:sz w:val="16"/>
          <w:szCs w:val="16"/>
          <w:lang w:val="fr-FR"/>
        </w:rPr>
        <w:t xml:space="preserve"> </w:t>
      </w:r>
    </w:p>
  </w:footnote>
  <w:footnote w:id="51">
    <w:p w14:paraId="3E43F9D9" w14:textId="77777777" w:rsidR="00EB7029" w:rsidRPr="00863985" w:rsidRDefault="00EB7029" w:rsidP="002C18E9">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w:t>
      </w:r>
      <w:hyperlink r:id="rId41" w:history="1">
        <w:r w:rsidRPr="00863985">
          <w:rPr>
            <w:rStyle w:val="Hyperlink"/>
            <w:rFonts w:asciiTheme="majorHAnsi" w:hAnsiTheme="majorHAnsi" w:cs="Calibri"/>
            <w:sz w:val="16"/>
            <w:szCs w:val="16"/>
            <w:lang w:val="fr-FR"/>
          </w:rPr>
          <w:t>http://itie.sn/contrats-miniers/</w:t>
        </w:r>
      </w:hyperlink>
      <w:r w:rsidRPr="00863985">
        <w:rPr>
          <w:rFonts w:asciiTheme="majorHAnsi" w:hAnsiTheme="majorHAnsi"/>
          <w:sz w:val="16"/>
          <w:szCs w:val="16"/>
          <w:lang w:val="fr-FR"/>
        </w:rPr>
        <w:t xml:space="preserve"> </w:t>
      </w:r>
    </w:p>
  </w:footnote>
  <w:footnote w:id="52">
    <w:p w14:paraId="50D4D971" w14:textId="77777777" w:rsidR="00EB7029" w:rsidRPr="00863985" w:rsidRDefault="00EB7029" w:rsidP="002C18E9">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w:t>
      </w:r>
      <w:hyperlink r:id="rId42" w:history="1">
        <w:r w:rsidRPr="00863985">
          <w:rPr>
            <w:rStyle w:val="Hyperlink"/>
            <w:rFonts w:asciiTheme="majorHAnsi" w:hAnsiTheme="majorHAnsi" w:cs="Calibri"/>
            <w:sz w:val="16"/>
            <w:szCs w:val="16"/>
            <w:lang w:val="fr-FR"/>
          </w:rPr>
          <w:t>http://itie.sn/contrats-petroliers/</w:t>
        </w:r>
      </w:hyperlink>
      <w:r w:rsidRPr="00863985">
        <w:rPr>
          <w:rFonts w:asciiTheme="majorHAnsi" w:hAnsiTheme="majorHAnsi"/>
          <w:sz w:val="16"/>
          <w:szCs w:val="16"/>
          <w:lang w:val="fr-FR"/>
        </w:rPr>
        <w:t xml:space="preserve"> </w:t>
      </w:r>
    </w:p>
  </w:footnote>
  <w:footnote w:id="53">
    <w:p w14:paraId="10A69534" w14:textId="77777777" w:rsidR="00EB7029" w:rsidRPr="00863985" w:rsidRDefault="00EB7029" w:rsidP="002C18E9">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863985">
        <w:rPr>
          <w:rFonts w:asciiTheme="majorHAnsi" w:hAnsiTheme="majorHAnsi"/>
          <w:sz w:val="16"/>
          <w:szCs w:val="16"/>
          <w:lang w:val="fr-FR"/>
        </w:rPr>
        <w:t xml:space="preserve"> </w:t>
      </w:r>
      <w:hyperlink r:id="rId43" w:history="1">
        <w:r w:rsidRPr="00863985">
          <w:rPr>
            <w:rStyle w:val="Hyperlink"/>
            <w:rFonts w:asciiTheme="majorHAnsi" w:hAnsiTheme="majorHAnsi" w:cs="Calibri"/>
            <w:sz w:val="16"/>
            <w:szCs w:val="16"/>
            <w:lang w:val="fr-FR"/>
          </w:rPr>
          <w:t>http://resourcecontracts.org/search?q=senegal</w:t>
        </w:r>
      </w:hyperlink>
      <w:r w:rsidRPr="00863985">
        <w:rPr>
          <w:rFonts w:asciiTheme="majorHAnsi" w:hAnsiTheme="majorHAnsi"/>
          <w:sz w:val="16"/>
          <w:szCs w:val="16"/>
          <w:lang w:val="fr-FR"/>
        </w:rPr>
        <w:t xml:space="preserve"> </w:t>
      </w:r>
    </w:p>
  </w:footnote>
  <w:footnote w:id="54">
    <w:p w14:paraId="3017B63D" w14:textId="3FB3AFCE"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Fortesa (noted as a subsidiary), TAOL Senegal (Djiffere) Ltd (ex Rex Atlantic), TIMIS Corportation Senegal (subsidiary) and Capricorn Senegal Limited (subsidiary). </w:t>
      </w:r>
    </w:p>
  </w:footnote>
  <w:footnote w:id="55">
    <w:p w14:paraId="79D08545" w14:textId="48622FA1" w:rsidR="00EB7029" w:rsidRPr="00E2507C" w:rsidRDefault="00EB7029">
      <w:pPr>
        <w:pStyle w:val="FootnoteText"/>
        <w:rPr>
          <w:rFonts w:asciiTheme="majorHAnsi" w:hAnsiTheme="majorHAnsi"/>
          <w:sz w:val="16"/>
          <w:szCs w:val="16"/>
          <w:lang w:val="en-GB"/>
        </w:rPr>
      </w:pPr>
      <w:r w:rsidRPr="00E2507C">
        <w:rPr>
          <w:rStyle w:val="FootnoteReference"/>
          <w:rFonts w:asciiTheme="majorHAnsi" w:hAnsiTheme="majorHAnsi"/>
          <w:sz w:val="16"/>
          <w:szCs w:val="16"/>
          <w:lang w:val="en-GB"/>
        </w:rPr>
        <w:footnoteRef/>
      </w:r>
      <w:r w:rsidRPr="00E2507C">
        <w:rPr>
          <w:rFonts w:asciiTheme="majorHAnsi" w:hAnsiTheme="majorHAnsi"/>
          <w:sz w:val="16"/>
          <w:szCs w:val="16"/>
          <w:lang w:val="en-GB"/>
        </w:rPr>
        <w:t xml:space="preserve"> </w:t>
      </w:r>
      <w:hyperlink r:id="rId44" w:history="1">
        <w:r w:rsidRPr="00E2507C">
          <w:rPr>
            <w:rStyle w:val="Hyperlink"/>
            <w:rFonts w:asciiTheme="majorHAnsi" w:hAnsiTheme="majorHAnsi" w:cs="Calibri"/>
            <w:sz w:val="16"/>
            <w:szCs w:val="16"/>
            <w:lang w:val="en-GB"/>
          </w:rPr>
          <w:t>http://www.miferso.sn/fr</w:t>
        </w:r>
      </w:hyperlink>
      <w:r w:rsidRPr="00E2507C">
        <w:rPr>
          <w:rFonts w:asciiTheme="majorHAnsi" w:hAnsiTheme="majorHAnsi"/>
          <w:sz w:val="16"/>
          <w:szCs w:val="16"/>
          <w:lang w:val="en-GB"/>
        </w:rPr>
        <w:t xml:space="preserve"> </w:t>
      </w:r>
    </w:p>
  </w:footnote>
  <w:footnote w:id="56">
    <w:p w14:paraId="5EF073D0" w14:textId="6D986C3D" w:rsidR="00EB7029" w:rsidRPr="00E2507C" w:rsidRDefault="00EB7029">
      <w:pPr>
        <w:pStyle w:val="FootnoteText"/>
        <w:rPr>
          <w:rFonts w:asciiTheme="majorHAnsi" w:hAnsiTheme="majorHAnsi"/>
          <w:sz w:val="16"/>
          <w:szCs w:val="16"/>
          <w:lang w:val="en-GB"/>
        </w:rPr>
      </w:pPr>
      <w:r w:rsidRPr="00E2507C">
        <w:rPr>
          <w:rStyle w:val="FootnoteReference"/>
          <w:rFonts w:asciiTheme="majorHAnsi" w:hAnsiTheme="majorHAnsi"/>
          <w:sz w:val="16"/>
          <w:szCs w:val="16"/>
          <w:lang w:val="en-GB"/>
        </w:rPr>
        <w:footnoteRef/>
      </w:r>
      <w:r w:rsidRPr="00E2507C">
        <w:rPr>
          <w:rFonts w:asciiTheme="majorHAnsi" w:hAnsiTheme="majorHAnsi"/>
          <w:sz w:val="16"/>
          <w:szCs w:val="16"/>
          <w:lang w:val="en-GB"/>
        </w:rPr>
        <w:t xml:space="preserve"> </w:t>
      </w:r>
      <w:hyperlink r:id="rId45" w:history="1">
        <w:r w:rsidRPr="00E2507C">
          <w:rPr>
            <w:rStyle w:val="Hyperlink"/>
            <w:rFonts w:asciiTheme="majorHAnsi" w:hAnsiTheme="majorHAnsi" w:cs="Calibri"/>
            <w:sz w:val="16"/>
            <w:szCs w:val="16"/>
            <w:lang w:val="en-GB"/>
          </w:rPr>
          <w:t>http://www.dpm.gouv.sn/index.php?option=com_docman&amp;task=doc_download&amp;gid=44&amp;Itemid=110</w:t>
        </w:r>
      </w:hyperlink>
      <w:r w:rsidRPr="00E2507C">
        <w:rPr>
          <w:rFonts w:asciiTheme="majorHAnsi" w:hAnsiTheme="majorHAnsi"/>
          <w:sz w:val="16"/>
          <w:szCs w:val="16"/>
          <w:lang w:val="en-GB"/>
        </w:rPr>
        <w:t xml:space="preserve"> </w:t>
      </w:r>
    </w:p>
  </w:footnote>
  <w:footnote w:id="57">
    <w:p w14:paraId="1AC287C4" w14:textId="05BFA88C" w:rsidR="00EB7029" w:rsidRPr="00E2507C" w:rsidRDefault="00EB7029">
      <w:pPr>
        <w:pStyle w:val="FootnoteText"/>
        <w:rPr>
          <w:rFonts w:asciiTheme="majorHAnsi" w:hAnsiTheme="majorHAnsi"/>
          <w:sz w:val="16"/>
          <w:szCs w:val="16"/>
          <w:lang w:val="en-GB"/>
        </w:rPr>
      </w:pPr>
      <w:r w:rsidRPr="00E2507C">
        <w:rPr>
          <w:rStyle w:val="FootnoteReference"/>
          <w:rFonts w:asciiTheme="majorHAnsi" w:hAnsiTheme="majorHAnsi"/>
          <w:sz w:val="16"/>
          <w:szCs w:val="16"/>
          <w:lang w:val="en-GB"/>
        </w:rPr>
        <w:footnoteRef/>
      </w:r>
      <w:r w:rsidRPr="00E2507C">
        <w:rPr>
          <w:rFonts w:asciiTheme="majorHAnsi" w:hAnsiTheme="majorHAnsi"/>
          <w:sz w:val="16"/>
          <w:szCs w:val="16"/>
          <w:lang w:val="en-GB"/>
        </w:rPr>
        <w:t xml:space="preserve"> Letter from AGC Secretary General Julio Mamadu Balde to Prof. Fall as Chair of the EITI Senegal National Committee, on 10 July 2015, unpublished, provided by the EITI Senegal Secretariat. </w:t>
      </w:r>
    </w:p>
  </w:footnote>
  <w:footnote w:id="58">
    <w:p w14:paraId="3F7D2E54" w14:textId="30CA08FF"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Gold, silver, phosphates, attapulgite, Ilmenite 54, premium zircon, standard zircon, Ilmenite 58, basalt, rutile, limestone, clay, laterite, leucoxene and natural gas. </w:t>
      </w:r>
    </w:p>
  </w:footnote>
  <w:footnote w:id="59">
    <w:p w14:paraId="532AAAF3" w14:textId="5BD44893"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Gold, silver, phosphates, attapulgite, Ilmenite 54, standard zircon, premium zircon, Ilmenite 58, basalt, rutile. </w:t>
      </w:r>
    </w:p>
  </w:footnote>
  <w:footnote w:id="60">
    <w:p w14:paraId="779A4444" w14:textId="4BA73B34" w:rsidR="00EB7029" w:rsidRPr="00FF1374" w:rsidRDefault="00EB7029">
      <w:pPr>
        <w:pStyle w:val="FootnoteText"/>
        <w:rPr>
          <w:rFonts w:asciiTheme="majorHAnsi" w:hAnsiTheme="majorHAnsi"/>
          <w:sz w:val="16"/>
          <w:szCs w:val="16"/>
          <w:lang w:val="en-GB"/>
        </w:rPr>
      </w:pPr>
      <w:r w:rsidRPr="00FF1374">
        <w:rPr>
          <w:rFonts w:asciiTheme="majorHAnsi" w:hAnsiTheme="majorHAnsi"/>
          <w:sz w:val="16"/>
          <w:szCs w:val="16"/>
          <w:lang w:val="en-GB"/>
        </w:rPr>
        <w:t>-ø.</w:t>
      </w: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The 2014 EITI Report provides the value of gold exports as XOF 129.315bn based on material companies’ EITI reporting and XOF 170.7bn based on official government sources. The report also provides the value of phosphate exports as XOF 8.587bn based on material companies’ EITI reporting and XOF 17.9bn based on official government sources. </w:t>
      </w:r>
    </w:p>
  </w:footnote>
  <w:footnote w:id="61">
    <w:p w14:paraId="01323BFE" w14:textId="788EC456" w:rsidR="00EB7029" w:rsidRPr="00E2507C" w:rsidRDefault="00EB7029">
      <w:pPr>
        <w:pStyle w:val="FootnoteText"/>
        <w:rPr>
          <w:rFonts w:asciiTheme="majorHAnsi" w:hAnsiTheme="majorHAnsi"/>
          <w:sz w:val="16"/>
          <w:szCs w:val="16"/>
          <w:lang w:val="en-GB"/>
        </w:rPr>
      </w:pPr>
      <w:r w:rsidRPr="00E2507C">
        <w:rPr>
          <w:rStyle w:val="FootnoteReference"/>
          <w:rFonts w:asciiTheme="majorHAnsi" w:hAnsiTheme="majorHAnsi"/>
          <w:sz w:val="16"/>
          <w:szCs w:val="16"/>
          <w:lang w:val="en-GB"/>
        </w:rPr>
        <w:footnoteRef/>
      </w:r>
      <w:r w:rsidRPr="00E2507C">
        <w:rPr>
          <w:rFonts w:asciiTheme="majorHAnsi" w:hAnsiTheme="majorHAnsi"/>
          <w:sz w:val="16"/>
          <w:szCs w:val="16"/>
          <w:lang w:val="en-GB"/>
        </w:rPr>
        <w:t xml:space="preserve"> </w:t>
      </w:r>
      <w:hyperlink r:id="rId46" w:history="1">
        <w:r w:rsidRPr="00E2507C">
          <w:rPr>
            <w:rStyle w:val="Hyperlink"/>
            <w:rFonts w:asciiTheme="majorHAnsi" w:hAnsiTheme="majorHAnsi" w:cs="Calibri"/>
            <w:sz w:val="16"/>
            <w:szCs w:val="16"/>
            <w:lang w:val="en-GB"/>
          </w:rPr>
          <w:t>https://www.gate.ezv.admin.ch/swissimpex/</w:t>
        </w:r>
      </w:hyperlink>
      <w:r w:rsidRPr="00E2507C">
        <w:rPr>
          <w:rFonts w:asciiTheme="majorHAnsi" w:hAnsiTheme="majorHAnsi"/>
          <w:sz w:val="16"/>
          <w:szCs w:val="16"/>
          <w:lang w:val="en-GB"/>
        </w:rPr>
        <w:t xml:space="preserve"> </w:t>
      </w:r>
    </w:p>
  </w:footnote>
  <w:footnote w:id="62">
    <w:p w14:paraId="126E30AC" w14:textId="05DE7CC0"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USD 101m is the equivalent of XOF 49bn using an average USD 1: XOF 485.1 exchange rate based on historical exchange rates from </w:t>
      </w:r>
      <w:hyperlink r:id="rId47" w:history="1">
        <w:r w:rsidRPr="00FF1374">
          <w:rPr>
            <w:rStyle w:val="Hyperlink"/>
            <w:rFonts w:asciiTheme="majorHAnsi" w:hAnsiTheme="majorHAnsi" w:cs="Calibri"/>
            <w:sz w:val="16"/>
            <w:szCs w:val="16"/>
            <w:lang w:val="en-GB"/>
          </w:rPr>
          <w:t>www.oanda.com</w:t>
        </w:r>
      </w:hyperlink>
      <w:r w:rsidRPr="00FF1374">
        <w:rPr>
          <w:rFonts w:asciiTheme="majorHAnsi" w:hAnsiTheme="majorHAnsi"/>
          <w:sz w:val="16"/>
          <w:szCs w:val="16"/>
          <w:lang w:val="en-GB"/>
        </w:rPr>
        <w:t xml:space="preserve">. </w:t>
      </w:r>
    </w:p>
  </w:footnote>
  <w:footnote w:id="63">
    <w:p w14:paraId="1FD8EC85" w14:textId="766432E0"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DGID, DMG, DGD, DGCPT, DEFCCS, DEEC, IPRES, CSS and PETROSEN. </w:t>
      </w:r>
    </w:p>
  </w:footnote>
  <w:footnote w:id="64">
    <w:p w14:paraId="61684430" w14:textId="2F05E1BE" w:rsidR="00EB7029" w:rsidRPr="00E2507C" w:rsidRDefault="00EB7029">
      <w:pPr>
        <w:pStyle w:val="FootnoteText"/>
        <w:rPr>
          <w:rFonts w:asciiTheme="majorHAnsi" w:hAnsiTheme="majorHAnsi"/>
          <w:sz w:val="16"/>
          <w:szCs w:val="16"/>
          <w:lang w:val="en-GB"/>
        </w:rPr>
      </w:pPr>
      <w:r w:rsidRPr="00E2507C">
        <w:rPr>
          <w:rStyle w:val="FootnoteReference"/>
          <w:rFonts w:asciiTheme="majorHAnsi" w:hAnsiTheme="majorHAnsi"/>
          <w:sz w:val="16"/>
          <w:szCs w:val="16"/>
          <w:lang w:val="en-GB"/>
        </w:rPr>
        <w:footnoteRef/>
      </w:r>
      <w:r w:rsidRPr="00E2507C">
        <w:rPr>
          <w:rFonts w:asciiTheme="majorHAnsi" w:hAnsiTheme="majorHAnsi"/>
          <w:sz w:val="16"/>
          <w:szCs w:val="16"/>
          <w:lang w:val="en-GB"/>
        </w:rPr>
        <w:t xml:space="preserve"> </w:t>
      </w:r>
      <w:hyperlink r:id="rId48" w:history="1">
        <w:r w:rsidRPr="00E2507C">
          <w:rPr>
            <w:rStyle w:val="Hyperlink"/>
            <w:rFonts w:asciiTheme="majorHAnsi" w:hAnsiTheme="majorHAnsi" w:cs="Calibri"/>
            <w:sz w:val="16"/>
            <w:szCs w:val="16"/>
            <w:lang w:val="en-GB"/>
          </w:rPr>
          <w:t>http://itie.sn/rapport-2014/</w:t>
        </w:r>
      </w:hyperlink>
      <w:r w:rsidRPr="00E2507C">
        <w:rPr>
          <w:rFonts w:asciiTheme="majorHAnsi" w:hAnsiTheme="majorHAnsi"/>
          <w:sz w:val="16"/>
          <w:szCs w:val="16"/>
          <w:lang w:val="en-GB"/>
        </w:rPr>
        <w:t xml:space="preserve"> </w:t>
      </w:r>
    </w:p>
  </w:footnote>
  <w:footnote w:id="65">
    <w:p w14:paraId="5374344A" w14:textId="6EAA0EF6"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A 430km railway from Falémé to Bargny-Sendou and a 311km railway from Falémé to Tambacounda. </w:t>
      </w:r>
    </w:p>
  </w:footnote>
  <w:footnote w:id="66">
    <w:p w14:paraId="0B5001B5" w14:textId="6C2670B7"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35,163,770 standard cubic meters. </w:t>
      </w:r>
    </w:p>
  </w:footnote>
  <w:footnote w:id="67">
    <w:p w14:paraId="220A035B" w14:textId="15F2E363"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XOF 5735m. </w:t>
      </w:r>
    </w:p>
  </w:footnote>
  <w:footnote w:id="68">
    <w:p w14:paraId="35BDFA52" w14:textId="53E5F65B"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34,484,425 standard cubic meters. </w:t>
      </w:r>
    </w:p>
  </w:footnote>
  <w:footnote w:id="69">
    <w:p w14:paraId="105561FC" w14:textId="49386380"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Using an average natural gas price of XOF 163.1 per standard cubic meter, calculated by dividing total natural gas production values by volumes, based on data provided in the report (2014 EITI Report, p.10). </w:t>
      </w:r>
    </w:p>
  </w:footnote>
  <w:footnote w:id="70">
    <w:p w14:paraId="06178338" w14:textId="789097C4"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The average USD: XOF exchange rate in 2014 was USD 1: XOF 485.1 using historical exchange rates from </w:t>
      </w:r>
      <w:hyperlink r:id="rId49" w:history="1">
        <w:r w:rsidRPr="00FF1374">
          <w:rPr>
            <w:rStyle w:val="Hyperlink"/>
            <w:rFonts w:asciiTheme="majorHAnsi" w:hAnsiTheme="majorHAnsi" w:cs="Calibri"/>
            <w:sz w:val="16"/>
            <w:szCs w:val="16"/>
            <w:lang w:val="en-GB"/>
          </w:rPr>
          <w:t>www.oanda.com</w:t>
        </w:r>
      </w:hyperlink>
      <w:r w:rsidRPr="00FF1374">
        <w:rPr>
          <w:rFonts w:asciiTheme="majorHAnsi" w:hAnsiTheme="majorHAnsi"/>
          <w:sz w:val="16"/>
          <w:szCs w:val="16"/>
          <w:lang w:val="en-GB"/>
        </w:rPr>
        <w:t xml:space="preserve">. </w:t>
      </w:r>
    </w:p>
  </w:footnote>
  <w:footnote w:id="71">
    <w:p w14:paraId="1EF37283" w14:textId="39546BD5"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The Treasury reported subsidies to Miferso of XOF 1,256.13bn while Miferso reported XOF 256.13m. </w:t>
      </w:r>
    </w:p>
  </w:footnote>
  <w:footnote w:id="72">
    <w:p w14:paraId="3EF061E9" w14:textId="40217C1F"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50" w:history="1">
        <w:r w:rsidRPr="00FF1374">
          <w:rPr>
            <w:rStyle w:val="Hyperlink"/>
            <w:rFonts w:asciiTheme="majorHAnsi" w:hAnsiTheme="majorHAnsi" w:cs="Calibri"/>
            <w:sz w:val="16"/>
            <w:szCs w:val="16"/>
            <w:lang w:val="en-GB"/>
          </w:rPr>
          <w:t>http://itie.sn/rapport-2013/</w:t>
        </w:r>
      </w:hyperlink>
      <w:r w:rsidRPr="00FF1374">
        <w:rPr>
          <w:rFonts w:asciiTheme="majorHAnsi" w:hAnsiTheme="majorHAnsi"/>
          <w:sz w:val="16"/>
          <w:szCs w:val="16"/>
          <w:lang w:val="en-GB"/>
        </w:rPr>
        <w:t xml:space="preserve"> </w:t>
      </w:r>
    </w:p>
  </w:footnote>
  <w:footnote w:id="73">
    <w:p w14:paraId="78A1E612" w14:textId="3C9CE617"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51" w:history="1">
        <w:r w:rsidRPr="00FF1374">
          <w:rPr>
            <w:rStyle w:val="Hyperlink"/>
            <w:rFonts w:asciiTheme="majorHAnsi" w:hAnsiTheme="majorHAnsi" w:cs="Calibri"/>
            <w:sz w:val="16"/>
            <w:szCs w:val="16"/>
            <w:lang w:val="en-GB"/>
          </w:rPr>
          <w:t>http://itie.sn/rapport-2014/</w:t>
        </w:r>
      </w:hyperlink>
      <w:r w:rsidRPr="00FF1374">
        <w:rPr>
          <w:rFonts w:asciiTheme="majorHAnsi" w:hAnsiTheme="majorHAnsi"/>
          <w:sz w:val="16"/>
          <w:szCs w:val="16"/>
          <w:lang w:val="en-GB"/>
        </w:rPr>
        <w:t xml:space="preserve"> </w:t>
      </w:r>
    </w:p>
  </w:footnote>
  <w:footnote w:id="74">
    <w:p w14:paraId="37518998" w14:textId="32333E2B" w:rsidR="00EB7029" w:rsidRPr="00E2507C" w:rsidRDefault="00EB7029">
      <w:pPr>
        <w:pStyle w:val="FootnoteText"/>
        <w:rPr>
          <w:rFonts w:asciiTheme="majorHAnsi" w:hAnsiTheme="majorHAnsi"/>
          <w:sz w:val="16"/>
          <w:szCs w:val="16"/>
        </w:rPr>
      </w:pPr>
      <w:r w:rsidRPr="00E2507C">
        <w:rPr>
          <w:rStyle w:val="FootnoteReference"/>
          <w:rFonts w:asciiTheme="majorHAnsi" w:hAnsiTheme="majorHAnsi"/>
          <w:sz w:val="16"/>
          <w:szCs w:val="16"/>
        </w:rPr>
        <w:footnoteRef/>
      </w:r>
      <w:r w:rsidRPr="00E2507C">
        <w:rPr>
          <w:rFonts w:asciiTheme="majorHAnsi" w:hAnsiTheme="majorHAnsi"/>
          <w:sz w:val="16"/>
          <w:szCs w:val="16"/>
        </w:rPr>
        <w:t xml:space="preserve"> In Table 1, the MSG clearly indicates the areas of responsibility of the IA and the MSG, which is tasked with submitting drafts of key non-financial sections of the EITI Report to the IA for editing and inclusion in the 2014 EITI Report. The annexes of the ToR for the reconciliation outlining the MSG’s initial scoping decisions on materiality were completed with 2014 data and preliminary scoping decisions.</w:t>
      </w:r>
    </w:p>
  </w:footnote>
  <w:footnote w:id="75">
    <w:p w14:paraId="02C8C2AB" w14:textId="2DFFD04F" w:rsidR="00EB7029" w:rsidRPr="00E2507C" w:rsidRDefault="00EB7029">
      <w:pPr>
        <w:pStyle w:val="FootnoteText"/>
        <w:rPr>
          <w:rFonts w:asciiTheme="majorHAnsi" w:hAnsiTheme="majorHAnsi"/>
          <w:sz w:val="16"/>
          <w:szCs w:val="16"/>
        </w:rPr>
      </w:pPr>
      <w:r w:rsidRPr="00E2507C">
        <w:rPr>
          <w:rStyle w:val="FootnoteReference"/>
          <w:rFonts w:asciiTheme="majorHAnsi" w:hAnsiTheme="majorHAnsi"/>
          <w:sz w:val="16"/>
          <w:szCs w:val="16"/>
        </w:rPr>
        <w:footnoteRef/>
      </w:r>
      <w:r w:rsidRPr="00E2507C">
        <w:rPr>
          <w:rFonts w:asciiTheme="majorHAnsi" w:hAnsiTheme="majorHAnsi"/>
          <w:sz w:val="16"/>
          <w:szCs w:val="16"/>
        </w:rPr>
        <w:t xml:space="preserve"> The Petroleum Code requires companies to hold independent accounts but not does not have audit requirements, while the Mining Code does not have any requirement for companies to hold accounts. While Company Law requires all companies, including the two SOEs (Miferso and Petrosen), domiciled in Senegal to hold audited accounts, there is no such requirement for joint-ventures, since these are audited by each partner. </w:t>
      </w:r>
    </w:p>
  </w:footnote>
  <w:footnote w:id="76">
    <w:p w14:paraId="707AE91A" w14:textId="51A3B113" w:rsidR="00EB7029" w:rsidRPr="00E2507C" w:rsidRDefault="00EB7029">
      <w:pPr>
        <w:pStyle w:val="FootnoteText"/>
        <w:rPr>
          <w:rFonts w:asciiTheme="majorHAnsi" w:hAnsiTheme="majorHAnsi"/>
          <w:sz w:val="16"/>
          <w:szCs w:val="16"/>
        </w:rPr>
      </w:pPr>
      <w:r w:rsidRPr="00E2507C">
        <w:rPr>
          <w:rStyle w:val="FootnoteReference"/>
          <w:rFonts w:asciiTheme="majorHAnsi" w:hAnsiTheme="majorHAnsi"/>
          <w:sz w:val="16"/>
          <w:szCs w:val="16"/>
        </w:rPr>
        <w:footnoteRef/>
      </w:r>
      <w:r w:rsidRPr="00E2507C">
        <w:rPr>
          <w:rFonts w:asciiTheme="majorHAnsi" w:hAnsiTheme="majorHAnsi"/>
          <w:sz w:val="16"/>
          <w:szCs w:val="16"/>
        </w:rPr>
        <w:t xml:space="preserve"> Including the roles of the Cour des Comptes, the General Inspectorate of the State and the General Inspectorate of Finance. </w:t>
      </w:r>
    </w:p>
  </w:footnote>
  <w:footnote w:id="77">
    <w:p w14:paraId="5869ABED" w14:textId="77A8793F"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The report states that the Court of Counts work was undertaken on the basis of the Court’s regulations (Organic Law 2012-23 of 27 December 2012 and Decree 2013-1450 of 13 November 2013), the requirements of the EITI Standard, on international best practice and on the basis of INTOSAI standards.</w:t>
      </w:r>
    </w:p>
  </w:footnote>
  <w:footnote w:id="78">
    <w:p w14:paraId="5FF8A1A3" w14:textId="11F39791"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from Petrosen, DMG, DGTCP and DGID, but not from DGD, DEEC or DEFCCS. </w:t>
      </w:r>
    </w:p>
  </w:footnote>
  <w:footnote w:id="79">
    <w:p w14:paraId="239DE003" w14:textId="351D75F8"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52" w:history="1">
        <w:r w:rsidRPr="00FF1374">
          <w:rPr>
            <w:rStyle w:val="Hyperlink"/>
            <w:rFonts w:asciiTheme="majorHAnsi" w:hAnsiTheme="majorHAnsi" w:cs="Calibri"/>
            <w:sz w:val="16"/>
            <w:szCs w:val="16"/>
            <w:lang w:val="en-GB"/>
          </w:rPr>
          <w:t>http://itie.sn/rapport-2013/</w:t>
        </w:r>
      </w:hyperlink>
      <w:r w:rsidRPr="00FF1374">
        <w:rPr>
          <w:rFonts w:asciiTheme="majorHAnsi" w:hAnsiTheme="majorHAnsi"/>
          <w:sz w:val="16"/>
          <w:szCs w:val="16"/>
          <w:lang w:val="en-GB"/>
        </w:rPr>
        <w:t xml:space="preserve"> and </w:t>
      </w:r>
      <w:hyperlink r:id="rId53" w:history="1">
        <w:r w:rsidRPr="00FF1374">
          <w:rPr>
            <w:rStyle w:val="Hyperlink"/>
            <w:rFonts w:asciiTheme="majorHAnsi" w:hAnsiTheme="majorHAnsi" w:cs="Calibri"/>
            <w:sz w:val="16"/>
            <w:szCs w:val="16"/>
            <w:lang w:val="en-GB"/>
          </w:rPr>
          <w:t>http://itie.sn/rapport-2014/</w:t>
        </w:r>
      </w:hyperlink>
      <w:r w:rsidRPr="00FF1374">
        <w:rPr>
          <w:rFonts w:asciiTheme="majorHAnsi" w:hAnsiTheme="majorHAnsi"/>
          <w:sz w:val="16"/>
          <w:szCs w:val="16"/>
          <w:lang w:val="en-GB"/>
        </w:rPr>
        <w:t xml:space="preserve"> </w:t>
      </w:r>
    </w:p>
  </w:footnote>
  <w:footnote w:id="80">
    <w:p w14:paraId="4E786DF8" w14:textId="0600CF07"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54" w:anchor="revenue-collection" w:history="1">
        <w:r w:rsidRPr="00FF1374">
          <w:rPr>
            <w:rStyle w:val="Hyperlink"/>
            <w:rFonts w:asciiTheme="majorHAnsi" w:hAnsiTheme="majorHAnsi" w:cs="Calibri"/>
            <w:sz w:val="16"/>
            <w:szCs w:val="16"/>
            <w:lang w:val="en-GB"/>
          </w:rPr>
          <w:t>https://eiti.org/senegal#revenue-collection</w:t>
        </w:r>
      </w:hyperlink>
      <w:r w:rsidRPr="00FF1374">
        <w:rPr>
          <w:rFonts w:asciiTheme="majorHAnsi" w:hAnsiTheme="majorHAnsi"/>
          <w:sz w:val="16"/>
          <w:szCs w:val="16"/>
          <w:lang w:val="en-GB"/>
        </w:rPr>
        <w:t xml:space="preserve"> </w:t>
      </w:r>
    </w:p>
  </w:footnote>
  <w:footnote w:id="81">
    <w:p w14:paraId="1AB085CC" w14:textId="4BB0F416" w:rsidR="00EB7029" w:rsidRPr="00E2507C" w:rsidRDefault="00EB7029">
      <w:pPr>
        <w:pStyle w:val="FootnoteText"/>
        <w:rPr>
          <w:sz w:val="16"/>
          <w:szCs w:val="16"/>
        </w:rPr>
      </w:pPr>
      <w:r w:rsidRPr="00E2507C">
        <w:rPr>
          <w:rStyle w:val="FootnoteReference"/>
          <w:sz w:val="16"/>
          <w:szCs w:val="16"/>
        </w:rPr>
        <w:footnoteRef/>
      </w:r>
      <w:r w:rsidRPr="00E2507C">
        <w:rPr>
          <w:sz w:val="16"/>
          <w:szCs w:val="16"/>
        </w:rPr>
        <w:t xml:space="preserve"> AZ Petroleum. </w:t>
      </w:r>
    </w:p>
  </w:footnote>
  <w:footnote w:id="82">
    <w:p w14:paraId="6742F710" w14:textId="31E887B3"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Off-budget revenues listed in the 2014 EITI Report are: oil and gas license-holder surface tax (taxes superficiaires) as well as training and research promotion levies that are retained by Petrosen; proceeds from the sales of Petrosen’s share of oil and gas production, retained by Petrosen; proceeds from the sale of seismic and technical data, retained by Petrosen; community contributions and levies to UEMOA and ECOWAS; social contributions paid to CSS and IPRES; and all payments by extractives companies operating in the joint maritime area with Guinea-Bissau that are received by the AGC. </w:t>
      </w:r>
    </w:p>
  </w:footnote>
  <w:footnote w:id="83">
    <w:p w14:paraId="10FAC50D" w14:textId="77777777" w:rsidR="00EB7029" w:rsidRPr="00E2507C" w:rsidRDefault="00EB7029" w:rsidP="00C40F78">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E2507C">
        <w:rPr>
          <w:rFonts w:asciiTheme="majorHAnsi" w:hAnsiTheme="majorHAnsi"/>
          <w:sz w:val="16"/>
          <w:szCs w:val="16"/>
          <w:lang w:val="fr-FR"/>
        </w:rPr>
        <w:t xml:space="preserve"> Règlement 02/97-CM/UEMOA du 28 novembre 1997 portant adoption du Tarif Extérieur Commun de l'UEMOA. </w:t>
      </w:r>
    </w:p>
  </w:footnote>
  <w:footnote w:id="84">
    <w:p w14:paraId="5072F40C" w14:textId="48BFACE1" w:rsidR="00EB7029" w:rsidRPr="00E2507C" w:rsidRDefault="00EB7029" w:rsidP="00C40F78">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E2507C">
        <w:rPr>
          <w:rFonts w:asciiTheme="majorHAnsi" w:hAnsiTheme="majorHAnsi"/>
          <w:sz w:val="16"/>
          <w:szCs w:val="16"/>
          <w:lang w:val="fr-FR"/>
        </w:rPr>
        <w:t xml:space="preserve"> Article 72 du traité révisé de la CEDEAO du 24 juillet 1993. </w:t>
      </w:r>
    </w:p>
  </w:footnote>
  <w:footnote w:id="85">
    <w:p w14:paraId="19C0AAD7" w14:textId="1D2AFDC8" w:rsidR="00EB7029" w:rsidRPr="00E2507C" w:rsidRDefault="00EB7029">
      <w:pPr>
        <w:pStyle w:val="FootnoteText"/>
        <w:rPr>
          <w:rFonts w:asciiTheme="majorHAnsi" w:hAnsiTheme="majorHAnsi"/>
          <w:sz w:val="16"/>
          <w:szCs w:val="16"/>
          <w:lang w:val="fr-FR"/>
        </w:rPr>
      </w:pPr>
      <w:r w:rsidRPr="00E2507C">
        <w:rPr>
          <w:rStyle w:val="FootnoteReference"/>
          <w:rFonts w:asciiTheme="majorHAnsi" w:hAnsiTheme="majorHAnsi"/>
          <w:sz w:val="16"/>
          <w:szCs w:val="16"/>
          <w:lang w:val="en-GB"/>
        </w:rPr>
        <w:footnoteRef/>
      </w:r>
      <w:r w:rsidRPr="00E2507C">
        <w:rPr>
          <w:rFonts w:asciiTheme="majorHAnsi" w:hAnsiTheme="majorHAnsi"/>
          <w:sz w:val="16"/>
          <w:szCs w:val="16"/>
          <w:lang w:val="fr-FR"/>
        </w:rPr>
        <w:t xml:space="preserve"> Protocole d’Accord relatif à l’organisation et au fonctionnement de l’Agence (12 juin 1995). </w:t>
      </w:r>
    </w:p>
  </w:footnote>
  <w:footnote w:id="86">
    <w:p w14:paraId="3319C783" w14:textId="77777777" w:rsidR="00EB7029" w:rsidRPr="00E2507C" w:rsidRDefault="00EB7029" w:rsidP="00DA225B">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E2507C">
        <w:rPr>
          <w:rFonts w:asciiTheme="majorHAnsi" w:hAnsiTheme="majorHAnsi"/>
          <w:sz w:val="16"/>
          <w:szCs w:val="16"/>
          <w:lang w:val="fr-FR"/>
        </w:rPr>
        <w:t xml:space="preserve"> </w:t>
      </w:r>
      <w:hyperlink r:id="rId55" w:history="1">
        <w:r w:rsidRPr="00E2507C">
          <w:rPr>
            <w:rStyle w:val="Hyperlink"/>
            <w:rFonts w:asciiTheme="majorHAnsi" w:hAnsiTheme="majorHAnsi" w:cs="Calibri"/>
            <w:sz w:val="16"/>
            <w:szCs w:val="16"/>
            <w:lang w:val="fr-FR"/>
          </w:rPr>
          <w:t>http://itie.sn/wp-content/uploads/2015/02/ITIE_Rapport_final_de_la_stratu00E9gie_de_communication_19_1-_15_VF_TN-2.pdf</w:t>
        </w:r>
      </w:hyperlink>
      <w:r w:rsidRPr="00E2507C">
        <w:rPr>
          <w:rFonts w:asciiTheme="majorHAnsi" w:hAnsiTheme="majorHAnsi"/>
          <w:sz w:val="16"/>
          <w:szCs w:val="16"/>
          <w:lang w:val="fr-FR"/>
        </w:rPr>
        <w:t xml:space="preserve"> </w:t>
      </w:r>
    </w:p>
  </w:footnote>
  <w:footnote w:id="87">
    <w:p w14:paraId="45822C8B" w14:textId="64EE237F" w:rsidR="00EB7029" w:rsidRPr="00E2507C" w:rsidRDefault="00EB7029">
      <w:pPr>
        <w:pStyle w:val="FootnoteText"/>
        <w:rPr>
          <w:rFonts w:asciiTheme="majorHAnsi" w:hAnsiTheme="majorHAnsi"/>
          <w:sz w:val="16"/>
          <w:szCs w:val="16"/>
          <w:lang w:val="fr-FR"/>
        </w:rPr>
      </w:pPr>
      <w:r w:rsidRPr="00FF1374">
        <w:rPr>
          <w:rStyle w:val="FootnoteReference"/>
          <w:rFonts w:asciiTheme="majorHAnsi" w:hAnsiTheme="majorHAnsi"/>
          <w:sz w:val="16"/>
          <w:szCs w:val="16"/>
          <w:lang w:val="en-GB"/>
        </w:rPr>
        <w:footnoteRef/>
      </w:r>
      <w:r w:rsidRPr="00E2507C">
        <w:rPr>
          <w:rFonts w:asciiTheme="majorHAnsi" w:hAnsiTheme="majorHAnsi"/>
          <w:sz w:val="16"/>
          <w:szCs w:val="16"/>
          <w:lang w:val="fr-FR"/>
        </w:rPr>
        <w:t xml:space="preserve"> </w:t>
      </w:r>
      <w:hyperlink r:id="rId56" w:history="1">
        <w:r w:rsidRPr="00E2507C">
          <w:rPr>
            <w:rStyle w:val="Hyperlink"/>
            <w:rFonts w:asciiTheme="majorHAnsi" w:hAnsiTheme="majorHAnsi" w:cs="Calibri"/>
            <w:sz w:val="16"/>
            <w:szCs w:val="16"/>
            <w:lang w:val="fr-FR"/>
          </w:rPr>
          <w:t>http://itie.sn/repartition-des-revenus-miniersregion/</w:t>
        </w:r>
      </w:hyperlink>
      <w:r w:rsidRPr="00E2507C">
        <w:rPr>
          <w:rFonts w:asciiTheme="majorHAnsi" w:hAnsiTheme="majorHAnsi"/>
          <w:sz w:val="16"/>
          <w:szCs w:val="16"/>
          <w:lang w:val="fr-FR"/>
        </w:rPr>
        <w:t xml:space="preserve"> </w:t>
      </w:r>
    </w:p>
  </w:footnote>
  <w:footnote w:id="88">
    <w:p w14:paraId="6566EF25" w14:textId="3D290DFB"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57" w:history="1">
        <w:r w:rsidRPr="00FF1374">
          <w:rPr>
            <w:rStyle w:val="Hyperlink"/>
            <w:rFonts w:asciiTheme="majorHAnsi" w:hAnsiTheme="majorHAnsi" w:cs="Calibri"/>
            <w:sz w:val="16"/>
            <w:szCs w:val="16"/>
            <w:lang w:val="en-GB"/>
          </w:rPr>
          <w:t>http://itie.sn/blog/</w:t>
        </w:r>
      </w:hyperlink>
      <w:r w:rsidRPr="00FF1374">
        <w:rPr>
          <w:rFonts w:asciiTheme="majorHAnsi" w:hAnsiTheme="majorHAnsi"/>
          <w:sz w:val="16"/>
          <w:szCs w:val="16"/>
          <w:lang w:val="en-GB"/>
        </w:rPr>
        <w:t xml:space="preserve"> </w:t>
      </w:r>
    </w:p>
  </w:footnote>
  <w:footnote w:id="89">
    <w:p w14:paraId="43B6D1EF" w14:textId="5CBC6375" w:rsidR="00EB7029" w:rsidRPr="00E2507C" w:rsidRDefault="00EB7029">
      <w:pPr>
        <w:pStyle w:val="FootnoteText"/>
        <w:rPr>
          <w:sz w:val="16"/>
          <w:szCs w:val="16"/>
        </w:rPr>
      </w:pPr>
      <w:r w:rsidRPr="00E2507C">
        <w:rPr>
          <w:rStyle w:val="FootnoteReference"/>
          <w:sz w:val="16"/>
          <w:szCs w:val="16"/>
        </w:rPr>
        <w:footnoteRef/>
      </w:r>
      <w:r w:rsidRPr="00E2507C">
        <w:rPr>
          <w:sz w:val="16"/>
          <w:szCs w:val="16"/>
        </w:rPr>
        <w:t xml:space="preserve"> Including Kédougou, Thiès, Rufisque and Matam. </w:t>
      </w:r>
    </w:p>
  </w:footnote>
  <w:footnote w:id="90">
    <w:p w14:paraId="49CF18CC" w14:textId="77777777" w:rsidR="00EB7029" w:rsidRPr="00FF1374" w:rsidRDefault="00EB7029" w:rsidP="00DA225B">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RTS1: </w:t>
      </w:r>
      <w:hyperlink r:id="rId58" w:history="1">
        <w:r w:rsidRPr="00FF1374">
          <w:rPr>
            <w:rStyle w:val="Hyperlink"/>
            <w:rFonts w:asciiTheme="majorHAnsi" w:hAnsiTheme="majorHAnsi" w:cs="Calibri"/>
            <w:sz w:val="16"/>
            <w:szCs w:val="16"/>
            <w:lang w:val="en-GB"/>
          </w:rPr>
          <w:t>http://www.seneweb.com/news/Video/journal-televise-de-la-rts1-du-dimanche-_n_171159.html</w:t>
        </w:r>
      </w:hyperlink>
      <w:r w:rsidRPr="00FF1374">
        <w:rPr>
          <w:rFonts w:asciiTheme="majorHAnsi" w:hAnsiTheme="majorHAnsi"/>
          <w:sz w:val="16"/>
          <w:szCs w:val="16"/>
          <w:lang w:val="en-GB"/>
        </w:rPr>
        <w:t xml:space="preserve"> </w:t>
      </w:r>
    </w:p>
  </w:footnote>
  <w:footnote w:id="91">
    <w:p w14:paraId="7C2C538C" w14:textId="1FAB532C"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59" w:history="1">
        <w:r w:rsidRPr="00FF1374">
          <w:rPr>
            <w:rStyle w:val="Hyperlink"/>
            <w:rFonts w:asciiTheme="majorHAnsi" w:hAnsiTheme="majorHAnsi" w:cs="Calibri"/>
            <w:sz w:val="16"/>
            <w:szCs w:val="16"/>
            <w:lang w:val="en-GB"/>
          </w:rPr>
          <w:t>http://itie.sn/conferences-de-l-itie/</w:t>
        </w:r>
      </w:hyperlink>
      <w:r w:rsidRPr="00FF1374">
        <w:rPr>
          <w:rFonts w:asciiTheme="majorHAnsi" w:hAnsiTheme="majorHAnsi"/>
          <w:sz w:val="16"/>
          <w:szCs w:val="16"/>
          <w:lang w:val="en-GB"/>
        </w:rPr>
        <w:t xml:space="preserve"> </w:t>
      </w:r>
    </w:p>
  </w:footnote>
  <w:footnote w:id="92">
    <w:p w14:paraId="09D985C0" w14:textId="75E2C21C" w:rsidR="00EB7029" w:rsidRPr="00E2507C" w:rsidRDefault="00EB7029">
      <w:pPr>
        <w:pStyle w:val="FootnoteText"/>
        <w:rPr>
          <w:sz w:val="16"/>
          <w:szCs w:val="16"/>
        </w:rPr>
      </w:pPr>
      <w:r w:rsidRPr="00E2507C">
        <w:rPr>
          <w:rStyle w:val="FootnoteReference"/>
          <w:sz w:val="16"/>
          <w:szCs w:val="16"/>
        </w:rPr>
        <w:footnoteRef/>
      </w:r>
      <w:r w:rsidRPr="00E2507C">
        <w:rPr>
          <w:sz w:val="16"/>
          <w:szCs w:val="16"/>
        </w:rPr>
        <w:t xml:space="preserve"> The MSG held mine site visits to Sabodala (in Kédougou), Industries Chimiques du Sénégal and Grande Côte Operations. </w:t>
      </w:r>
    </w:p>
  </w:footnote>
  <w:footnote w:id="93">
    <w:p w14:paraId="06CFB02A" w14:textId="4F1BFAD3"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60" w:history="1">
        <w:r w:rsidRPr="00FF1374">
          <w:rPr>
            <w:rStyle w:val="Hyperlink"/>
            <w:rFonts w:asciiTheme="majorHAnsi" w:hAnsiTheme="majorHAnsi" w:cs="Calibri"/>
            <w:sz w:val="16"/>
            <w:szCs w:val="16"/>
            <w:lang w:val="en-GB"/>
          </w:rPr>
          <w:t>https://twitter.com/Itie_Senegal</w:t>
        </w:r>
      </w:hyperlink>
      <w:r w:rsidRPr="00FF1374">
        <w:rPr>
          <w:rFonts w:asciiTheme="majorHAnsi" w:hAnsiTheme="majorHAnsi"/>
          <w:sz w:val="16"/>
          <w:szCs w:val="16"/>
          <w:lang w:val="en-GB"/>
        </w:rPr>
        <w:t xml:space="preserve"> </w:t>
      </w:r>
    </w:p>
  </w:footnote>
  <w:footnote w:id="94">
    <w:p w14:paraId="7A64F493" w14:textId="1DFE0650"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61" w:history="1">
        <w:r w:rsidRPr="00FF1374">
          <w:rPr>
            <w:rStyle w:val="Hyperlink"/>
            <w:rFonts w:asciiTheme="majorHAnsi" w:hAnsiTheme="majorHAnsi" w:cs="Calibri"/>
            <w:sz w:val="16"/>
            <w:szCs w:val="16"/>
            <w:lang w:val="en-GB"/>
          </w:rPr>
          <w:t>https://plus.google.com/105664725486030930079</w:t>
        </w:r>
      </w:hyperlink>
      <w:r w:rsidRPr="00FF1374">
        <w:rPr>
          <w:rFonts w:asciiTheme="majorHAnsi" w:hAnsiTheme="majorHAnsi"/>
          <w:sz w:val="16"/>
          <w:szCs w:val="16"/>
          <w:lang w:val="en-GB"/>
        </w:rPr>
        <w:t xml:space="preserve"> </w:t>
      </w:r>
    </w:p>
  </w:footnote>
  <w:footnote w:id="95">
    <w:p w14:paraId="7D8E71DB" w14:textId="47D6C123"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62" w:history="1">
        <w:r w:rsidRPr="00FF1374">
          <w:rPr>
            <w:rStyle w:val="Hyperlink"/>
            <w:rFonts w:asciiTheme="majorHAnsi" w:hAnsiTheme="majorHAnsi" w:cs="Calibri"/>
            <w:sz w:val="16"/>
            <w:szCs w:val="16"/>
            <w:lang w:val="en-GB"/>
          </w:rPr>
          <w:t>https://www.youtube.com/channel/UCvP3npUKDaaMwp5MuxIbRmw/videos</w:t>
        </w:r>
      </w:hyperlink>
      <w:r w:rsidRPr="00FF1374">
        <w:rPr>
          <w:rFonts w:asciiTheme="majorHAnsi" w:hAnsiTheme="majorHAnsi"/>
          <w:sz w:val="16"/>
          <w:szCs w:val="16"/>
          <w:lang w:val="en-GB"/>
        </w:rPr>
        <w:t xml:space="preserve"> </w:t>
      </w:r>
    </w:p>
  </w:footnote>
  <w:footnote w:id="96">
    <w:p w14:paraId="031FA2A8" w14:textId="7793F0F8"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63" w:history="1">
        <w:r w:rsidRPr="00FF1374">
          <w:rPr>
            <w:rStyle w:val="Hyperlink"/>
            <w:rFonts w:asciiTheme="majorHAnsi" w:hAnsiTheme="majorHAnsi" w:cs="Calibri"/>
            <w:sz w:val="16"/>
            <w:szCs w:val="16"/>
            <w:lang w:val="en-GB"/>
          </w:rPr>
          <w:t>http://itie.sn/wp-content/uploads/2017/03/Politique-de-Donn%C3%A9es-Ouvertes-CN-ITIE-S%C3%A9n%C3%A9gal-vf.pdf</w:t>
        </w:r>
      </w:hyperlink>
      <w:r w:rsidRPr="00FF1374">
        <w:rPr>
          <w:rFonts w:asciiTheme="majorHAnsi" w:hAnsiTheme="majorHAnsi"/>
          <w:sz w:val="16"/>
          <w:szCs w:val="16"/>
          <w:lang w:val="en-GB"/>
        </w:rPr>
        <w:t xml:space="preserve"> </w:t>
      </w:r>
    </w:p>
  </w:footnote>
  <w:footnote w:id="97">
    <w:p w14:paraId="35F0C53B" w14:textId="32233010" w:rsidR="00EB7029" w:rsidRPr="00E2507C" w:rsidRDefault="00EB7029">
      <w:pPr>
        <w:pStyle w:val="FootnoteText"/>
        <w:rPr>
          <w:rFonts w:asciiTheme="majorHAnsi" w:hAnsiTheme="majorHAnsi"/>
          <w:sz w:val="16"/>
          <w:szCs w:val="16"/>
          <w:lang w:val="en-GB"/>
        </w:rPr>
      </w:pPr>
      <w:r w:rsidRPr="00E2507C">
        <w:rPr>
          <w:rStyle w:val="FootnoteReference"/>
          <w:rFonts w:asciiTheme="majorHAnsi" w:hAnsiTheme="majorHAnsi"/>
          <w:sz w:val="16"/>
          <w:szCs w:val="16"/>
          <w:lang w:val="en-GB"/>
        </w:rPr>
        <w:footnoteRef/>
      </w:r>
      <w:r w:rsidRPr="00E2507C">
        <w:rPr>
          <w:rFonts w:asciiTheme="majorHAnsi" w:hAnsiTheme="majorHAnsi"/>
          <w:sz w:val="16"/>
          <w:szCs w:val="16"/>
          <w:lang w:val="en-GB"/>
        </w:rPr>
        <w:t xml:space="preserve"> </w:t>
      </w:r>
      <w:hyperlink r:id="rId64" w:history="1">
        <w:r w:rsidRPr="00E2507C">
          <w:rPr>
            <w:rStyle w:val="Hyperlink"/>
            <w:rFonts w:asciiTheme="majorHAnsi" w:hAnsiTheme="majorHAnsi" w:cs="Calibri"/>
            <w:sz w:val="16"/>
            <w:szCs w:val="16"/>
            <w:lang w:val="en-GB"/>
          </w:rPr>
          <w:t>https://www.unicef.org/infobycountry/senegal_statistics.html</w:t>
        </w:r>
      </w:hyperlink>
      <w:r w:rsidRPr="00E2507C">
        <w:rPr>
          <w:rFonts w:asciiTheme="majorHAnsi" w:hAnsiTheme="majorHAnsi"/>
          <w:sz w:val="16"/>
          <w:szCs w:val="16"/>
          <w:lang w:val="en-GB"/>
        </w:rPr>
        <w:t xml:space="preserve"> </w:t>
      </w:r>
    </w:p>
  </w:footnote>
  <w:footnote w:id="98">
    <w:p w14:paraId="6F0DBE94" w14:textId="2D49336C" w:rsidR="00EB7029" w:rsidRPr="00FF1374" w:rsidRDefault="00EB7029">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65" w:history="1">
        <w:r w:rsidRPr="00FF1374">
          <w:rPr>
            <w:rStyle w:val="Hyperlink"/>
            <w:rFonts w:asciiTheme="majorHAnsi" w:hAnsiTheme="majorHAnsi" w:cs="Calibri"/>
            <w:sz w:val="16"/>
            <w:szCs w:val="16"/>
            <w:lang w:val="en-GB"/>
          </w:rPr>
          <w:t>http://itie.sn/rapport-2013/</w:t>
        </w:r>
      </w:hyperlink>
      <w:r w:rsidRPr="00FF1374">
        <w:rPr>
          <w:rFonts w:asciiTheme="majorHAnsi" w:hAnsiTheme="majorHAnsi"/>
          <w:sz w:val="16"/>
          <w:szCs w:val="16"/>
          <w:lang w:val="en-GB"/>
        </w:rPr>
        <w:t xml:space="preserve"> and </w:t>
      </w:r>
      <w:hyperlink r:id="rId66" w:history="1">
        <w:r w:rsidRPr="00FF1374">
          <w:rPr>
            <w:rStyle w:val="Hyperlink"/>
            <w:rFonts w:asciiTheme="majorHAnsi" w:hAnsiTheme="majorHAnsi" w:cs="Calibri"/>
            <w:sz w:val="16"/>
            <w:szCs w:val="16"/>
            <w:lang w:val="en-GB"/>
          </w:rPr>
          <w:t>http://itie.sn/rapport-2014/</w:t>
        </w:r>
      </w:hyperlink>
      <w:r w:rsidRPr="00FF1374">
        <w:rPr>
          <w:rFonts w:asciiTheme="majorHAnsi" w:hAnsiTheme="majorHAnsi"/>
          <w:sz w:val="16"/>
          <w:szCs w:val="16"/>
          <w:lang w:val="en-GB"/>
        </w:rPr>
        <w:t xml:space="preserve"> . </w:t>
      </w:r>
    </w:p>
  </w:footnote>
  <w:footnote w:id="99">
    <w:p w14:paraId="264F5D0D" w14:textId="77777777" w:rsidR="00EB7029" w:rsidRPr="00FF1374" w:rsidRDefault="00EB7029" w:rsidP="00564393">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67" w:history="1">
        <w:r w:rsidRPr="00FF1374">
          <w:rPr>
            <w:rStyle w:val="Hyperlink"/>
            <w:rFonts w:asciiTheme="majorHAnsi" w:hAnsiTheme="majorHAnsi" w:cs="Calibri"/>
            <w:sz w:val="16"/>
            <w:szCs w:val="16"/>
            <w:lang w:val="en-GB"/>
          </w:rPr>
          <w:t>https://www.sec.gouv.sn/-Conventions-minieres-.html</w:t>
        </w:r>
      </w:hyperlink>
      <w:r w:rsidRPr="00FF1374">
        <w:rPr>
          <w:rFonts w:asciiTheme="majorHAnsi" w:hAnsiTheme="majorHAnsi"/>
          <w:sz w:val="16"/>
          <w:szCs w:val="16"/>
          <w:lang w:val="en-GB"/>
        </w:rPr>
        <w:t xml:space="preserve"> </w:t>
      </w:r>
    </w:p>
  </w:footnote>
  <w:footnote w:id="100">
    <w:p w14:paraId="4DB183A7" w14:textId="77777777" w:rsidR="00EB7029" w:rsidRPr="00FF1374" w:rsidRDefault="00EB7029" w:rsidP="00564393">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68" w:history="1">
        <w:r w:rsidRPr="00FF1374">
          <w:rPr>
            <w:rStyle w:val="Hyperlink"/>
            <w:rFonts w:asciiTheme="majorHAnsi" w:hAnsiTheme="majorHAnsi" w:cs="Calibri"/>
            <w:sz w:val="16"/>
            <w:szCs w:val="16"/>
            <w:lang w:val="en-GB"/>
          </w:rPr>
          <w:t>https://www.sec.gouv.sn/Point-de-situation-sur-les.html</w:t>
        </w:r>
      </w:hyperlink>
      <w:r w:rsidRPr="00FF1374">
        <w:rPr>
          <w:rFonts w:asciiTheme="majorHAnsi" w:hAnsiTheme="majorHAnsi"/>
          <w:sz w:val="16"/>
          <w:szCs w:val="16"/>
          <w:lang w:val="en-GB"/>
        </w:rPr>
        <w:t xml:space="preserve"> </w:t>
      </w:r>
    </w:p>
  </w:footnote>
  <w:footnote w:id="101">
    <w:p w14:paraId="2E1485E5" w14:textId="77777777" w:rsidR="00EB7029" w:rsidRPr="00FF1374" w:rsidRDefault="00EB7029" w:rsidP="00564393">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69" w:history="1">
        <w:r w:rsidRPr="00FF1374">
          <w:rPr>
            <w:rStyle w:val="Hyperlink"/>
            <w:rFonts w:asciiTheme="majorHAnsi" w:hAnsiTheme="majorHAnsi" w:cs="Calibri"/>
            <w:sz w:val="16"/>
            <w:szCs w:val="16"/>
            <w:lang w:val="en-GB"/>
          </w:rPr>
          <w:t>http://itie.sn/contrats-miniers/</w:t>
        </w:r>
      </w:hyperlink>
      <w:r w:rsidRPr="00FF1374">
        <w:rPr>
          <w:rFonts w:asciiTheme="majorHAnsi" w:hAnsiTheme="majorHAnsi"/>
          <w:sz w:val="16"/>
          <w:szCs w:val="16"/>
          <w:lang w:val="en-GB"/>
        </w:rPr>
        <w:t xml:space="preserve"> </w:t>
      </w:r>
    </w:p>
  </w:footnote>
  <w:footnote w:id="102">
    <w:p w14:paraId="64616F11" w14:textId="77777777" w:rsidR="00EB7029" w:rsidRPr="00FF1374" w:rsidRDefault="00EB7029" w:rsidP="00564393">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70" w:history="1">
        <w:r w:rsidRPr="00FF1374">
          <w:rPr>
            <w:rStyle w:val="Hyperlink"/>
            <w:rFonts w:asciiTheme="majorHAnsi" w:hAnsiTheme="majorHAnsi" w:cs="Calibri"/>
            <w:sz w:val="16"/>
            <w:szCs w:val="16"/>
            <w:lang w:val="en-GB"/>
          </w:rPr>
          <w:t>http://itie.sn/contrats-petroliers/</w:t>
        </w:r>
      </w:hyperlink>
      <w:r w:rsidRPr="00FF1374">
        <w:rPr>
          <w:rFonts w:asciiTheme="majorHAnsi" w:hAnsiTheme="majorHAnsi"/>
          <w:sz w:val="16"/>
          <w:szCs w:val="16"/>
          <w:lang w:val="en-GB"/>
        </w:rPr>
        <w:t xml:space="preserve"> </w:t>
      </w:r>
    </w:p>
  </w:footnote>
  <w:footnote w:id="103">
    <w:p w14:paraId="71DEE224" w14:textId="77777777" w:rsidR="00EB7029" w:rsidRPr="00FF1374" w:rsidRDefault="00EB7029" w:rsidP="00BB2545">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71" w:history="1">
        <w:r w:rsidRPr="00FF1374">
          <w:rPr>
            <w:rStyle w:val="Hyperlink"/>
            <w:rFonts w:asciiTheme="majorHAnsi" w:hAnsiTheme="majorHAnsi" w:cs="Calibri"/>
            <w:sz w:val="16"/>
            <w:szCs w:val="16"/>
            <w:lang w:val="en-GB"/>
          </w:rPr>
          <w:t>https://www.sec.gouv.sn/-Conventions-minieres-.html</w:t>
        </w:r>
      </w:hyperlink>
      <w:r w:rsidRPr="00FF1374">
        <w:rPr>
          <w:rFonts w:asciiTheme="majorHAnsi" w:hAnsiTheme="majorHAnsi"/>
          <w:sz w:val="16"/>
          <w:szCs w:val="16"/>
          <w:lang w:val="en-GB"/>
        </w:rPr>
        <w:t xml:space="preserve"> </w:t>
      </w:r>
    </w:p>
  </w:footnote>
  <w:footnote w:id="104">
    <w:p w14:paraId="0E966F66" w14:textId="77777777" w:rsidR="00EB7029" w:rsidRPr="00FF1374" w:rsidRDefault="00EB7029" w:rsidP="00BB2545">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72" w:history="1">
        <w:r w:rsidRPr="00FF1374">
          <w:rPr>
            <w:rStyle w:val="Hyperlink"/>
            <w:rFonts w:asciiTheme="majorHAnsi" w:hAnsiTheme="majorHAnsi" w:cs="Calibri"/>
            <w:sz w:val="16"/>
            <w:szCs w:val="16"/>
            <w:lang w:val="en-GB"/>
          </w:rPr>
          <w:t>https://www.sec.gouv.sn/Point-de-situation-sur-les.html</w:t>
        </w:r>
      </w:hyperlink>
      <w:r w:rsidRPr="00FF1374">
        <w:rPr>
          <w:rFonts w:asciiTheme="majorHAnsi" w:hAnsiTheme="majorHAnsi"/>
          <w:sz w:val="16"/>
          <w:szCs w:val="16"/>
          <w:lang w:val="en-GB"/>
        </w:rPr>
        <w:t xml:space="preserve"> </w:t>
      </w:r>
    </w:p>
  </w:footnote>
  <w:footnote w:id="105">
    <w:p w14:paraId="3C3C5A52" w14:textId="77777777" w:rsidR="00EB7029" w:rsidRPr="00FF1374" w:rsidRDefault="00EB7029" w:rsidP="00BB2545">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73" w:history="1">
        <w:r w:rsidRPr="00FF1374">
          <w:rPr>
            <w:rStyle w:val="Hyperlink"/>
            <w:rFonts w:asciiTheme="majorHAnsi" w:hAnsiTheme="majorHAnsi" w:cs="Calibri"/>
            <w:sz w:val="16"/>
            <w:szCs w:val="16"/>
            <w:lang w:val="en-GB"/>
          </w:rPr>
          <w:t>http://itie.sn/contrats-miniers/</w:t>
        </w:r>
      </w:hyperlink>
      <w:r w:rsidRPr="00FF1374">
        <w:rPr>
          <w:rFonts w:asciiTheme="majorHAnsi" w:hAnsiTheme="majorHAnsi"/>
          <w:sz w:val="16"/>
          <w:szCs w:val="16"/>
          <w:lang w:val="en-GB"/>
        </w:rPr>
        <w:t xml:space="preserve"> </w:t>
      </w:r>
    </w:p>
  </w:footnote>
  <w:footnote w:id="106">
    <w:p w14:paraId="7261D374" w14:textId="77777777" w:rsidR="00EB7029" w:rsidRPr="00FF1374" w:rsidRDefault="00EB7029" w:rsidP="00BB2545">
      <w:pPr>
        <w:pStyle w:val="FootnoteText"/>
        <w:rPr>
          <w:rFonts w:asciiTheme="majorHAnsi" w:hAnsiTheme="majorHAnsi"/>
          <w:sz w:val="16"/>
          <w:szCs w:val="16"/>
          <w:lang w:val="en-GB"/>
        </w:rPr>
      </w:pPr>
      <w:r w:rsidRPr="00FF1374">
        <w:rPr>
          <w:rStyle w:val="FootnoteReference"/>
          <w:rFonts w:asciiTheme="majorHAnsi" w:hAnsiTheme="majorHAnsi"/>
          <w:sz w:val="16"/>
          <w:szCs w:val="16"/>
          <w:lang w:val="en-GB"/>
        </w:rPr>
        <w:footnoteRef/>
      </w:r>
      <w:r w:rsidRPr="00FF1374">
        <w:rPr>
          <w:rFonts w:asciiTheme="majorHAnsi" w:hAnsiTheme="majorHAnsi"/>
          <w:sz w:val="16"/>
          <w:szCs w:val="16"/>
          <w:lang w:val="en-GB"/>
        </w:rPr>
        <w:t xml:space="preserve"> </w:t>
      </w:r>
      <w:hyperlink r:id="rId74" w:history="1">
        <w:r w:rsidRPr="00FF1374">
          <w:rPr>
            <w:rStyle w:val="Hyperlink"/>
            <w:rFonts w:asciiTheme="majorHAnsi" w:hAnsiTheme="majorHAnsi" w:cs="Calibri"/>
            <w:sz w:val="16"/>
            <w:szCs w:val="16"/>
            <w:lang w:val="en-GB"/>
          </w:rPr>
          <w:t>http://itie.sn/contrats-petroliers/</w:t>
        </w:r>
      </w:hyperlink>
      <w:r w:rsidRPr="00FF1374">
        <w:rPr>
          <w:rFonts w:asciiTheme="majorHAnsi" w:hAnsiTheme="majorHAnsi"/>
          <w:sz w:val="16"/>
          <w:szCs w:val="16"/>
          <w:lang w:val="en-GB"/>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609491"/>
      <w:docPartObj>
        <w:docPartGallery w:val="Page Numbers (Top of Page)"/>
        <w:docPartUnique/>
      </w:docPartObj>
    </w:sdtPr>
    <w:sdtEndPr>
      <w:rPr>
        <w:rFonts w:ascii="Calibri" w:hAnsi="Calibri"/>
        <w:noProof/>
        <w:sz w:val="20"/>
        <w:szCs w:val="20"/>
        <w:lang w:eastAsia="x-none" w:bidi="en-US"/>
      </w:rPr>
    </w:sdtEndPr>
    <w:sdtContent>
      <w:p w14:paraId="69A93BAF" w14:textId="6C1F382A" w:rsidR="00EB7029" w:rsidRPr="001E2B08" w:rsidRDefault="00EB7029" w:rsidP="001E2B08">
        <w:pPr>
          <w:pStyle w:val="Header"/>
          <w:spacing w:after="0" w:line="240" w:lineRule="auto"/>
          <w:jc w:val="right"/>
          <w:rPr>
            <w:rFonts w:ascii="Calibri" w:hAnsi="Calibri"/>
            <w:b/>
            <w:noProof/>
            <w:sz w:val="20"/>
            <w:szCs w:val="20"/>
            <w:lang w:eastAsia="x-none" w:bidi="en-US"/>
          </w:rPr>
        </w:pPr>
        <w:r w:rsidRPr="001E2B08">
          <w:rPr>
            <w:rFonts w:ascii="Calibri" w:hAnsi="Calibri"/>
            <w:b/>
            <w:noProof/>
            <w:sz w:val="20"/>
            <w:szCs w:val="20"/>
            <w:lang w:eastAsia="x-none" w:bidi="en-US"/>
          </w:rPr>
          <w:fldChar w:fldCharType="begin"/>
        </w:r>
        <w:r w:rsidRPr="001E2B08">
          <w:rPr>
            <w:rFonts w:ascii="Calibri" w:hAnsi="Calibri"/>
            <w:b/>
            <w:noProof/>
            <w:sz w:val="20"/>
            <w:szCs w:val="20"/>
            <w:lang w:eastAsia="x-none" w:bidi="en-US"/>
          </w:rPr>
          <w:instrText>PAGE   \* MERGEFORMAT</w:instrText>
        </w:r>
        <w:r w:rsidRPr="001E2B08">
          <w:rPr>
            <w:rFonts w:ascii="Calibri" w:hAnsi="Calibri"/>
            <w:b/>
            <w:noProof/>
            <w:sz w:val="20"/>
            <w:szCs w:val="20"/>
            <w:lang w:eastAsia="x-none" w:bidi="en-US"/>
          </w:rPr>
          <w:fldChar w:fldCharType="separate"/>
        </w:r>
        <w:r w:rsidR="0002611B">
          <w:rPr>
            <w:rFonts w:ascii="Calibri" w:hAnsi="Calibri"/>
            <w:b/>
            <w:noProof/>
            <w:sz w:val="20"/>
            <w:szCs w:val="20"/>
            <w:lang w:eastAsia="x-none" w:bidi="en-US"/>
          </w:rPr>
          <w:t>2</w:t>
        </w:r>
        <w:r w:rsidRPr="001E2B08">
          <w:rPr>
            <w:rFonts w:ascii="Calibri" w:hAnsi="Calibri"/>
            <w:b/>
            <w:noProof/>
            <w:sz w:val="20"/>
            <w:szCs w:val="20"/>
            <w:lang w:eastAsia="x-none" w:bidi="en-US"/>
          </w:rPr>
          <w:fldChar w:fldCharType="end"/>
        </w:r>
      </w:p>
      <w:p w14:paraId="4884BC7D" w14:textId="6F01AD42" w:rsidR="00EB7029" w:rsidRDefault="00EB7029" w:rsidP="00E03D03">
        <w:pPr>
          <w:pStyle w:val="Header"/>
          <w:spacing w:line="240" w:lineRule="auto"/>
          <w:jc w:val="right"/>
        </w:pPr>
        <w:r w:rsidRPr="00590D8E">
          <w:rPr>
            <w:rFonts w:ascii="Calibri" w:hAnsi="Calibri"/>
            <w:noProof/>
            <w:sz w:val="20"/>
            <w:szCs w:val="20"/>
            <w:lang w:eastAsia="x-none" w:bidi="en-US"/>
          </w:rPr>
          <w:t xml:space="preserve">Validation of </w:t>
        </w:r>
        <w:r>
          <w:rPr>
            <w:rFonts w:ascii="Calibri" w:hAnsi="Calibri"/>
            <w:noProof/>
            <w:sz w:val="20"/>
            <w:szCs w:val="20"/>
            <w:lang w:eastAsia="x-none" w:bidi="en-US"/>
          </w:rPr>
          <w:t xml:space="preserve">Senegal: </w:t>
        </w:r>
        <w:r w:rsidRPr="00590D8E">
          <w:rPr>
            <w:rFonts w:ascii="Calibri" w:hAnsi="Calibri"/>
            <w:noProof/>
            <w:sz w:val="20"/>
            <w:szCs w:val="20"/>
            <w:lang w:eastAsia="x-none" w:bidi="en-US"/>
          </w:rPr>
          <w:t>Report on initial data collection and stakeholder consultation</w:t>
        </w:r>
      </w:p>
    </w:sdtContent>
  </w:sdt>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371497997"/>
      <w:docPartObj>
        <w:docPartGallery w:val="Page Numbers (Top of Page)"/>
        <w:docPartUnique/>
      </w:docPartObj>
    </w:sdtPr>
    <w:sdtEndPr>
      <w:rPr>
        <w:rFonts w:ascii="Calibri" w:hAnsi="Calibri"/>
        <w:noProof/>
        <w:szCs w:val="20"/>
        <w:lang w:eastAsia="x-none" w:bidi="en-US"/>
      </w:rPr>
    </w:sdtEndPr>
    <w:sdtContent>
      <w:p w14:paraId="55F48A7A" w14:textId="10CF493C" w:rsidR="00EB7029" w:rsidRPr="00E03D03" w:rsidRDefault="00EB7029" w:rsidP="00482C28">
        <w:pPr>
          <w:pStyle w:val="Header"/>
          <w:spacing w:after="0" w:line="240" w:lineRule="auto"/>
          <w:jc w:val="right"/>
        </w:pPr>
        <w:r w:rsidRPr="001E2B08">
          <w:rPr>
            <w:rFonts w:ascii="Calibri" w:hAnsi="Calibri"/>
            <w:b/>
            <w:noProof/>
            <w:sz w:val="20"/>
            <w:szCs w:val="20"/>
            <w:lang w:eastAsia="x-none" w:bidi="en-US"/>
          </w:rPr>
          <w:fldChar w:fldCharType="begin"/>
        </w:r>
        <w:r w:rsidRPr="001E2B08">
          <w:rPr>
            <w:rFonts w:ascii="Calibri" w:hAnsi="Calibri"/>
            <w:b/>
            <w:noProof/>
            <w:sz w:val="20"/>
            <w:szCs w:val="20"/>
            <w:lang w:eastAsia="x-none" w:bidi="en-US"/>
          </w:rPr>
          <w:instrText>PAGE   \* MERGEFORMAT</w:instrText>
        </w:r>
        <w:r w:rsidRPr="001E2B08">
          <w:rPr>
            <w:rFonts w:ascii="Calibri" w:hAnsi="Calibri"/>
            <w:b/>
            <w:noProof/>
            <w:sz w:val="20"/>
            <w:szCs w:val="20"/>
            <w:lang w:eastAsia="x-none" w:bidi="en-US"/>
          </w:rPr>
          <w:fldChar w:fldCharType="separate"/>
        </w:r>
        <w:r w:rsidR="0002611B">
          <w:rPr>
            <w:rFonts w:ascii="Calibri" w:hAnsi="Calibri"/>
            <w:b/>
            <w:noProof/>
            <w:sz w:val="20"/>
            <w:szCs w:val="20"/>
            <w:lang w:eastAsia="x-none" w:bidi="en-US"/>
          </w:rPr>
          <w:t>108</w:t>
        </w:r>
        <w:r w:rsidRPr="001E2B08">
          <w:rPr>
            <w:rFonts w:ascii="Calibri" w:hAnsi="Calibri"/>
            <w:b/>
            <w:noProof/>
            <w:sz w:val="20"/>
            <w:szCs w:val="20"/>
            <w:lang w:eastAsia="x-none" w:bidi="en-US"/>
          </w:rPr>
          <w:fldChar w:fldCharType="end"/>
        </w:r>
        <w:r>
          <w:rPr>
            <w:rFonts w:ascii="Calibri" w:hAnsi="Calibri"/>
            <w:b/>
            <w:noProof/>
            <w:sz w:val="20"/>
            <w:szCs w:val="20"/>
            <w:lang w:eastAsia="x-none" w:bidi="en-US"/>
          </w:rPr>
          <w:br/>
        </w:r>
        <w:r w:rsidRPr="00590D8E">
          <w:rPr>
            <w:rFonts w:ascii="Calibri" w:hAnsi="Calibri"/>
            <w:noProof/>
            <w:sz w:val="20"/>
            <w:szCs w:val="20"/>
            <w:lang w:eastAsia="x-none" w:bidi="en-US"/>
          </w:rPr>
          <w:t xml:space="preserve">Validation of </w:t>
        </w:r>
        <w:r>
          <w:rPr>
            <w:rFonts w:ascii="Calibri" w:hAnsi="Calibri"/>
            <w:noProof/>
            <w:sz w:val="20"/>
            <w:szCs w:val="20"/>
            <w:lang w:eastAsia="x-none" w:bidi="en-US"/>
          </w:rPr>
          <w:t xml:space="preserve">Senegal: </w:t>
        </w:r>
        <w:r w:rsidRPr="00590D8E">
          <w:rPr>
            <w:rFonts w:ascii="Calibri" w:hAnsi="Calibri"/>
            <w:noProof/>
            <w:sz w:val="20"/>
            <w:szCs w:val="20"/>
            <w:lang w:eastAsia="x-none" w:bidi="en-US"/>
          </w:rPr>
          <w:t>Report on initial data collection and stakeholder consultation</w:t>
        </w:r>
      </w:p>
    </w:sdtContent>
  </w:sdt>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418547"/>
      <w:docPartObj>
        <w:docPartGallery w:val="Page Numbers (Top of Page)"/>
        <w:docPartUnique/>
      </w:docPartObj>
    </w:sdtPr>
    <w:sdtEndPr>
      <w:rPr>
        <w:rFonts w:ascii="Calibri" w:hAnsi="Calibri"/>
        <w:noProof/>
        <w:sz w:val="20"/>
        <w:szCs w:val="20"/>
        <w:lang w:eastAsia="x-none" w:bidi="en-US"/>
      </w:rPr>
    </w:sdtEndPr>
    <w:sdtContent>
      <w:p w14:paraId="66746C50" w14:textId="5CC145E2" w:rsidR="00EB7029" w:rsidRPr="00E03D03" w:rsidRDefault="00EB7029" w:rsidP="00482C28">
        <w:pPr>
          <w:pStyle w:val="Header"/>
          <w:spacing w:after="0" w:line="240" w:lineRule="auto"/>
          <w:jc w:val="right"/>
        </w:pPr>
        <w:r w:rsidRPr="001E2B08">
          <w:rPr>
            <w:rFonts w:ascii="Calibri" w:hAnsi="Calibri"/>
            <w:b/>
            <w:noProof/>
            <w:sz w:val="20"/>
            <w:szCs w:val="20"/>
            <w:lang w:eastAsia="x-none" w:bidi="en-US"/>
          </w:rPr>
          <w:fldChar w:fldCharType="begin"/>
        </w:r>
        <w:r w:rsidRPr="001E2B08">
          <w:rPr>
            <w:rFonts w:ascii="Calibri" w:hAnsi="Calibri"/>
            <w:b/>
            <w:noProof/>
            <w:sz w:val="20"/>
            <w:szCs w:val="20"/>
            <w:lang w:eastAsia="x-none" w:bidi="en-US"/>
          </w:rPr>
          <w:instrText>PAGE   \* MERGEFORMAT</w:instrText>
        </w:r>
        <w:r w:rsidRPr="001E2B08">
          <w:rPr>
            <w:rFonts w:ascii="Calibri" w:hAnsi="Calibri"/>
            <w:b/>
            <w:noProof/>
            <w:sz w:val="20"/>
            <w:szCs w:val="20"/>
            <w:lang w:eastAsia="x-none" w:bidi="en-US"/>
          </w:rPr>
          <w:fldChar w:fldCharType="separate"/>
        </w:r>
        <w:r w:rsidR="00622B3E">
          <w:rPr>
            <w:rFonts w:ascii="Calibri" w:hAnsi="Calibri"/>
            <w:b/>
            <w:noProof/>
            <w:sz w:val="20"/>
            <w:szCs w:val="20"/>
            <w:lang w:eastAsia="x-none" w:bidi="en-US"/>
          </w:rPr>
          <w:t>116</w:t>
        </w:r>
        <w:r w:rsidRPr="001E2B08">
          <w:rPr>
            <w:rFonts w:ascii="Calibri" w:hAnsi="Calibri"/>
            <w:b/>
            <w:noProof/>
            <w:sz w:val="20"/>
            <w:szCs w:val="20"/>
            <w:lang w:eastAsia="x-none" w:bidi="en-US"/>
          </w:rPr>
          <w:fldChar w:fldCharType="end"/>
        </w:r>
        <w:r>
          <w:rPr>
            <w:rFonts w:ascii="Calibri" w:hAnsi="Calibri"/>
            <w:b/>
            <w:noProof/>
            <w:sz w:val="20"/>
            <w:szCs w:val="20"/>
            <w:lang w:eastAsia="x-none" w:bidi="en-US"/>
          </w:rPr>
          <w:br/>
        </w:r>
        <w:r w:rsidRPr="00590D8E">
          <w:rPr>
            <w:rFonts w:ascii="Calibri" w:hAnsi="Calibri"/>
            <w:noProof/>
            <w:sz w:val="20"/>
            <w:szCs w:val="20"/>
            <w:lang w:eastAsia="x-none" w:bidi="en-US"/>
          </w:rPr>
          <w:t xml:space="preserve">Validation of </w:t>
        </w:r>
        <w:r>
          <w:rPr>
            <w:rFonts w:ascii="Calibri" w:hAnsi="Calibri"/>
            <w:noProof/>
            <w:sz w:val="20"/>
            <w:szCs w:val="20"/>
            <w:lang w:eastAsia="x-none" w:bidi="en-US"/>
          </w:rPr>
          <w:t xml:space="preserve">Senegal: </w:t>
        </w:r>
        <w:r w:rsidRPr="00590D8E">
          <w:rPr>
            <w:rFonts w:ascii="Calibri" w:hAnsi="Calibri"/>
            <w:noProof/>
            <w:sz w:val="20"/>
            <w:szCs w:val="20"/>
            <w:lang w:eastAsia="x-none" w:bidi="en-US"/>
          </w:rPr>
          <w:t>Report on initial data collection and stakeholder consultation</w:t>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E56C4" w14:textId="77777777" w:rsidR="00EB7029" w:rsidRPr="00815E17" w:rsidRDefault="00EB7029" w:rsidP="00854AF1">
    <w:pPr>
      <w:tabs>
        <w:tab w:val="left" w:pos="3800"/>
      </w:tabs>
      <w:jc w:val="right"/>
      <w:rPr>
        <w:i/>
        <w:iCs/>
        <w:color w:val="808080"/>
        <w:sz w:val="20"/>
        <w:szCs w:val="20"/>
      </w:rPr>
    </w:pPr>
    <w:r w:rsidRPr="00815E17">
      <w:rPr>
        <w:noProof/>
        <w:lang w:val="en-US"/>
      </w:rPr>
      <w:drawing>
        <wp:anchor distT="0" distB="0" distL="114300" distR="114300" simplePos="0" relativeHeight="251658240" behindDoc="1" locked="0" layoutInCell="1" allowOverlap="1" wp14:anchorId="4B8388F3" wp14:editId="1029B3C3">
          <wp:simplePos x="0" y="0"/>
          <wp:positionH relativeFrom="page">
            <wp:posOffset>720090</wp:posOffset>
          </wp:positionH>
          <wp:positionV relativeFrom="page">
            <wp:posOffset>558165</wp:posOffset>
          </wp:positionV>
          <wp:extent cx="2485593" cy="508635"/>
          <wp:effectExtent l="0" t="0" r="3810" b="0"/>
          <wp:wrapNone/>
          <wp:docPr id="2" name="Picture 2" descr="EitimyriadPr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timyriadPro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692" cy="508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5ACAD" w14:textId="77777777" w:rsidR="00EB7029" w:rsidRDefault="00EB702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41D67" w14:textId="7C6DA8ED" w:rsidR="00EB7029" w:rsidRPr="00E02D8A" w:rsidRDefault="00EB7029" w:rsidP="00AC4A18">
    <w:pPr>
      <w:pStyle w:val="Header"/>
      <w:spacing w:line="240" w:lineRule="auto"/>
      <w:jc w:val="right"/>
      <w:rPr>
        <w:rFonts w:ascii="Calibri" w:hAnsi="Calibri"/>
        <w:noProof/>
        <w:color w:val="000000" w:themeColor="text1"/>
        <w:sz w:val="20"/>
        <w:szCs w:val="20"/>
        <w:lang w:eastAsia="x-none" w:bidi="en-US"/>
      </w:rPr>
    </w:pPr>
    <w:r w:rsidRPr="00E03D03">
      <w:rPr>
        <w:rFonts w:ascii="Calibri" w:hAnsi="Calibri"/>
        <w:b/>
        <w:noProof/>
        <w:color w:val="000000" w:themeColor="text1"/>
        <w:sz w:val="20"/>
        <w:szCs w:val="20"/>
        <w:lang w:eastAsia="x-none" w:bidi="en-US"/>
      </w:rPr>
      <w:fldChar w:fldCharType="begin"/>
    </w:r>
    <w:r w:rsidRPr="00E03D03">
      <w:rPr>
        <w:rFonts w:ascii="Calibri" w:hAnsi="Calibri"/>
        <w:b/>
        <w:noProof/>
        <w:color w:val="000000" w:themeColor="text1"/>
        <w:sz w:val="20"/>
        <w:szCs w:val="20"/>
        <w:lang w:eastAsia="x-none" w:bidi="en-US"/>
      </w:rPr>
      <w:instrText>PAGE   \* MERGEFORMAT</w:instrText>
    </w:r>
    <w:r w:rsidRPr="00E03D03">
      <w:rPr>
        <w:rFonts w:ascii="Calibri" w:hAnsi="Calibri"/>
        <w:b/>
        <w:noProof/>
        <w:color w:val="000000" w:themeColor="text1"/>
        <w:sz w:val="20"/>
        <w:szCs w:val="20"/>
        <w:lang w:eastAsia="x-none" w:bidi="en-US"/>
      </w:rPr>
      <w:fldChar w:fldCharType="separate"/>
    </w:r>
    <w:r w:rsidR="0002611B">
      <w:rPr>
        <w:rFonts w:ascii="Calibri" w:hAnsi="Calibri"/>
        <w:b/>
        <w:noProof/>
        <w:color w:val="000000" w:themeColor="text1"/>
        <w:sz w:val="20"/>
        <w:szCs w:val="20"/>
        <w:lang w:eastAsia="x-none" w:bidi="en-US"/>
      </w:rPr>
      <w:t>10</w:t>
    </w:r>
    <w:r w:rsidRPr="00E03D03">
      <w:rPr>
        <w:rFonts w:ascii="Calibri" w:hAnsi="Calibri"/>
        <w:b/>
        <w:noProof/>
        <w:color w:val="000000" w:themeColor="text1"/>
        <w:sz w:val="20"/>
        <w:szCs w:val="20"/>
        <w:lang w:eastAsia="x-none" w:bidi="en-US"/>
      </w:rPr>
      <w:fldChar w:fldCharType="end"/>
    </w:r>
    <w:r>
      <w:rPr>
        <w:rFonts w:ascii="Calibri" w:hAnsi="Calibri"/>
        <w:noProof/>
        <w:color w:val="000000" w:themeColor="text1"/>
        <w:sz w:val="20"/>
        <w:szCs w:val="20"/>
        <w:lang w:eastAsia="x-none" w:bidi="en-US"/>
      </w:rPr>
      <w:br/>
    </w:r>
    <w:r w:rsidRPr="00E03D03">
      <w:rPr>
        <w:rFonts w:ascii="Calibri" w:hAnsi="Calibri"/>
        <w:noProof/>
        <w:color w:val="000000" w:themeColor="text1"/>
        <w:sz w:val="20"/>
        <w:szCs w:val="20"/>
        <w:lang w:eastAsia="x-none" w:bidi="en-US"/>
      </w:rPr>
      <w:t xml:space="preserve">Validation of </w:t>
    </w:r>
    <w:r>
      <w:rPr>
        <w:rFonts w:ascii="Calibri" w:hAnsi="Calibri"/>
        <w:noProof/>
        <w:color w:val="000000" w:themeColor="text1"/>
        <w:sz w:val="20"/>
        <w:szCs w:val="20"/>
        <w:lang w:eastAsia="x-none" w:bidi="en-US"/>
      </w:rPr>
      <w:t>Senegal</w:t>
    </w:r>
    <w:r w:rsidRPr="00E03D03">
      <w:rPr>
        <w:rFonts w:ascii="Calibri" w:hAnsi="Calibri"/>
        <w:noProof/>
        <w:color w:val="000000" w:themeColor="text1"/>
        <w:sz w:val="20"/>
        <w:szCs w:val="20"/>
        <w:lang w:eastAsia="x-none" w:bidi="en-US"/>
      </w:rPr>
      <w:t>: Report on initial data collection and stakeholder consultation</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90581"/>
      <w:docPartObj>
        <w:docPartGallery w:val="Page Numbers (Top of Page)"/>
        <w:docPartUnique/>
      </w:docPartObj>
    </w:sdtPr>
    <w:sdtEndPr>
      <w:rPr>
        <w:rFonts w:ascii="Calibri" w:hAnsi="Calibri"/>
        <w:noProof/>
        <w:sz w:val="20"/>
        <w:szCs w:val="20"/>
        <w:lang w:eastAsia="x-none" w:bidi="en-US"/>
      </w:rPr>
    </w:sdtEndPr>
    <w:sdtContent>
      <w:p w14:paraId="3AAF3349" w14:textId="50F09306" w:rsidR="00EB7029" w:rsidRPr="001E2B08" w:rsidRDefault="00EB7029" w:rsidP="002D2DB6">
        <w:pPr>
          <w:pStyle w:val="Header"/>
          <w:spacing w:after="0" w:line="240" w:lineRule="auto"/>
          <w:jc w:val="right"/>
          <w:rPr>
            <w:rFonts w:ascii="Calibri" w:hAnsi="Calibri"/>
            <w:b/>
            <w:noProof/>
            <w:sz w:val="20"/>
            <w:szCs w:val="20"/>
            <w:lang w:eastAsia="x-none" w:bidi="en-US"/>
          </w:rPr>
        </w:pPr>
        <w:r w:rsidRPr="001E2B08">
          <w:rPr>
            <w:rFonts w:ascii="Calibri" w:hAnsi="Calibri"/>
            <w:b/>
            <w:noProof/>
            <w:sz w:val="20"/>
            <w:szCs w:val="20"/>
            <w:lang w:eastAsia="x-none" w:bidi="en-US"/>
          </w:rPr>
          <w:fldChar w:fldCharType="begin"/>
        </w:r>
        <w:r w:rsidRPr="001E2B08">
          <w:rPr>
            <w:rFonts w:ascii="Calibri" w:hAnsi="Calibri"/>
            <w:b/>
            <w:noProof/>
            <w:sz w:val="20"/>
            <w:szCs w:val="20"/>
            <w:lang w:eastAsia="x-none" w:bidi="en-US"/>
          </w:rPr>
          <w:instrText>PAGE   \* MERGEFORMAT</w:instrText>
        </w:r>
        <w:r w:rsidRPr="001E2B08">
          <w:rPr>
            <w:rFonts w:ascii="Calibri" w:hAnsi="Calibri"/>
            <w:b/>
            <w:noProof/>
            <w:sz w:val="20"/>
            <w:szCs w:val="20"/>
            <w:lang w:eastAsia="x-none" w:bidi="en-US"/>
          </w:rPr>
          <w:fldChar w:fldCharType="separate"/>
        </w:r>
        <w:r w:rsidR="0002611B">
          <w:rPr>
            <w:rFonts w:ascii="Calibri" w:hAnsi="Calibri"/>
            <w:b/>
            <w:noProof/>
            <w:sz w:val="20"/>
            <w:szCs w:val="20"/>
            <w:lang w:eastAsia="x-none" w:bidi="en-US"/>
          </w:rPr>
          <w:t>3</w:t>
        </w:r>
        <w:r w:rsidRPr="001E2B08">
          <w:rPr>
            <w:rFonts w:ascii="Calibri" w:hAnsi="Calibri"/>
            <w:b/>
            <w:noProof/>
            <w:sz w:val="20"/>
            <w:szCs w:val="20"/>
            <w:lang w:eastAsia="x-none" w:bidi="en-US"/>
          </w:rPr>
          <w:fldChar w:fldCharType="end"/>
        </w:r>
      </w:p>
      <w:p w14:paraId="5CB7FEAA" w14:textId="51E06724" w:rsidR="00EB7029" w:rsidRPr="00E03D03" w:rsidRDefault="00EB7029" w:rsidP="00E03D03">
        <w:pPr>
          <w:pStyle w:val="Header"/>
          <w:spacing w:line="240" w:lineRule="auto"/>
          <w:jc w:val="right"/>
        </w:pPr>
        <w:r w:rsidRPr="00590D8E">
          <w:rPr>
            <w:rFonts w:ascii="Calibri" w:hAnsi="Calibri"/>
            <w:noProof/>
            <w:sz w:val="20"/>
            <w:szCs w:val="20"/>
            <w:lang w:eastAsia="x-none" w:bidi="en-US"/>
          </w:rPr>
          <w:t xml:space="preserve">Validation of </w:t>
        </w:r>
        <w:r>
          <w:rPr>
            <w:rFonts w:ascii="Calibri" w:hAnsi="Calibri"/>
            <w:noProof/>
            <w:sz w:val="20"/>
            <w:szCs w:val="20"/>
            <w:lang w:eastAsia="x-none" w:bidi="en-US"/>
          </w:rPr>
          <w:t xml:space="preserve">Senegal: </w:t>
        </w:r>
        <w:r w:rsidRPr="00590D8E">
          <w:rPr>
            <w:rFonts w:ascii="Calibri" w:hAnsi="Calibri"/>
            <w:noProof/>
            <w:sz w:val="20"/>
            <w:szCs w:val="20"/>
            <w:lang w:eastAsia="x-none" w:bidi="en-US"/>
          </w:rPr>
          <w:t>Report on initial data collection and stakeholder consultation</w:t>
        </w:r>
        <w:r>
          <w:rPr>
            <w:rFonts w:ascii="Calibri" w:hAnsi="Calibri"/>
            <w:noProof/>
            <w:sz w:val="20"/>
            <w:szCs w:val="20"/>
            <w:lang w:eastAsia="x-none" w:bidi="en-US"/>
          </w:rPr>
          <w:br/>
        </w:r>
      </w:p>
    </w:sdtContent>
  </w:sdt>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977668"/>
      <w:docPartObj>
        <w:docPartGallery w:val="Page Numbers (Top of Page)"/>
        <w:docPartUnique/>
      </w:docPartObj>
    </w:sdtPr>
    <w:sdtEndPr>
      <w:rPr>
        <w:rFonts w:ascii="Calibri" w:hAnsi="Calibri"/>
        <w:noProof/>
        <w:sz w:val="20"/>
        <w:szCs w:val="20"/>
        <w:lang w:eastAsia="x-none" w:bidi="en-US"/>
      </w:rPr>
    </w:sdtEndPr>
    <w:sdtContent>
      <w:p w14:paraId="68953D44" w14:textId="78556CD0" w:rsidR="00EB7029" w:rsidRPr="001E2B08" w:rsidRDefault="00EB7029" w:rsidP="002D2DB6">
        <w:pPr>
          <w:pStyle w:val="Header"/>
          <w:spacing w:after="0" w:line="240" w:lineRule="auto"/>
          <w:jc w:val="right"/>
          <w:rPr>
            <w:rFonts w:ascii="Calibri" w:hAnsi="Calibri"/>
            <w:b/>
            <w:noProof/>
            <w:sz w:val="20"/>
            <w:szCs w:val="20"/>
            <w:lang w:eastAsia="x-none" w:bidi="en-US"/>
          </w:rPr>
        </w:pPr>
        <w:r w:rsidRPr="001E2B08">
          <w:rPr>
            <w:rFonts w:ascii="Calibri" w:hAnsi="Calibri"/>
            <w:b/>
            <w:noProof/>
            <w:sz w:val="20"/>
            <w:szCs w:val="20"/>
            <w:lang w:eastAsia="x-none" w:bidi="en-US"/>
          </w:rPr>
          <w:fldChar w:fldCharType="begin"/>
        </w:r>
        <w:r w:rsidRPr="001E2B08">
          <w:rPr>
            <w:rFonts w:ascii="Calibri" w:hAnsi="Calibri"/>
            <w:b/>
            <w:noProof/>
            <w:sz w:val="20"/>
            <w:szCs w:val="20"/>
            <w:lang w:eastAsia="x-none" w:bidi="en-US"/>
          </w:rPr>
          <w:instrText>PAGE   \* MERGEFORMAT</w:instrText>
        </w:r>
        <w:r w:rsidRPr="001E2B08">
          <w:rPr>
            <w:rFonts w:ascii="Calibri" w:hAnsi="Calibri"/>
            <w:b/>
            <w:noProof/>
            <w:sz w:val="20"/>
            <w:szCs w:val="20"/>
            <w:lang w:eastAsia="x-none" w:bidi="en-US"/>
          </w:rPr>
          <w:fldChar w:fldCharType="separate"/>
        </w:r>
        <w:r w:rsidR="0002611B">
          <w:rPr>
            <w:rFonts w:ascii="Calibri" w:hAnsi="Calibri"/>
            <w:b/>
            <w:noProof/>
            <w:sz w:val="20"/>
            <w:szCs w:val="20"/>
            <w:lang w:eastAsia="x-none" w:bidi="en-US"/>
          </w:rPr>
          <w:t>5</w:t>
        </w:r>
        <w:r w:rsidRPr="001E2B08">
          <w:rPr>
            <w:rFonts w:ascii="Calibri" w:hAnsi="Calibri"/>
            <w:b/>
            <w:noProof/>
            <w:sz w:val="20"/>
            <w:szCs w:val="20"/>
            <w:lang w:eastAsia="x-none" w:bidi="en-US"/>
          </w:rPr>
          <w:fldChar w:fldCharType="end"/>
        </w:r>
      </w:p>
      <w:p w14:paraId="405C435A" w14:textId="59622BA7" w:rsidR="00EB7029" w:rsidRPr="00E02D8A" w:rsidRDefault="00EB7029">
        <w:pPr>
          <w:pStyle w:val="Header"/>
          <w:spacing w:line="240" w:lineRule="auto"/>
          <w:jc w:val="right"/>
          <w:rPr>
            <w:rFonts w:ascii="Calibri" w:hAnsi="Calibri"/>
            <w:noProof/>
            <w:color w:val="000000" w:themeColor="text1"/>
            <w:sz w:val="20"/>
            <w:szCs w:val="20"/>
            <w:lang w:eastAsia="x-none" w:bidi="en-US"/>
          </w:rPr>
        </w:pPr>
        <w:r w:rsidRPr="00590D8E">
          <w:rPr>
            <w:rFonts w:ascii="Calibri" w:hAnsi="Calibri"/>
            <w:noProof/>
            <w:sz w:val="20"/>
            <w:szCs w:val="20"/>
            <w:lang w:eastAsia="x-none" w:bidi="en-US"/>
          </w:rPr>
          <w:t xml:space="preserve">Validation of </w:t>
        </w:r>
        <w:r>
          <w:rPr>
            <w:rFonts w:ascii="Calibri" w:hAnsi="Calibri"/>
            <w:noProof/>
            <w:sz w:val="20"/>
            <w:szCs w:val="20"/>
            <w:lang w:eastAsia="x-none" w:bidi="en-US"/>
          </w:rPr>
          <w:t xml:space="preserve">Senegal: </w:t>
        </w:r>
        <w:r w:rsidRPr="00590D8E">
          <w:rPr>
            <w:rFonts w:ascii="Calibri" w:hAnsi="Calibri"/>
            <w:noProof/>
            <w:sz w:val="20"/>
            <w:szCs w:val="20"/>
            <w:lang w:eastAsia="x-none" w:bidi="en-US"/>
          </w:rPr>
          <w:t>Report on initial data collection and stakeholder consultation</w:t>
        </w:r>
      </w:p>
    </w:sdtContent>
  </w:sdt>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A1A94" w14:textId="12362A21" w:rsidR="00EB7029" w:rsidRPr="00E03D03" w:rsidRDefault="00EB7029" w:rsidP="00E03D03">
    <w:pPr>
      <w:pStyle w:val="Header"/>
      <w:spacing w:line="240" w:lineRule="auto"/>
      <w:jc w:val="right"/>
      <w:rPr>
        <w:color w:val="000000" w:themeColor="text1"/>
      </w:rPr>
    </w:pPr>
    <w:r w:rsidRPr="00E03D03">
      <w:rPr>
        <w:rFonts w:ascii="Calibri" w:hAnsi="Calibri"/>
        <w:b/>
        <w:noProof/>
        <w:color w:val="000000" w:themeColor="text1"/>
        <w:sz w:val="20"/>
        <w:szCs w:val="20"/>
        <w:lang w:eastAsia="x-none" w:bidi="en-US"/>
      </w:rPr>
      <w:fldChar w:fldCharType="begin"/>
    </w:r>
    <w:r w:rsidRPr="00E03D03">
      <w:rPr>
        <w:rFonts w:ascii="Calibri" w:hAnsi="Calibri"/>
        <w:b/>
        <w:noProof/>
        <w:color w:val="000000" w:themeColor="text1"/>
        <w:sz w:val="20"/>
        <w:szCs w:val="20"/>
        <w:lang w:eastAsia="x-none" w:bidi="en-US"/>
      </w:rPr>
      <w:instrText>PAGE   \* MERGEFORMAT</w:instrText>
    </w:r>
    <w:r w:rsidRPr="00E03D03">
      <w:rPr>
        <w:rFonts w:ascii="Calibri" w:hAnsi="Calibri"/>
        <w:b/>
        <w:noProof/>
        <w:color w:val="000000" w:themeColor="text1"/>
        <w:sz w:val="20"/>
        <w:szCs w:val="20"/>
        <w:lang w:eastAsia="x-none" w:bidi="en-US"/>
      </w:rPr>
      <w:fldChar w:fldCharType="separate"/>
    </w:r>
    <w:r w:rsidR="0002611B">
      <w:rPr>
        <w:rFonts w:ascii="Calibri" w:hAnsi="Calibri"/>
        <w:b/>
        <w:noProof/>
        <w:color w:val="000000" w:themeColor="text1"/>
        <w:sz w:val="20"/>
        <w:szCs w:val="20"/>
        <w:lang w:eastAsia="x-none" w:bidi="en-US"/>
      </w:rPr>
      <w:t>99</w:t>
    </w:r>
    <w:r w:rsidRPr="00E03D03">
      <w:rPr>
        <w:rFonts w:ascii="Calibri" w:hAnsi="Calibri"/>
        <w:b/>
        <w:noProof/>
        <w:color w:val="000000" w:themeColor="text1"/>
        <w:sz w:val="20"/>
        <w:szCs w:val="20"/>
        <w:lang w:eastAsia="x-none" w:bidi="en-US"/>
      </w:rPr>
      <w:fldChar w:fldCharType="end"/>
    </w:r>
    <w:r>
      <w:rPr>
        <w:rFonts w:ascii="Calibri" w:hAnsi="Calibri"/>
        <w:noProof/>
        <w:color w:val="000000" w:themeColor="text1"/>
        <w:sz w:val="20"/>
        <w:szCs w:val="20"/>
        <w:lang w:eastAsia="x-none" w:bidi="en-US"/>
      </w:rPr>
      <w:br/>
    </w:r>
    <w:r w:rsidRPr="00E03D03">
      <w:rPr>
        <w:rFonts w:ascii="Calibri" w:hAnsi="Calibri"/>
        <w:noProof/>
        <w:color w:val="000000" w:themeColor="text1"/>
        <w:sz w:val="20"/>
        <w:szCs w:val="20"/>
        <w:lang w:eastAsia="x-none" w:bidi="en-US"/>
      </w:rPr>
      <w:t xml:space="preserve">Validation of </w:t>
    </w:r>
    <w:r>
      <w:rPr>
        <w:rFonts w:ascii="Calibri" w:hAnsi="Calibri"/>
        <w:noProof/>
        <w:color w:val="000000" w:themeColor="text1"/>
        <w:sz w:val="20"/>
        <w:szCs w:val="20"/>
        <w:lang w:eastAsia="x-none" w:bidi="en-US"/>
      </w:rPr>
      <w:t>Senegal</w:t>
    </w:r>
    <w:r w:rsidRPr="00E03D03">
      <w:rPr>
        <w:rFonts w:ascii="Calibri" w:hAnsi="Calibri"/>
        <w:noProof/>
        <w:color w:val="000000" w:themeColor="text1"/>
        <w:sz w:val="20"/>
        <w:szCs w:val="20"/>
        <w:lang w:eastAsia="x-none" w:bidi="en-US"/>
      </w:rPr>
      <w:t>: Report on initial data collection and stakeholder consultation</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103418"/>
      <w:docPartObj>
        <w:docPartGallery w:val="Page Numbers (Top of Page)"/>
        <w:docPartUnique/>
      </w:docPartObj>
    </w:sdtPr>
    <w:sdtEndPr>
      <w:rPr>
        <w:rFonts w:ascii="Calibri" w:hAnsi="Calibri"/>
        <w:noProof/>
        <w:sz w:val="20"/>
        <w:szCs w:val="20"/>
        <w:lang w:eastAsia="x-none" w:bidi="en-US"/>
      </w:rPr>
    </w:sdtEndPr>
    <w:sdtContent>
      <w:p w14:paraId="4FFD2934" w14:textId="70ED2D4E" w:rsidR="00EB7029" w:rsidRPr="001E2B08" w:rsidRDefault="00EB7029" w:rsidP="002D2DB6">
        <w:pPr>
          <w:pStyle w:val="Header"/>
          <w:spacing w:after="0" w:line="240" w:lineRule="auto"/>
          <w:jc w:val="right"/>
          <w:rPr>
            <w:rFonts w:ascii="Calibri" w:hAnsi="Calibri"/>
            <w:b/>
            <w:noProof/>
            <w:sz w:val="20"/>
            <w:szCs w:val="20"/>
            <w:lang w:eastAsia="x-none" w:bidi="en-US"/>
          </w:rPr>
        </w:pPr>
        <w:r w:rsidRPr="001E2B08">
          <w:rPr>
            <w:rFonts w:ascii="Calibri" w:hAnsi="Calibri"/>
            <w:b/>
            <w:noProof/>
            <w:sz w:val="20"/>
            <w:szCs w:val="20"/>
            <w:lang w:eastAsia="x-none" w:bidi="en-US"/>
          </w:rPr>
          <w:fldChar w:fldCharType="begin"/>
        </w:r>
        <w:r w:rsidRPr="001E2B08">
          <w:rPr>
            <w:rFonts w:ascii="Calibri" w:hAnsi="Calibri"/>
            <w:b/>
            <w:noProof/>
            <w:sz w:val="20"/>
            <w:szCs w:val="20"/>
            <w:lang w:eastAsia="x-none" w:bidi="en-US"/>
          </w:rPr>
          <w:instrText>PAGE   \* MERGEFORMAT</w:instrText>
        </w:r>
        <w:r w:rsidRPr="001E2B08">
          <w:rPr>
            <w:rFonts w:ascii="Calibri" w:hAnsi="Calibri"/>
            <w:b/>
            <w:noProof/>
            <w:sz w:val="20"/>
            <w:szCs w:val="20"/>
            <w:lang w:eastAsia="x-none" w:bidi="en-US"/>
          </w:rPr>
          <w:fldChar w:fldCharType="separate"/>
        </w:r>
        <w:r w:rsidR="0002611B">
          <w:rPr>
            <w:rFonts w:ascii="Calibri" w:hAnsi="Calibri"/>
            <w:b/>
            <w:noProof/>
            <w:sz w:val="20"/>
            <w:szCs w:val="20"/>
            <w:lang w:eastAsia="x-none" w:bidi="en-US"/>
          </w:rPr>
          <w:t>11</w:t>
        </w:r>
        <w:r w:rsidRPr="001E2B08">
          <w:rPr>
            <w:rFonts w:ascii="Calibri" w:hAnsi="Calibri"/>
            <w:b/>
            <w:noProof/>
            <w:sz w:val="20"/>
            <w:szCs w:val="20"/>
            <w:lang w:eastAsia="x-none" w:bidi="en-US"/>
          </w:rPr>
          <w:fldChar w:fldCharType="end"/>
        </w:r>
      </w:p>
      <w:p w14:paraId="3E22872F" w14:textId="09866071" w:rsidR="00EB7029" w:rsidRPr="00E02D8A" w:rsidRDefault="00EB7029">
        <w:pPr>
          <w:pStyle w:val="Header"/>
          <w:spacing w:line="240" w:lineRule="auto"/>
          <w:jc w:val="right"/>
          <w:rPr>
            <w:rFonts w:ascii="Calibri" w:hAnsi="Calibri"/>
            <w:noProof/>
            <w:sz w:val="20"/>
            <w:szCs w:val="20"/>
            <w:lang w:eastAsia="x-none" w:bidi="en-US"/>
          </w:rPr>
        </w:pPr>
        <w:r w:rsidRPr="00590D8E">
          <w:rPr>
            <w:rFonts w:ascii="Calibri" w:hAnsi="Calibri"/>
            <w:noProof/>
            <w:sz w:val="20"/>
            <w:szCs w:val="20"/>
            <w:lang w:eastAsia="x-none" w:bidi="en-US"/>
          </w:rPr>
          <w:t xml:space="preserve">Validation of </w:t>
        </w:r>
        <w:r>
          <w:rPr>
            <w:rFonts w:ascii="Calibri" w:hAnsi="Calibri"/>
            <w:noProof/>
            <w:sz w:val="20"/>
            <w:szCs w:val="20"/>
            <w:lang w:eastAsia="x-none" w:bidi="en-US"/>
          </w:rPr>
          <w:t xml:space="preserve">Senegal: </w:t>
        </w:r>
        <w:r w:rsidRPr="00590D8E">
          <w:rPr>
            <w:rFonts w:ascii="Calibri" w:hAnsi="Calibri"/>
            <w:noProof/>
            <w:sz w:val="20"/>
            <w:szCs w:val="20"/>
            <w:lang w:eastAsia="x-none" w:bidi="en-US"/>
          </w:rPr>
          <w:t>Report on initial data collection and stakeholder consultation</w:t>
        </w:r>
      </w:p>
    </w:sdtContent>
  </w:sdt>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244586"/>
      <w:docPartObj>
        <w:docPartGallery w:val="Page Numbers (Top of Page)"/>
        <w:docPartUnique/>
      </w:docPartObj>
    </w:sdtPr>
    <w:sdtEndPr>
      <w:rPr>
        <w:rFonts w:ascii="Calibri" w:hAnsi="Calibri"/>
        <w:noProof/>
        <w:sz w:val="20"/>
        <w:szCs w:val="20"/>
        <w:lang w:eastAsia="x-none" w:bidi="en-US"/>
      </w:rPr>
    </w:sdtEndPr>
    <w:sdtContent>
      <w:p w14:paraId="743DDB50" w14:textId="35118F6F" w:rsidR="00EB7029" w:rsidRPr="00E02D8A" w:rsidRDefault="00EB7029" w:rsidP="00482C28">
        <w:pPr>
          <w:pStyle w:val="Header"/>
          <w:spacing w:after="0" w:line="240" w:lineRule="auto"/>
          <w:jc w:val="right"/>
          <w:rPr>
            <w:rFonts w:ascii="Calibri" w:hAnsi="Calibri"/>
            <w:noProof/>
            <w:sz w:val="20"/>
            <w:szCs w:val="20"/>
            <w:lang w:eastAsia="x-none" w:bidi="en-US"/>
          </w:rPr>
        </w:pPr>
        <w:r w:rsidRPr="001E2B08">
          <w:rPr>
            <w:rFonts w:ascii="Calibri" w:hAnsi="Calibri"/>
            <w:b/>
            <w:noProof/>
            <w:sz w:val="20"/>
            <w:szCs w:val="20"/>
            <w:lang w:eastAsia="x-none" w:bidi="en-US"/>
          </w:rPr>
          <w:fldChar w:fldCharType="begin"/>
        </w:r>
        <w:r w:rsidRPr="001E2B08">
          <w:rPr>
            <w:rFonts w:ascii="Calibri" w:hAnsi="Calibri"/>
            <w:b/>
            <w:noProof/>
            <w:sz w:val="20"/>
            <w:szCs w:val="20"/>
            <w:lang w:eastAsia="x-none" w:bidi="en-US"/>
          </w:rPr>
          <w:instrText>PAGE   \* MERGEFORMAT</w:instrText>
        </w:r>
        <w:r w:rsidRPr="001E2B08">
          <w:rPr>
            <w:rFonts w:ascii="Calibri" w:hAnsi="Calibri"/>
            <w:b/>
            <w:noProof/>
            <w:sz w:val="20"/>
            <w:szCs w:val="20"/>
            <w:lang w:eastAsia="x-none" w:bidi="en-US"/>
          </w:rPr>
          <w:fldChar w:fldCharType="separate"/>
        </w:r>
        <w:r w:rsidR="0002611B">
          <w:rPr>
            <w:rFonts w:ascii="Calibri" w:hAnsi="Calibri"/>
            <w:b/>
            <w:noProof/>
            <w:sz w:val="20"/>
            <w:szCs w:val="20"/>
            <w:lang w:eastAsia="x-none" w:bidi="en-US"/>
          </w:rPr>
          <w:t>16</w:t>
        </w:r>
        <w:r w:rsidRPr="001E2B08">
          <w:rPr>
            <w:rFonts w:ascii="Calibri" w:hAnsi="Calibri"/>
            <w:b/>
            <w:noProof/>
            <w:sz w:val="20"/>
            <w:szCs w:val="20"/>
            <w:lang w:eastAsia="x-none" w:bidi="en-US"/>
          </w:rPr>
          <w:fldChar w:fldCharType="end"/>
        </w:r>
      </w:p>
      <w:p w14:paraId="04138094" w14:textId="043C7227" w:rsidR="00EB7029" w:rsidRPr="00E03D03" w:rsidRDefault="00EB7029" w:rsidP="00482C28">
        <w:pPr>
          <w:pStyle w:val="Header"/>
          <w:spacing w:after="0" w:line="240" w:lineRule="auto"/>
          <w:jc w:val="right"/>
        </w:pPr>
        <w:r w:rsidRPr="00590D8E">
          <w:rPr>
            <w:rFonts w:ascii="Calibri" w:hAnsi="Calibri"/>
            <w:noProof/>
            <w:sz w:val="20"/>
            <w:szCs w:val="20"/>
            <w:lang w:eastAsia="x-none" w:bidi="en-US"/>
          </w:rPr>
          <w:t xml:space="preserve">Validation of </w:t>
        </w:r>
        <w:r>
          <w:rPr>
            <w:rFonts w:ascii="Calibri" w:hAnsi="Calibri"/>
            <w:noProof/>
            <w:sz w:val="20"/>
            <w:szCs w:val="20"/>
            <w:lang w:eastAsia="x-none" w:bidi="en-US"/>
          </w:rPr>
          <w:t xml:space="preserve">Senegal: </w:t>
        </w:r>
        <w:r w:rsidRPr="00590D8E">
          <w:rPr>
            <w:rFonts w:ascii="Calibri" w:hAnsi="Calibri"/>
            <w:noProof/>
            <w:sz w:val="20"/>
            <w:szCs w:val="20"/>
            <w:lang w:eastAsia="x-none" w:bidi="en-US"/>
          </w:rPr>
          <w:t>Report on initial data collection and stakeholder consultation</w:t>
        </w:r>
      </w:p>
    </w:sdtContent>
  </w:sdt>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B48DD" w14:textId="024100B7" w:rsidR="00EB7029" w:rsidRPr="00E03D03" w:rsidRDefault="00EB7029" w:rsidP="00E03D03">
    <w:pPr>
      <w:pStyle w:val="Header"/>
      <w:spacing w:line="240" w:lineRule="auto"/>
      <w:jc w:val="right"/>
      <w:rPr>
        <w:color w:val="000000" w:themeColor="text1"/>
        <w:sz w:val="20"/>
      </w:rPr>
    </w:pPr>
    <w:r w:rsidRPr="00E03D03">
      <w:rPr>
        <w:rFonts w:ascii="Calibri" w:hAnsi="Calibri"/>
        <w:b/>
        <w:noProof/>
        <w:color w:val="000000" w:themeColor="text1"/>
        <w:sz w:val="20"/>
        <w:szCs w:val="20"/>
        <w:lang w:eastAsia="x-none" w:bidi="en-US"/>
      </w:rPr>
      <w:fldChar w:fldCharType="begin"/>
    </w:r>
    <w:r w:rsidRPr="00E03D03">
      <w:rPr>
        <w:rFonts w:ascii="Calibri" w:hAnsi="Calibri"/>
        <w:b/>
        <w:noProof/>
        <w:color w:val="000000" w:themeColor="text1"/>
        <w:sz w:val="20"/>
        <w:szCs w:val="20"/>
        <w:lang w:eastAsia="x-none" w:bidi="en-US"/>
      </w:rPr>
      <w:instrText>PAGE   \* MERGEFORMAT</w:instrText>
    </w:r>
    <w:r w:rsidRPr="00E03D03">
      <w:rPr>
        <w:rFonts w:ascii="Calibri" w:hAnsi="Calibri"/>
        <w:b/>
        <w:noProof/>
        <w:color w:val="000000" w:themeColor="text1"/>
        <w:sz w:val="20"/>
        <w:szCs w:val="20"/>
        <w:lang w:eastAsia="x-none" w:bidi="en-US"/>
      </w:rPr>
      <w:fldChar w:fldCharType="separate"/>
    </w:r>
    <w:r w:rsidR="0002611B">
      <w:rPr>
        <w:rFonts w:ascii="Calibri" w:hAnsi="Calibri"/>
        <w:b/>
        <w:noProof/>
        <w:color w:val="000000" w:themeColor="text1"/>
        <w:sz w:val="20"/>
        <w:szCs w:val="20"/>
        <w:lang w:eastAsia="x-none" w:bidi="en-US"/>
      </w:rPr>
      <w:t>109</w:t>
    </w:r>
    <w:r w:rsidRPr="00E03D03">
      <w:rPr>
        <w:rFonts w:ascii="Calibri" w:hAnsi="Calibri"/>
        <w:b/>
        <w:noProof/>
        <w:color w:val="000000" w:themeColor="text1"/>
        <w:sz w:val="20"/>
        <w:szCs w:val="20"/>
        <w:lang w:eastAsia="x-none" w:bidi="en-US"/>
      </w:rPr>
      <w:fldChar w:fldCharType="end"/>
    </w:r>
    <w:r>
      <w:rPr>
        <w:rFonts w:ascii="Calibri" w:hAnsi="Calibri"/>
        <w:b/>
        <w:noProof/>
        <w:color w:val="000000" w:themeColor="text1"/>
        <w:sz w:val="20"/>
        <w:szCs w:val="20"/>
        <w:lang w:eastAsia="x-none" w:bidi="en-US"/>
      </w:rPr>
      <w:br/>
    </w:r>
    <w:r w:rsidRPr="00E03D03">
      <w:rPr>
        <w:rFonts w:ascii="Calibri" w:hAnsi="Calibri"/>
        <w:noProof/>
        <w:color w:val="000000" w:themeColor="text1"/>
        <w:sz w:val="20"/>
        <w:szCs w:val="20"/>
        <w:lang w:eastAsia="x-none" w:bidi="en-US"/>
      </w:rPr>
      <w:t xml:space="preserve">Validation of </w:t>
    </w:r>
    <w:r>
      <w:rPr>
        <w:rFonts w:ascii="Calibri" w:hAnsi="Calibri"/>
        <w:noProof/>
        <w:sz w:val="20"/>
        <w:szCs w:val="20"/>
        <w:lang w:eastAsia="x-none" w:bidi="en-US"/>
      </w:rPr>
      <w:t>Senegal</w:t>
    </w:r>
    <w:r w:rsidRPr="00E03D03">
      <w:rPr>
        <w:rFonts w:ascii="Calibri" w:hAnsi="Calibri"/>
        <w:noProof/>
        <w:color w:val="000000" w:themeColor="text1"/>
        <w:sz w:val="20"/>
        <w:szCs w:val="20"/>
        <w:lang w:eastAsia="x-none" w:bidi="en-US"/>
      </w:rPr>
      <w:t>: Report on initial data collection and stakeholder consultation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50B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4DC633E"/>
    <w:lvl w:ilvl="0">
      <w:start w:val="1"/>
      <w:numFmt w:val="decimal"/>
      <w:lvlText w:val="%1."/>
      <w:lvlJc w:val="left"/>
      <w:pPr>
        <w:tabs>
          <w:tab w:val="num" w:pos="1492"/>
        </w:tabs>
        <w:ind w:left="1492" w:hanging="360"/>
      </w:pPr>
    </w:lvl>
  </w:abstractNum>
  <w:abstractNum w:abstractNumId="2">
    <w:nsid w:val="FFFFFF7D"/>
    <w:multiLevelType w:val="singleLevel"/>
    <w:tmpl w:val="DB528C68"/>
    <w:lvl w:ilvl="0">
      <w:start w:val="1"/>
      <w:numFmt w:val="decimal"/>
      <w:lvlText w:val="%1."/>
      <w:lvlJc w:val="left"/>
      <w:pPr>
        <w:tabs>
          <w:tab w:val="num" w:pos="1209"/>
        </w:tabs>
        <w:ind w:left="1209" w:hanging="360"/>
      </w:pPr>
    </w:lvl>
  </w:abstractNum>
  <w:abstractNum w:abstractNumId="3">
    <w:nsid w:val="FFFFFF7E"/>
    <w:multiLevelType w:val="singleLevel"/>
    <w:tmpl w:val="10726BB8"/>
    <w:lvl w:ilvl="0">
      <w:start w:val="1"/>
      <w:numFmt w:val="decimal"/>
      <w:lvlText w:val="%1."/>
      <w:lvlJc w:val="left"/>
      <w:pPr>
        <w:tabs>
          <w:tab w:val="num" w:pos="926"/>
        </w:tabs>
        <w:ind w:left="926" w:hanging="360"/>
      </w:pPr>
    </w:lvl>
  </w:abstractNum>
  <w:abstractNum w:abstractNumId="4">
    <w:nsid w:val="FFFFFF7F"/>
    <w:multiLevelType w:val="singleLevel"/>
    <w:tmpl w:val="D4FEC974"/>
    <w:lvl w:ilvl="0">
      <w:start w:val="1"/>
      <w:numFmt w:val="decimal"/>
      <w:lvlText w:val="%1."/>
      <w:lvlJc w:val="left"/>
      <w:pPr>
        <w:tabs>
          <w:tab w:val="num" w:pos="643"/>
        </w:tabs>
        <w:ind w:left="643" w:hanging="360"/>
      </w:pPr>
    </w:lvl>
  </w:abstractNum>
  <w:abstractNum w:abstractNumId="5">
    <w:nsid w:val="FFFFFF80"/>
    <w:multiLevelType w:val="singleLevel"/>
    <w:tmpl w:val="6AE0A72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954DA8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652105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A40322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E370052A"/>
    <w:lvl w:ilvl="0">
      <w:start w:val="1"/>
      <w:numFmt w:val="decimal"/>
      <w:lvlText w:val="%1."/>
      <w:lvlJc w:val="left"/>
      <w:pPr>
        <w:tabs>
          <w:tab w:val="num" w:pos="360"/>
        </w:tabs>
        <w:ind w:left="360" w:hanging="360"/>
      </w:pPr>
    </w:lvl>
  </w:abstractNum>
  <w:abstractNum w:abstractNumId="10">
    <w:nsid w:val="FFFFFF89"/>
    <w:multiLevelType w:val="singleLevel"/>
    <w:tmpl w:val="DCB48B2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2"/>
    <w:multiLevelType w:val="singleLevel"/>
    <w:tmpl w:val="00000002"/>
    <w:name w:val="WW8Num19"/>
    <w:lvl w:ilvl="0">
      <w:start w:val="1"/>
      <w:numFmt w:val="bullet"/>
      <w:lvlText w:val=""/>
      <w:lvlJc w:val="left"/>
      <w:pPr>
        <w:tabs>
          <w:tab w:val="num" w:pos="0"/>
        </w:tabs>
      </w:pPr>
      <w:rPr>
        <w:rFonts w:ascii="Symbol" w:hAnsi="Symbol"/>
      </w:rPr>
    </w:lvl>
  </w:abstractNum>
  <w:abstractNum w:abstractNumId="12">
    <w:nsid w:val="00C7012A"/>
    <w:multiLevelType w:val="hybridMultilevel"/>
    <w:tmpl w:val="D3169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4A14603"/>
    <w:multiLevelType w:val="hybridMultilevel"/>
    <w:tmpl w:val="267E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5F6701A"/>
    <w:multiLevelType w:val="hybridMultilevel"/>
    <w:tmpl w:val="AC62CC7E"/>
    <w:lvl w:ilvl="0" w:tplc="826A7FF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0660393F"/>
    <w:multiLevelType w:val="hybridMultilevel"/>
    <w:tmpl w:val="E664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AF228E5"/>
    <w:multiLevelType w:val="multilevel"/>
    <w:tmpl w:val="08FA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B09154D"/>
    <w:multiLevelType w:val="hybridMultilevel"/>
    <w:tmpl w:val="E4402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F585809"/>
    <w:multiLevelType w:val="hybridMultilevel"/>
    <w:tmpl w:val="1952B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12D947B7"/>
    <w:multiLevelType w:val="hybridMultilevel"/>
    <w:tmpl w:val="81261742"/>
    <w:lvl w:ilvl="0" w:tplc="B0BA436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7D45DB0"/>
    <w:multiLevelType w:val="hybridMultilevel"/>
    <w:tmpl w:val="CE9028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nsid w:val="197D1110"/>
    <w:multiLevelType w:val="hybridMultilevel"/>
    <w:tmpl w:val="9E4C50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9D377BC"/>
    <w:multiLevelType w:val="hybridMultilevel"/>
    <w:tmpl w:val="7C449E64"/>
    <w:lvl w:ilvl="0" w:tplc="0414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ECF1287"/>
    <w:multiLevelType w:val="hybridMultilevel"/>
    <w:tmpl w:val="0234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2FC4E00"/>
    <w:multiLevelType w:val="hybridMultilevel"/>
    <w:tmpl w:val="4C2E18D0"/>
    <w:lvl w:ilvl="0" w:tplc="593CA95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51A1C15"/>
    <w:multiLevelType w:val="multilevel"/>
    <w:tmpl w:val="2A9AA724"/>
    <w:lvl w:ilvl="0">
      <w:start w:val="2"/>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28F16D78"/>
    <w:multiLevelType w:val="hybridMultilevel"/>
    <w:tmpl w:val="C7208F72"/>
    <w:lvl w:ilvl="0" w:tplc="3D84830C">
      <w:start w:val="22"/>
      <w:numFmt w:val="bullet"/>
      <w:lvlText w:val="-"/>
      <w:lvlJc w:val="left"/>
      <w:pPr>
        <w:ind w:left="720" w:hanging="360"/>
      </w:pPr>
      <w:rPr>
        <w:rFonts w:ascii="Calibri" w:eastAsia="Times New Roman" w:hAnsi="Calibri" w:cs="Calibri" w:hint="default"/>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B331030"/>
    <w:multiLevelType w:val="hybridMultilevel"/>
    <w:tmpl w:val="4E28A714"/>
    <w:lvl w:ilvl="0" w:tplc="0414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2B5B101E"/>
    <w:multiLevelType w:val="hybridMultilevel"/>
    <w:tmpl w:val="299A7B30"/>
    <w:lvl w:ilvl="0" w:tplc="3DA0A9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7979EC"/>
    <w:multiLevelType w:val="hybridMultilevel"/>
    <w:tmpl w:val="F1F86812"/>
    <w:lvl w:ilvl="0" w:tplc="56B4BB2A">
      <w:start w:val="8"/>
      <w:numFmt w:val="bullet"/>
      <w:lvlText w:val="-"/>
      <w:lvlJc w:val="left"/>
      <w:pPr>
        <w:ind w:left="720" w:hanging="360"/>
      </w:pPr>
      <w:rPr>
        <w:rFonts w:ascii="Calibri" w:eastAsia="Calibri" w:hAnsi="Calibri" w:cs="Myriad Pro SemiC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20104F8"/>
    <w:multiLevelType w:val="hybridMultilevel"/>
    <w:tmpl w:val="2B98BBB2"/>
    <w:lvl w:ilvl="0" w:tplc="7E62E894">
      <w:start w:val="8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1A4B99"/>
    <w:multiLevelType w:val="hybridMultilevel"/>
    <w:tmpl w:val="D1BC9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27D2B1B"/>
    <w:multiLevelType w:val="hybridMultilevel"/>
    <w:tmpl w:val="BBA65950"/>
    <w:lvl w:ilvl="0" w:tplc="0906A8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36023A6E"/>
    <w:multiLevelType w:val="hybridMultilevel"/>
    <w:tmpl w:val="6BA4E4DE"/>
    <w:lvl w:ilvl="0" w:tplc="975643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67F5D07"/>
    <w:multiLevelType w:val="hybridMultilevel"/>
    <w:tmpl w:val="42CE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74171EA"/>
    <w:multiLevelType w:val="multilevel"/>
    <w:tmpl w:val="EE82971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93E2E17"/>
    <w:multiLevelType w:val="hybridMultilevel"/>
    <w:tmpl w:val="D3AAA440"/>
    <w:lvl w:ilvl="0" w:tplc="C4AEFD54">
      <w:start w:val="1"/>
      <w:numFmt w:val="decimal"/>
      <w:pStyle w:val="List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3AF20E93"/>
    <w:multiLevelType w:val="hybridMultilevel"/>
    <w:tmpl w:val="B980FE1C"/>
    <w:lvl w:ilvl="0" w:tplc="0906A8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3EC0175B"/>
    <w:multiLevelType w:val="hybridMultilevel"/>
    <w:tmpl w:val="6378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2402C1"/>
    <w:multiLevelType w:val="hybridMultilevel"/>
    <w:tmpl w:val="90F80CC6"/>
    <w:lvl w:ilvl="0" w:tplc="A3C89FBC">
      <w:start w:val="201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514940"/>
    <w:multiLevelType w:val="hybridMultilevel"/>
    <w:tmpl w:val="46022E06"/>
    <w:lvl w:ilvl="0" w:tplc="00FE6084">
      <w:start w:val="1"/>
      <w:numFmt w:val="bullet"/>
      <w:pStyle w:val="ListBullet1"/>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469D37FE"/>
    <w:multiLevelType w:val="hybridMultilevel"/>
    <w:tmpl w:val="99CA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9F90E22"/>
    <w:multiLevelType w:val="hybridMultilevel"/>
    <w:tmpl w:val="51C2F548"/>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4BD453EF"/>
    <w:multiLevelType w:val="hybridMultilevel"/>
    <w:tmpl w:val="56929E4A"/>
    <w:lvl w:ilvl="0" w:tplc="0906A8D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06628EE"/>
    <w:multiLevelType w:val="hybridMultilevel"/>
    <w:tmpl w:val="4F748542"/>
    <w:lvl w:ilvl="0" w:tplc="A1420022">
      <w:start w:val="20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1A90AB5"/>
    <w:multiLevelType w:val="hybridMultilevel"/>
    <w:tmpl w:val="F378F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1E57668"/>
    <w:multiLevelType w:val="hybridMultilevel"/>
    <w:tmpl w:val="7B56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1FE544C"/>
    <w:multiLevelType w:val="hybridMultilevel"/>
    <w:tmpl w:val="F1E6B0C2"/>
    <w:lvl w:ilvl="0" w:tplc="B8F063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57B0E71"/>
    <w:multiLevelType w:val="hybridMultilevel"/>
    <w:tmpl w:val="EA5EC672"/>
    <w:lvl w:ilvl="0" w:tplc="A5B6CC7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55DC17EE"/>
    <w:multiLevelType w:val="hybridMultilevel"/>
    <w:tmpl w:val="715A1ED4"/>
    <w:lvl w:ilvl="0" w:tplc="AE3CD5C8">
      <w:start w:val="1"/>
      <w:numFmt w:val="bullet"/>
      <w:lvlText w:val="-"/>
      <w:lvlJc w:val="left"/>
      <w:pPr>
        <w:ind w:left="720" w:hanging="360"/>
      </w:pPr>
      <w:rPr>
        <w:rFonts w:ascii="Calibri" w:eastAsia="Times New Roman" w:hAnsi="Calibri" w:cs="Times New Roman"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0">
    <w:nsid w:val="56D85F89"/>
    <w:multiLevelType w:val="hybridMultilevel"/>
    <w:tmpl w:val="A044D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7202DBC"/>
    <w:multiLevelType w:val="multilevel"/>
    <w:tmpl w:val="53C05C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8EE5D87"/>
    <w:multiLevelType w:val="hybridMultilevel"/>
    <w:tmpl w:val="22E06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D50105B"/>
    <w:multiLevelType w:val="hybridMultilevel"/>
    <w:tmpl w:val="2ADC8A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nsid w:val="5DEF5762"/>
    <w:multiLevelType w:val="hybridMultilevel"/>
    <w:tmpl w:val="18528586"/>
    <w:lvl w:ilvl="0" w:tplc="C774296E">
      <w:start w:val="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49B686C"/>
    <w:multiLevelType w:val="hybridMultilevel"/>
    <w:tmpl w:val="1EAC2B22"/>
    <w:lvl w:ilvl="0" w:tplc="0AACCEE8">
      <w:start w:val="5"/>
      <w:numFmt w:val="bullet"/>
      <w:lvlText w:val="-"/>
      <w:lvlJc w:val="left"/>
      <w:pPr>
        <w:ind w:left="720" w:hanging="360"/>
      </w:pPr>
      <w:rPr>
        <w:rFonts w:ascii="Calibri Light" w:eastAsia="Times New Roman" w:hAnsi="Calibri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6C55911"/>
    <w:multiLevelType w:val="hybridMultilevel"/>
    <w:tmpl w:val="61E045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70D196E"/>
    <w:multiLevelType w:val="hybridMultilevel"/>
    <w:tmpl w:val="B1FEFE3C"/>
    <w:lvl w:ilvl="0" w:tplc="0906A8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nsid w:val="671A14EB"/>
    <w:multiLevelType w:val="hybridMultilevel"/>
    <w:tmpl w:val="697E9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89328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0180970"/>
    <w:multiLevelType w:val="hybridMultilevel"/>
    <w:tmpl w:val="7BCA7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718B3C3A"/>
    <w:multiLevelType w:val="hybridMultilevel"/>
    <w:tmpl w:val="82B625FE"/>
    <w:lvl w:ilvl="0" w:tplc="0414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nsid w:val="728470D1"/>
    <w:multiLevelType w:val="hybridMultilevel"/>
    <w:tmpl w:val="AD901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46C31DF"/>
    <w:multiLevelType w:val="hybridMultilevel"/>
    <w:tmpl w:val="EA0E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5BA25FB"/>
    <w:multiLevelType w:val="hybridMultilevel"/>
    <w:tmpl w:val="70BE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8180DB4"/>
    <w:multiLevelType w:val="hybridMultilevel"/>
    <w:tmpl w:val="895AD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8D85725"/>
    <w:multiLevelType w:val="hybridMultilevel"/>
    <w:tmpl w:val="F0D0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A3C1125"/>
    <w:multiLevelType w:val="multilevel"/>
    <w:tmpl w:val="2A9AA724"/>
    <w:lvl w:ilvl="0">
      <w:start w:val="2"/>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8">
    <w:nsid w:val="7AB4179E"/>
    <w:multiLevelType w:val="hybridMultilevel"/>
    <w:tmpl w:val="D292DF5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B750C07"/>
    <w:multiLevelType w:val="hybridMultilevel"/>
    <w:tmpl w:val="156AF12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nsid w:val="7CD1445A"/>
    <w:multiLevelType w:val="hybridMultilevel"/>
    <w:tmpl w:val="E050F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0"/>
  </w:num>
  <w:num w:numId="3">
    <w:abstractNumId w:val="8"/>
  </w:num>
  <w:num w:numId="4">
    <w:abstractNumId w:val="67"/>
  </w:num>
  <w:num w:numId="5">
    <w:abstractNumId w:val="38"/>
  </w:num>
  <w:num w:numId="6">
    <w:abstractNumId w:val="43"/>
  </w:num>
  <w:num w:numId="7">
    <w:abstractNumId w:val="39"/>
  </w:num>
  <w:num w:numId="8">
    <w:abstractNumId w:val="30"/>
  </w:num>
  <w:num w:numId="9">
    <w:abstractNumId w:val="55"/>
  </w:num>
  <w:num w:numId="10">
    <w:abstractNumId w:val="42"/>
  </w:num>
  <w:num w:numId="11">
    <w:abstractNumId w:val="1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65"/>
  </w:num>
  <w:num w:numId="15">
    <w:abstractNumId w:val="31"/>
  </w:num>
  <w:num w:numId="16">
    <w:abstractNumId w:val="12"/>
  </w:num>
  <w:num w:numId="17">
    <w:abstractNumId w:val="68"/>
  </w:num>
  <w:num w:numId="18">
    <w:abstractNumId w:val="58"/>
  </w:num>
  <w:num w:numId="19">
    <w:abstractNumId w:val="48"/>
  </w:num>
  <w:num w:numId="20">
    <w:abstractNumId w:val="28"/>
  </w:num>
  <w:num w:numId="21">
    <w:abstractNumId w:val="70"/>
  </w:num>
  <w:num w:numId="22">
    <w:abstractNumId w:val="62"/>
  </w:num>
  <w:num w:numId="23">
    <w:abstractNumId w:val="43"/>
    <w:lvlOverride w:ilvl="0">
      <w:startOverride w:val="1"/>
    </w:lvlOverride>
  </w:num>
  <w:num w:numId="24">
    <w:abstractNumId w:val="43"/>
    <w:lvlOverride w:ilvl="0">
      <w:startOverride w:val="1"/>
    </w:lvlOverride>
  </w:num>
  <w:num w:numId="25">
    <w:abstractNumId w:val="43"/>
    <w:lvlOverride w:ilvl="0">
      <w:startOverride w:val="1"/>
    </w:lvlOverride>
  </w:num>
  <w:num w:numId="26">
    <w:abstractNumId w:val="43"/>
    <w:lvlOverride w:ilvl="0">
      <w:startOverride w:val="1"/>
    </w:lvlOverride>
  </w:num>
  <w:num w:numId="27">
    <w:abstractNumId w:val="43"/>
    <w:lvlOverride w:ilvl="0">
      <w:startOverride w:val="1"/>
    </w:lvlOverride>
  </w:num>
  <w:num w:numId="28">
    <w:abstractNumId w:val="52"/>
  </w:num>
  <w:num w:numId="29">
    <w:abstractNumId w:val="47"/>
  </w:num>
  <w:num w:numId="30">
    <w:abstractNumId w:val="51"/>
  </w:num>
  <w:num w:numId="31">
    <w:abstractNumId w:val="48"/>
    <w:lvlOverride w:ilvl="0">
      <w:startOverride w:val="1"/>
    </w:lvlOverride>
  </w:num>
  <w:num w:numId="32">
    <w:abstractNumId w:val="35"/>
  </w:num>
  <w:num w:numId="33">
    <w:abstractNumId w:val="59"/>
  </w:num>
  <w:num w:numId="34">
    <w:abstractNumId w:val="0"/>
  </w:num>
  <w:num w:numId="35">
    <w:abstractNumId w:val="1"/>
  </w:num>
  <w:num w:numId="36">
    <w:abstractNumId w:val="2"/>
  </w:num>
  <w:num w:numId="37">
    <w:abstractNumId w:val="3"/>
  </w:num>
  <w:num w:numId="38">
    <w:abstractNumId w:val="4"/>
  </w:num>
  <w:num w:numId="39">
    <w:abstractNumId w:val="9"/>
  </w:num>
  <w:num w:numId="40">
    <w:abstractNumId w:val="5"/>
  </w:num>
  <w:num w:numId="41">
    <w:abstractNumId w:val="6"/>
  </w:num>
  <w:num w:numId="42">
    <w:abstractNumId w:val="7"/>
  </w:num>
  <w:num w:numId="43">
    <w:abstractNumId w:val="25"/>
  </w:num>
  <w:num w:numId="44">
    <w:abstractNumId w:val="44"/>
  </w:num>
  <w:num w:numId="45">
    <w:abstractNumId w:val="29"/>
  </w:num>
  <w:num w:numId="46">
    <w:abstractNumId w:val="54"/>
  </w:num>
  <w:num w:numId="47">
    <w:abstractNumId w:val="56"/>
  </w:num>
  <w:num w:numId="48">
    <w:abstractNumId w:val="23"/>
  </w:num>
  <w:num w:numId="49">
    <w:abstractNumId w:val="13"/>
  </w:num>
  <w:num w:numId="50">
    <w:abstractNumId w:val="46"/>
  </w:num>
  <w:num w:numId="51">
    <w:abstractNumId w:val="26"/>
  </w:num>
  <w:num w:numId="52">
    <w:abstractNumId w:val="49"/>
  </w:num>
  <w:num w:numId="53">
    <w:abstractNumId w:val="24"/>
  </w:num>
  <w:num w:numId="54">
    <w:abstractNumId w:val="32"/>
  </w:num>
  <w:num w:numId="55">
    <w:abstractNumId w:val="57"/>
  </w:num>
  <w:num w:numId="56">
    <w:abstractNumId w:val="37"/>
  </w:num>
  <w:num w:numId="57">
    <w:abstractNumId w:val="14"/>
  </w:num>
  <w:num w:numId="58">
    <w:abstractNumId w:val="69"/>
  </w:num>
  <w:num w:numId="59">
    <w:abstractNumId w:val="18"/>
  </w:num>
  <w:num w:numId="60">
    <w:abstractNumId w:val="41"/>
  </w:num>
  <w:num w:numId="61">
    <w:abstractNumId w:val="15"/>
  </w:num>
  <w:num w:numId="62">
    <w:abstractNumId w:val="34"/>
  </w:num>
  <w:num w:numId="63">
    <w:abstractNumId w:val="63"/>
  </w:num>
  <w:num w:numId="64">
    <w:abstractNumId w:val="64"/>
  </w:num>
  <w:num w:numId="65">
    <w:abstractNumId w:val="66"/>
  </w:num>
  <w:num w:numId="66">
    <w:abstractNumId w:val="33"/>
  </w:num>
  <w:num w:numId="67">
    <w:abstractNumId w:val="50"/>
  </w:num>
  <w:num w:numId="68">
    <w:abstractNumId w:val="21"/>
  </w:num>
  <w:num w:numId="69">
    <w:abstractNumId w:val="53"/>
  </w:num>
  <w:num w:numId="70">
    <w:abstractNumId w:val="45"/>
  </w:num>
  <w:num w:numId="71">
    <w:abstractNumId w:val="60"/>
  </w:num>
  <w:num w:numId="72">
    <w:abstractNumId w:val="17"/>
  </w:num>
  <w:num w:numId="73">
    <w:abstractNumId w:val="19"/>
  </w:num>
  <w:num w:numId="74">
    <w:abstractNumId w:val="22"/>
  </w:num>
  <w:num w:numId="75">
    <w:abstractNumId w:val="36"/>
  </w:num>
  <w:num w:numId="76">
    <w:abstractNumId w:val="19"/>
    <w:lvlOverride w:ilvl="0">
      <w:startOverride w:val="1"/>
    </w:lvlOverride>
  </w:num>
  <w:num w:numId="77">
    <w:abstractNumId w:val="19"/>
    <w:lvlOverride w:ilvl="0">
      <w:startOverride w:val="1"/>
    </w:lvlOverride>
  </w:num>
  <w:num w:numId="78">
    <w:abstractNumId w:val="36"/>
    <w:lvlOverride w:ilvl="0">
      <w:startOverride w:val="1"/>
    </w:lvlOverride>
  </w:num>
  <w:num w:numId="79">
    <w:abstractNumId w:val="36"/>
    <w:lvlOverride w:ilvl="0">
      <w:startOverride w:val="1"/>
    </w:lvlOverride>
  </w:num>
  <w:num w:numId="80">
    <w:abstractNumId w:val="36"/>
    <w:lvlOverride w:ilvl="0">
      <w:startOverride w:val="1"/>
    </w:lvlOverride>
  </w:num>
  <w:num w:numId="81">
    <w:abstractNumId w:val="36"/>
    <w:lvlOverride w:ilvl="0">
      <w:startOverride w:val="1"/>
    </w:lvlOverride>
  </w:num>
  <w:num w:numId="82">
    <w:abstractNumId w:val="27"/>
  </w:num>
  <w:num w:numId="83">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fr-FR" w:vendorID="64" w:dllVersion="0" w:nlCheck="1" w:checkStyle="0"/>
  <w:activeWritingStyle w:appName="MSWord" w:lang="es-ES" w:vendorID="64" w:dllVersion="0" w:nlCheck="1" w:checkStyle="0"/>
  <w:activeWritingStyle w:appName="MSWord" w:lang="nb-NO" w:vendorID="64" w:dllVersion="0" w:nlCheck="1" w:checkStyle="0"/>
  <w:activeWritingStyle w:appName="MSWord" w:lang="fr-CA" w:vendorID="64" w:dllVersion="0" w:nlCheck="1" w:checkStyle="0"/>
  <w:activeWritingStyle w:appName="MSWord" w:lang="en-029"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jI0TjEzskxJ1TVKMzLUNUlLTNZNSjQ30LVMNjFJMTA3TTZPNVDSUQpOLS7OzM8DaTGuBQAw8hYeQwAAAA=="/>
  </w:docVars>
  <w:rsids>
    <w:rsidRoot w:val="00AF7641"/>
    <w:rsid w:val="00000332"/>
    <w:rsid w:val="00000960"/>
    <w:rsid w:val="00000C8B"/>
    <w:rsid w:val="00000D49"/>
    <w:rsid w:val="00000F54"/>
    <w:rsid w:val="0000108F"/>
    <w:rsid w:val="0000120B"/>
    <w:rsid w:val="00001222"/>
    <w:rsid w:val="00001313"/>
    <w:rsid w:val="000019D6"/>
    <w:rsid w:val="00001AE1"/>
    <w:rsid w:val="00001EF3"/>
    <w:rsid w:val="00002168"/>
    <w:rsid w:val="0000276E"/>
    <w:rsid w:val="000027FC"/>
    <w:rsid w:val="00002B14"/>
    <w:rsid w:val="0000301D"/>
    <w:rsid w:val="000035E3"/>
    <w:rsid w:val="00003602"/>
    <w:rsid w:val="00003C4B"/>
    <w:rsid w:val="00003C77"/>
    <w:rsid w:val="000040BA"/>
    <w:rsid w:val="00004B06"/>
    <w:rsid w:val="00004CB4"/>
    <w:rsid w:val="0000508C"/>
    <w:rsid w:val="0000536B"/>
    <w:rsid w:val="000054E1"/>
    <w:rsid w:val="0000561F"/>
    <w:rsid w:val="000059D9"/>
    <w:rsid w:val="00005A8D"/>
    <w:rsid w:val="0000615D"/>
    <w:rsid w:val="000062B8"/>
    <w:rsid w:val="000064E3"/>
    <w:rsid w:val="00006AAA"/>
    <w:rsid w:val="00007022"/>
    <w:rsid w:val="000070B8"/>
    <w:rsid w:val="00007308"/>
    <w:rsid w:val="00007623"/>
    <w:rsid w:val="00007756"/>
    <w:rsid w:val="000077D7"/>
    <w:rsid w:val="00007885"/>
    <w:rsid w:val="00007A1B"/>
    <w:rsid w:val="00007C21"/>
    <w:rsid w:val="000100EE"/>
    <w:rsid w:val="00010524"/>
    <w:rsid w:val="00010A6F"/>
    <w:rsid w:val="00010AC4"/>
    <w:rsid w:val="00010ACB"/>
    <w:rsid w:val="000110B9"/>
    <w:rsid w:val="00011166"/>
    <w:rsid w:val="00011251"/>
    <w:rsid w:val="0001128A"/>
    <w:rsid w:val="0001138F"/>
    <w:rsid w:val="000115F5"/>
    <w:rsid w:val="000119F5"/>
    <w:rsid w:val="00011FF0"/>
    <w:rsid w:val="00011FFE"/>
    <w:rsid w:val="00012041"/>
    <w:rsid w:val="00012084"/>
    <w:rsid w:val="0001230C"/>
    <w:rsid w:val="00012664"/>
    <w:rsid w:val="00012715"/>
    <w:rsid w:val="00012C9B"/>
    <w:rsid w:val="00012CF7"/>
    <w:rsid w:val="000134A9"/>
    <w:rsid w:val="000136D1"/>
    <w:rsid w:val="00013763"/>
    <w:rsid w:val="00013A3E"/>
    <w:rsid w:val="00013AE0"/>
    <w:rsid w:val="00013BB8"/>
    <w:rsid w:val="00013D31"/>
    <w:rsid w:val="00013D9B"/>
    <w:rsid w:val="00013E38"/>
    <w:rsid w:val="000140DE"/>
    <w:rsid w:val="0001417A"/>
    <w:rsid w:val="000143E6"/>
    <w:rsid w:val="00014BB3"/>
    <w:rsid w:val="00015341"/>
    <w:rsid w:val="000153B7"/>
    <w:rsid w:val="0001561F"/>
    <w:rsid w:val="000156C4"/>
    <w:rsid w:val="000157D8"/>
    <w:rsid w:val="00015B48"/>
    <w:rsid w:val="00015C19"/>
    <w:rsid w:val="00015C71"/>
    <w:rsid w:val="00015D48"/>
    <w:rsid w:val="00015F69"/>
    <w:rsid w:val="000163A5"/>
    <w:rsid w:val="0001649E"/>
    <w:rsid w:val="000171F9"/>
    <w:rsid w:val="00017744"/>
    <w:rsid w:val="00017AB6"/>
    <w:rsid w:val="00017EC0"/>
    <w:rsid w:val="00020135"/>
    <w:rsid w:val="000201F1"/>
    <w:rsid w:val="00020458"/>
    <w:rsid w:val="00020571"/>
    <w:rsid w:val="000207DC"/>
    <w:rsid w:val="00020F8B"/>
    <w:rsid w:val="000210D4"/>
    <w:rsid w:val="000214CC"/>
    <w:rsid w:val="000214DA"/>
    <w:rsid w:val="0002180C"/>
    <w:rsid w:val="00021976"/>
    <w:rsid w:val="00021B65"/>
    <w:rsid w:val="00021BF6"/>
    <w:rsid w:val="00021CAE"/>
    <w:rsid w:val="00021D83"/>
    <w:rsid w:val="000220B0"/>
    <w:rsid w:val="00022834"/>
    <w:rsid w:val="00022977"/>
    <w:rsid w:val="00022C84"/>
    <w:rsid w:val="00022D1D"/>
    <w:rsid w:val="0002301E"/>
    <w:rsid w:val="000231BC"/>
    <w:rsid w:val="00023287"/>
    <w:rsid w:val="000237BE"/>
    <w:rsid w:val="00023BDA"/>
    <w:rsid w:val="00023E07"/>
    <w:rsid w:val="00024144"/>
    <w:rsid w:val="000243FC"/>
    <w:rsid w:val="00024481"/>
    <w:rsid w:val="00024779"/>
    <w:rsid w:val="000249B2"/>
    <w:rsid w:val="00024BFE"/>
    <w:rsid w:val="00024DB2"/>
    <w:rsid w:val="0002500A"/>
    <w:rsid w:val="000250C6"/>
    <w:rsid w:val="00025131"/>
    <w:rsid w:val="000251B3"/>
    <w:rsid w:val="00025202"/>
    <w:rsid w:val="0002538F"/>
    <w:rsid w:val="00025751"/>
    <w:rsid w:val="00025839"/>
    <w:rsid w:val="00025877"/>
    <w:rsid w:val="00025B8B"/>
    <w:rsid w:val="00025C89"/>
    <w:rsid w:val="00025CF5"/>
    <w:rsid w:val="0002606E"/>
    <w:rsid w:val="0002611B"/>
    <w:rsid w:val="00026365"/>
    <w:rsid w:val="0002669A"/>
    <w:rsid w:val="0002671A"/>
    <w:rsid w:val="00026727"/>
    <w:rsid w:val="00026B9E"/>
    <w:rsid w:val="00026C5D"/>
    <w:rsid w:val="00026D3B"/>
    <w:rsid w:val="00027186"/>
    <w:rsid w:val="00027403"/>
    <w:rsid w:val="0002746E"/>
    <w:rsid w:val="00027607"/>
    <w:rsid w:val="0002762B"/>
    <w:rsid w:val="000277D5"/>
    <w:rsid w:val="000278E8"/>
    <w:rsid w:val="00027AC3"/>
    <w:rsid w:val="00027AF6"/>
    <w:rsid w:val="0003013E"/>
    <w:rsid w:val="000304F7"/>
    <w:rsid w:val="000306B9"/>
    <w:rsid w:val="000309A6"/>
    <w:rsid w:val="00030AE1"/>
    <w:rsid w:val="00030F12"/>
    <w:rsid w:val="00031044"/>
    <w:rsid w:val="000310BA"/>
    <w:rsid w:val="000312E9"/>
    <w:rsid w:val="0003174A"/>
    <w:rsid w:val="000317A1"/>
    <w:rsid w:val="00031933"/>
    <w:rsid w:val="00031A23"/>
    <w:rsid w:val="00031FAF"/>
    <w:rsid w:val="00032A63"/>
    <w:rsid w:val="00032E4E"/>
    <w:rsid w:val="00032FB5"/>
    <w:rsid w:val="00033069"/>
    <w:rsid w:val="000330B8"/>
    <w:rsid w:val="000330DE"/>
    <w:rsid w:val="000331C4"/>
    <w:rsid w:val="0003360F"/>
    <w:rsid w:val="000336BF"/>
    <w:rsid w:val="00033F5E"/>
    <w:rsid w:val="0003432F"/>
    <w:rsid w:val="0003436B"/>
    <w:rsid w:val="00034474"/>
    <w:rsid w:val="0003454E"/>
    <w:rsid w:val="00034884"/>
    <w:rsid w:val="000349DB"/>
    <w:rsid w:val="00034C97"/>
    <w:rsid w:val="00034DC5"/>
    <w:rsid w:val="00034F0E"/>
    <w:rsid w:val="00034FF0"/>
    <w:rsid w:val="00035104"/>
    <w:rsid w:val="00035461"/>
    <w:rsid w:val="00035B5D"/>
    <w:rsid w:val="00035B94"/>
    <w:rsid w:val="00035D06"/>
    <w:rsid w:val="00035DC4"/>
    <w:rsid w:val="00035F3D"/>
    <w:rsid w:val="000360E8"/>
    <w:rsid w:val="000363D0"/>
    <w:rsid w:val="00036423"/>
    <w:rsid w:val="000364B8"/>
    <w:rsid w:val="0003702D"/>
    <w:rsid w:val="0003714B"/>
    <w:rsid w:val="0003721E"/>
    <w:rsid w:val="00037592"/>
    <w:rsid w:val="000377CF"/>
    <w:rsid w:val="00037859"/>
    <w:rsid w:val="0003796F"/>
    <w:rsid w:val="000379C4"/>
    <w:rsid w:val="00037A18"/>
    <w:rsid w:val="00037CAC"/>
    <w:rsid w:val="00040593"/>
    <w:rsid w:val="00040798"/>
    <w:rsid w:val="00040935"/>
    <w:rsid w:val="00040C61"/>
    <w:rsid w:val="000411DE"/>
    <w:rsid w:val="000413CD"/>
    <w:rsid w:val="00041842"/>
    <w:rsid w:val="000418B4"/>
    <w:rsid w:val="00041B92"/>
    <w:rsid w:val="00041B96"/>
    <w:rsid w:val="00041BA0"/>
    <w:rsid w:val="00041CE7"/>
    <w:rsid w:val="00041E8F"/>
    <w:rsid w:val="00041EFD"/>
    <w:rsid w:val="000421EF"/>
    <w:rsid w:val="00042BB0"/>
    <w:rsid w:val="00042C47"/>
    <w:rsid w:val="00043069"/>
    <w:rsid w:val="00043236"/>
    <w:rsid w:val="00043452"/>
    <w:rsid w:val="000435D1"/>
    <w:rsid w:val="000439D3"/>
    <w:rsid w:val="00043B23"/>
    <w:rsid w:val="00043D85"/>
    <w:rsid w:val="00043F65"/>
    <w:rsid w:val="0004422D"/>
    <w:rsid w:val="0004495E"/>
    <w:rsid w:val="00044B68"/>
    <w:rsid w:val="00044CFA"/>
    <w:rsid w:val="00044F82"/>
    <w:rsid w:val="0004518F"/>
    <w:rsid w:val="000451A9"/>
    <w:rsid w:val="00045490"/>
    <w:rsid w:val="000454C6"/>
    <w:rsid w:val="000459D2"/>
    <w:rsid w:val="00045BCD"/>
    <w:rsid w:val="00045C99"/>
    <w:rsid w:val="00045DFD"/>
    <w:rsid w:val="0004631D"/>
    <w:rsid w:val="000464A0"/>
    <w:rsid w:val="000464A3"/>
    <w:rsid w:val="00046528"/>
    <w:rsid w:val="0004682B"/>
    <w:rsid w:val="00047048"/>
    <w:rsid w:val="0004729A"/>
    <w:rsid w:val="00047446"/>
    <w:rsid w:val="0004792B"/>
    <w:rsid w:val="00047B58"/>
    <w:rsid w:val="00047BF5"/>
    <w:rsid w:val="00047D79"/>
    <w:rsid w:val="00047DA0"/>
    <w:rsid w:val="00050132"/>
    <w:rsid w:val="000502A1"/>
    <w:rsid w:val="000505B8"/>
    <w:rsid w:val="00050904"/>
    <w:rsid w:val="00050954"/>
    <w:rsid w:val="00050C92"/>
    <w:rsid w:val="00050EEE"/>
    <w:rsid w:val="00050F0B"/>
    <w:rsid w:val="00051670"/>
    <w:rsid w:val="000519AF"/>
    <w:rsid w:val="000519E5"/>
    <w:rsid w:val="00051F38"/>
    <w:rsid w:val="00052185"/>
    <w:rsid w:val="000521D7"/>
    <w:rsid w:val="0005223F"/>
    <w:rsid w:val="00052ECE"/>
    <w:rsid w:val="00052F68"/>
    <w:rsid w:val="0005339D"/>
    <w:rsid w:val="00053447"/>
    <w:rsid w:val="00053472"/>
    <w:rsid w:val="0005350F"/>
    <w:rsid w:val="00053976"/>
    <w:rsid w:val="000539B9"/>
    <w:rsid w:val="00053E62"/>
    <w:rsid w:val="00053EFA"/>
    <w:rsid w:val="00053F45"/>
    <w:rsid w:val="00053F69"/>
    <w:rsid w:val="00054697"/>
    <w:rsid w:val="0005496B"/>
    <w:rsid w:val="00054D84"/>
    <w:rsid w:val="00054E4E"/>
    <w:rsid w:val="000554A4"/>
    <w:rsid w:val="000554D3"/>
    <w:rsid w:val="0005564B"/>
    <w:rsid w:val="000556E7"/>
    <w:rsid w:val="00055713"/>
    <w:rsid w:val="000558BD"/>
    <w:rsid w:val="000559B9"/>
    <w:rsid w:val="00055EEB"/>
    <w:rsid w:val="00055F0C"/>
    <w:rsid w:val="000563E5"/>
    <w:rsid w:val="000567C3"/>
    <w:rsid w:val="00056A60"/>
    <w:rsid w:val="00056A61"/>
    <w:rsid w:val="00056BF6"/>
    <w:rsid w:val="00057204"/>
    <w:rsid w:val="000572D7"/>
    <w:rsid w:val="00057DB0"/>
    <w:rsid w:val="00060074"/>
    <w:rsid w:val="0006010F"/>
    <w:rsid w:val="0006036F"/>
    <w:rsid w:val="00060637"/>
    <w:rsid w:val="00060EB4"/>
    <w:rsid w:val="00061075"/>
    <w:rsid w:val="00061157"/>
    <w:rsid w:val="0006135F"/>
    <w:rsid w:val="00061450"/>
    <w:rsid w:val="00061862"/>
    <w:rsid w:val="000618E9"/>
    <w:rsid w:val="00061932"/>
    <w:rsid w:val="000619D7"/>
    <w:rsid w:val="00061A6E"/>
    <w:rsid w:val="00061BDE"/>
    <w:rsid w:val="00062369"/>
    <w:rsid w:val="00062381"/>
    <w:rsid w:val="00062526"/>
    <w:rsid w:val="00062530"/>
    <w:rsid w:val="000625A3"/>
    <w:rsid w:val="000625E3"/>
    <w:rsid w:val="000628BD"/>
    <w:rsid w:val="00062B16"/>
    <w:rsid w:val="00062BCC"/>
    <w:rsid w:val="00062C71"/>
    <w:rsid w:val="0006322B"/>
    <w:rsid w:val="00063448"/>
    <w:rsid w:val="000634FC"/>
    <w:rsid w:val="00063876"/>
    <w:rsid w:val="00063FDB"/>
    <w:rsid w:val="0006419C"/>
    <w:rsid w:val="00064604"/>
    <w:rsid w:val="00064A22"/>
    <w:rsid w:val="00064B63"/>
    <w:rsid w:val="00064E90"/>
    <w:rsid w:val="000651AF"/>
    <w:rsid w:val="00065257"/>
    <w:rsid w:val="000652C2"/>
    <w:rsid w:val="000652EE"/>
    <w:rsid w:val="00065385"/>
    <w:rsid w:val="0006551F"/>
    <w:rsid w:val="00065AF0"/>
    <w:rsid w:val="00065B5E"/>
    <w:rsid w:val="00065C19"/>
    <w:rsid w:val="00066104"/>
    <w:rsid w:val="000664D0"/>
    <w:rsid w:val="000668E1"/>
    <w:rsid w:val="00066C59"/>
    <w:rsid w:val="00066C68"/>
    <w:rsid w:val="00066D43"/>
    <w:rsid w:val="000678F6"/>
    <w:rsid w:val="00067982"/>
    <w:rsid w:val="00067C84"/>
    <w:rsid w:val="00067D1F"/>
    <w:rsid w:val="00067EDE"/>
    <w:rsid w:val="000701AE"/>
    <w:rsid w:val="0007062A"/>
    <w:rsid w:val="00070648"/>
    <w:rsid w:val="00070741"/>
    <w:rsid w:val="00070863"/>
    <w:rsid w:val="00070BD9"/>
    <w:rsid w:val="00070CCB"/>
    <w:rsid w:val="00070D85"/>
    <w:rsid w:val="00071204"/>
    <w:rsid w:val="000715F8"/>
    <w:rsid w:val="000719F1"/>
    <w:rsid w:val="00071F3F"/>
    <w:rsid w:val="00071FF2"/>
    <w:rsid w:val="00072038"/>
    <w:rsid w:val="000721B1"/>
    <w:rsid w:val="000722F1"/>
    <w:rsid w:val="00072467"/>
    <w:rsid w:val="00072491"/>
    <w:rsid w:val="0007279A"/>
    <w:rsid w:val="0007288E"/>
    <w:rsid w:val="000728F4"/>
    <w:rsid w:val="00072BB6"/>
    <w:rsid w:val="00072CCB"/>
    <w:rsid w:val="00072DC3"/>
    <w:rsid w:val="00072F23"/>
    <w:rsid w:val="000730AE"/>
    <w:rsid w:val="00073860"/>
    <w:rsid w:val="0007391C"/>
    <w:rsid w:val="00073D61"/>
    <w:rsid w:val="00073D70"/>
    <w:rsid w:val="00073FBC"/>
    <w:rsid w:val="000740DD"/>
    <w:rsid w:val="000744D6"/>
    <w:rsid w:val="00074597"/>
    <w:rsid w:val="00074612"/>
    <w:rsid w:val="0007477A"/>
    <w:rsid w:val="00074AFF"/>
    <w:rsid w:val="00074B2C"/>
    <w:rsid w:val="00074F09"/>
    <w:rsid w:val="00075071"/>
    <w:rsid w:val="000750E0"/>
    <w:rsid w:val="00075167"/>
    <w:rsid w:val="000753A9"/>
    <w:rsid w:val="000753C3"/>
    <w:rsid w:val="00075701"/>
    <w:rsid w:val="00075DFB"/>
    <w:rsid w:val="0007633A"/>
    <w:rsid w:val="000766BB"/>
    <w:rsid w:val="000768FD"/>
    <w:rsid w:val="00076A5B"/>
    <w:rsid w:val="00076AB7"/>
    <w:rsid w:val="00076EF8"/>
    <w:rsid w:val="0007706C"/>
    <w:rsid w:val="00077228"/>
    <w:rsid w:val="000772ED"/>
    <w:rsid w:val="00077639"/>
    <w:rsid w:val="000778B4"/>
    <w:rsid w:val="00077FBE"/>
    <w:rsid w:val="000800AD"/>
    <w:rsid w:val="000804BE"/>
    <w:rsid w:val="00080527"/>
    <w:rsid w:val="0008067C"/>
    <w:rsid w:val="0008071A"/>
    <w:rsid w:val="00080769"/>
    <w:rsid w:val="000808D9"/>
    <w:rsid w:val="00080A38"/>
    <w:rsid w:val="00080BA3"/>
    <w:rsid w:val="000810C1"/>
    <w:rsid w:val="000810F1"/>
    <w:rsid w:val="00081347"/>
    <w:rsid w:val="000818F0"/>
    <w:rsid w:val="00081B37"/>
    <w:rsid w:val="000826E5"/>
    <w:rsid w:val="000829B9"/>
    <w:rsid w:val="00082A2E"/>
    <w:rsid w:val="00082BF9"/>
    <w:rsid w:val="00082C1A"/>
    <w:rsid w:val="00082E47"/>
    <w:rsid w:val="00082F2C"/>
    <w:rsid w:val="00083086"/>
    <w:rsid w:val="000832F1"/>
    <w:rsid w:val="00083514"/>
    <w:rsid w:val="00083537"/>
    <w:rsid w:val="000836A7"/>
    <w:rsid w:val="00083719"/>
    <w:rsid w:val="0008371E"/>
    <w:rsid w:val="00083B8C"/>
    <w:rsid w:val="00083FEC"/>
    <w:rsid w:val="00084081"/>
    <w:rsid w:val="0008426E"/>
    <w:rsid w:val="0008448E"/>
    <w:rsid w:val="000844B5"/>
    <w:rsid w:val="0008496E"/>
    <w:rsid w:val="00084E86"/>
    <w:rsid w:val="00085070"/>
    <w:rsid w:val="0008569E"/>
    <w:rsid w:val="000857BB"/>
    <w:rsid w:val="00085894"/>
    <w:rsid w:val="000859BD"/>
    <w:rsid w:val="00085D87"/>
    <w:rsid w:val="00085E41"/>
    <w:rsid w:val="00085F11"/>
    <w:rsid w:val="00085F1B"/>
    <w:rsid w:val="00086211"/>
    <w:rsid w:val="0008642A"/>
    <w:rsid w:val="0008662A"/>
    <w:rsid w:val="00086748"/>
    <w:rsid w:val="00086EA2"/>
    <w:rsid w:val="00086FF7"/>
    <w:rsid w:val="000873CD"/>
    <w:rsid w:val="00087486"/>
    <w:rsid w:val="0008756C"/>
    <w:rsid w:val="000877BB"/>
    <w:rsid w:val="00087A14"/>
    <w:rsid w:val="00087E0F"/>
    <w:rsid w:val="00087F8C"/>
    <w:rsid w:val="000909D1"/>
    <w:rsid w:val="00090B30"/>
    <w:rsid w:val="00090F18"/>
    <w:rsid w:val="00090FA1"/>
    <w:rsid w:val="0009134C"/>
    <w:rsid w:val="00091729"/>
    <w:rsid w:val="00091EFE"/>
    <w:rsid w:val="0009208F"/>
    <w:rsid w:val="0009216F"/>
    <w:rsid w:val="000924E3"/>
    <w:rsid w:val="0009262C"/>
    <w:rsid w:val="000929B5"/>
    <w:rsid w:val="000929E1"/>
    <w:rsid w:val="0009308F"/>
    <w:rsid w:val="000934B3"/>
    <w:rsid w:val="000937CC"/>
    <w:rsid w:val="0009391A"/>
    <w:rsid w:val="00093C72"/>
    <w:rsid w:val="00093E86"/>
    <w:rsid w:val="00093FF2"/>
    <w:rsid w:val="00094325"/>
    <w:rsid w:val="00094882"/>
    <w:rsid w:val="000948BD"/>
    <w:rsid w:val="000948EE"/>
    <w:rsid w:val="00094933"/>
    <w:rsid w:val="000949EE"/>
    <w:rsid w:val="00094A97"/>
    <w:rsid w:val="00094DDD"/>
    <w:rsid w:val="00095306"/>
    <w:rsid w:val="0009531C"/>
    <w:rsid w:val="000954EC"/>
    <w:rsid w:val="000957BD"/>
    <w:rsid w:val="000962CD"/>
    <w:rsid w:val="000968D7"/>
    <w:rsid w:val="00096C7C"/>
    <w:rsid w:val="00096D49"/>
    <w:rsid w:val="000971F5"/>
    <w:rsid w:val="000972E3"/>
    <w:rsid w:val="000973CB"/>
    <w:rsid w:val="000974B6"/>
    <w:rsid w:val="0009767D"/>
    <w:rsid w:val="000977BB"/>
    <w:rsid w:val="0009795A"/>
    <w:rsid w:val="00097A62"/>
    <w:rsid w:val="00097A74"/>
    <w:rsid w:val="00097D3F"/>
    <w:rsid w:val="00097F99"/>
    <w:rsid w:val="000A0046"/>
    <w:rsid w:val="000A00E7"/>
    <w:rsid w:val="000A03A3"/>
    <w:rsid w:val="000A0513"/>
    <w:rsid w:val="000A08A0"/>
    <w:rsid w:val="000A0A2B"/>
    <w:rsid w:val="000A13E5"/>
    <w:rsid w:val="000A1560"/>
    <w:rsid w:val="000A1642"/>
    <w:rsid w:val="000A1869"/>
    <w:rsid w:val="000A199B"/>
    <w:rsid w:val="000A1FD9"/>
    <w:rsid w:val="000A2111"/>
    <w:rsid w:val="000A224E"/>
    <w:rsid w:val="000A238B"/>
    <w:rsid w:val="000A2748"/>
    <w:rsid w:val="000A28CC"/>
    <w:rsid w:val="000A2EFB"/>
    <w:rsid w:val="000A2F00"/>
    <w:rsid w:val="000A3096"/>
    <w:rsid w:val="000A3702"/>
    <w:rsid w:val="000A3827"/>
    <w:rsid w:val="000A39FE"/>
    <w:rsid w:val="000A3C9B"/>
    <w:rsid w:val="000A3FEA"/>
    <w:rsid w:val="000A4068"/>
    <w:rsid w:val="000A43B1"/>
    <w:rsid w:val="000A45F4"/>
    <w:rsid w:val="000A4BB0"/>
    <w:rsid w:val="000A4DFE"/>
    <w:rsid w:val="000A4FBC"/>
    <w:rsid w:val="000A5063"/>
    <w:rsid w:val="000A51BA"/>
    <w:rsid w:val="000A52F9"/>
    <w:rsid w:val="000A589D"/>
    <w:rsid w:val="000A5B06"/>
    <w:rsid w:val="000A5B29"/>
    <w:rsid w:val="000A5EC5"/>
    <w:rsid w:val="000A5F60"/>
    <w:rsid w:val="000A62BC"/>
    <w:rsid w:val="000A63DC"/>
    <w:rsid w:val="000A69B1"/>
    <w:rsid w:val="000A6C04"/>
    <w:rsid w:val="000A6E52"/>
    <w:rsid w:val="000A6FB9"/>
    <w:rsid w:val="000A7013"/>
    <w:rsid w:val="000A74A6"/>
    <w:rsid w:val="000A7506"/>
    <w:rsid w:val="000A75B7"/>
    <w:rsid w:val="000A7A93"/>
    <w:rsid w:val="000B02CA"/>
    <w:rsid w:val="000B0306"/>
    <w:rsid w:val="000B0550"/>
    <w:rsid w:val="000B05A1"/>
    <w:rsid w:val="000B07BD"/>
    <w:rsid w:val="000B0D5F"/>
    <w:rsid w:val="000B14B6"/>
    <w:rsid w:val="000B1E81"/>
    <w:rsid w:val="000B2072"/>
    <w:rsid w:val="000B22AF"/>
    <w:rsid w:val="000B2524"/>
    <w:rsid w:val="000B270C"/>
    <w:rsid w:val="000B2827"/>
    <w:rsid w:val="000B2C77"/>
    <w:rsid w:val="000B2E42"/>
    <w:rsid w:val="000B340C"/>
    <w:rsid w:val="000B366C"/>
    <w:rsid w:val="000B36B4"/>
    <w:rsid w:val="000B3761"/>
    <w:rsid w:val="000B3768"/>
    <w:rsid w:val="000B3A87"/>
    <w:rsid w:val="000B3B7E"/>
    <w:rsid w:val="000B3BDB"/>
    <w:rsid w:val="000B4093"/>
    <w:rsid w:val="000B42DA"/>
    <w:rsid w:val="000B4548"/>
    <w:rsid w:val="000B4785"/>
    <w:rsid w:val="000B47A7"/>
    <w:rsid w:val="000B484D"/>
    <w:rsid w:val="000B4A40"/>
    <w:rsid w:val="000B4E22"/>
    <w:rsid w:val="000B50A0"/>
    <w:rsid w:val="000B5462"/>
    <w:rsid w:val="000B54A6"/>
    <w:rsid w:val="000B57B2"/>
    <w:rsid w:val="000B57D7"/>
    <w:rsid w:val="000B57E9"/>
    <w:rsid w:val="000B5861"/>
    <w:rsid w:val="000B5926"/>
    <w:rsid w:val="000B59A5"/>
    <w:rsid w:val="000B5C6A"/>
    <w:rsid w:val="000B5EAE"/>
    <w:rsid w:val="000B5FF0"/>
    <w:rsid w:val="000B6177"/>
    <w:rsid w:val="000B61C7"/>
    <w:rsid w:val="000B62FA"/>
    <w:rsid w:val="000B65C2"/>
    <w:rsid w:val="000B66C3"/>
    <w:rsid w:val="000B66FA"/>
    <w:rsid w:val="000B6BB7"/>
    <w:rsid w:val="000B6E0C"/>
    <w:rsid w:val="000B6E33"/>
    <w:rsid w:val="000B70D0"/>
    <w:rsid w:val="000B72EB"/>
    <w:rsid w:val="000B75F3"/>
    <w:rsid w:val="000B76FA"/>
    <w:rsid w:val="000B7837"/>
    <w:rsid w:val="000B784F"/>
    <w:rsid w:val="000B78BE"/>
    <w:rsid w:val="000B7C78"/>
    <w:rsid w:val="000B7CEB"/>
    <w:rsid w:val="000B7D5D"/>
    <w:rsid w:val="000B7F42"/>
    <w:rsid w:val="000C01B3"/>
    <w:rsid w:val="000C049D"/>
    <w:rsid w:val="000C0588"/>
    <w:rsid w:val="000C0933"/>
    <w:rsid w:val="000C0A70"/>
    <w:rsid w:val="000C0D5E"/>
    <w:rsid w:val="000C0E7B"/>
    <w:rsid w:val="000C102B"/>
    <w:rsid w:val="000C13EE"/>
    <w:rsid w:val="000C13FD"/>
    <w:rsid w:val="000C1436"/>
    <w:rsid w:val="000C1670"/>
    <w:rsid w:val="000C1759"/>
    <w:rsid w:val="000C1793"/>
    <w:rsid w:val="000C19FF"/>
    <w:rsid w:val="000C1B3A"/>
    <w:rsid w:val="000C1BE6"/>
    <w:rsid w:val="000C1F59"/>
    <w:rsid w:val="000C1F6C"/>
    <w:rsid w:val="000C1FE6"/>
    <w:rsid w:val="000C2058"/>
    <w:rsid w:val="000C2271"/>
    <w:rsid w:val="000C23C8"/>
    <w:rsid w:val="000C269D"/>
    <w:rsid w:val="000C28B7"/>
    <w:rsid w:val="000C2A24"/>
    <w:rsid w:val="000C2BC3"/>
    <w:rsid w:val="000C2E40"/>
    <w:rsid w:val="000C2FB4"/>
    <w:rsid w:val="000C3208"/>
    <w:rsid w:val="000C35DD"/>
    <w:rsid w:val="000C3813"/>
    <w:rsid w:val="000C3C61"/>
    <w:rsid w:val="000C3F45"/>
    <w:rsid w:val="000C4179"/>
    <w:rsid w:val="000C4A51"/>
    <w:rsid w:val="000C4BE0"/>
    <w:rsid w:val="000C4CD8"/>
    <w:rsid w:val="000C4EF8"/>
    <w:rsid w:val="000C5442"/>
    <w:rsid w:val="000C54BB"/>
    <w:rsid w:val="000C55A5"/>
    <w:rsid w:val="000C566A"/>
    <w:rsid w:val="000C5685"/>
    <w:rsid w:val="000C5730"/>
    <w:rsid w:val="000C574A"/>
    <w:rsid w:val="000C5A1B"/>
    <w:rsid w:val="000C5ADD"/>
    <w:rsid w:val="000C5C2F"/>
    <w:rsid w:val="000C5C53"/>
    <w:rsid w:val="000C6476"/>
    <w:rsid w:val="000C647E"/>
    <w:rsid w:val="000C64EE"/>
    <w:rsid w:val="000C658E"/>
    <w:rsid w:val="000C662A"/>
    <w:rsid w:val="000C687A"/>
    <w:rsid w:val="000C68F4"/>
    <w:rsid w:val="000C6B17"/>
    <w:rsid w:val="000C6BEE"/>
    <w:rsid w:val="000C6BF0"/>
    <w:rsid w:val="000C6CDF"/>
    <w:rsid w:val="000C6D01"/>
    <w:rsid w:val="000C6D6A"/>
    <w:rsid w:val="000C6E3D"/>
    <w:rsid w:val="000C7136"/>
    <w:rsid w:val="000C7B03"/>
    <w:rsid w:val="000C7CC1"/>
    <w:rsid w:val="000C7E19"/>
    <w:rsid w:val="000C7FD2"/>
    <w:rsid w:val="000D011B"/>
    <w:rsid w:val="000D03E9"/>
    <w:rsid w:val="000D045B"/>
    <w:rsid w:val="000D08BA"/>
    <w:rsid w:val="000D0BF7"/>
    <w:rsid w:val="000D0CA3"/>
    <w:rsid w:val="000D0D15"/>
    <w:rsid w:val="000D0EAD"/>
    <w:rsid w:val="000D0EE0"/>
    <w:rsid w:val="000D0F45"/>
    <w:rsid w:val="000D0F87"/>
    <w:rsid w:val="000D11A0"/>
    <w:rsid w:val="000D1303"/>
    <w:rsid w:val="000D14D8"/>
    <w:rsid w:val="000D1541"/>
    <w:rsid w:val="000D1594"/>
    <w:rsid w:val="000D1608"/>
    <w:rsid w:val="000D173C"/>
    <w:rsid w:val="000D177E"/>
    <w:rsid w:val="000D1888"/>
    <w:rsid w:val="000D1AAB"/>
    <w:rsid w:val="000D1C8E"/>
    <w:rsid w:val="000D1D70"/>
    <w:rsid w:val="000D2061"/>
    <w:rsid w:val="000D274B"/>
    <w:rsid w:val="000D27EE"/>
    <w:rsid w:val="000D2AA0"/>
    <w:rsid w:val="000D2CF0"/>
    <w:rsid w:val="000D2E08"/>
    <w:rsid w:val="000D3134"/>
    <w:rsid w:val="000D3140"/>
    <w:rsid w:val="000D3315"/>
    <w:rsid w:val="000D35DE"/>
    <w:rsid w:val="000D3748"/>
    <w:rsid w:val="000D3978"/>
    <w:rsid w:val="000D3BCD"/>
    <w:rsid w:val="000D4227"/>
    <w:rsid w:val="000D4297"/>
    <w:rsid w:val="000D4506"/>
    <w:rsid w:val="000D486C"/>
    <w:rsid w:val="000D4EF1"/>
    <w:rsid w:val="000D51AB"/>
    <w:rsid w:val="000D5235"/>
    <w:rsid w:val="000D523A"/>
    <w:rsid w:val="000D543C"/>
    <w:rsid w:val="000D556D"/>
    <w:rsid w:val="000D5C51"/>
    <w:rsid w:val="000D5D3F"/>
    <w:rsid w:val="000D5D56"/>
    <w:rsid w:val="000D6159"/>
    <w:rsid w:val="000D65EF"/>
    <w:rsid w:val="000D68E9"/>
    <w:rsid w:val="000D6D4F"/>
    <w:rsid w:val="000D6F42"/>
    <w:rsid w:val="000D6F8D"/>
    <w:rsid w:val="000D7437"/>
    <w:rsid w:val="000D7482"/>
    <w:rsid w:val="000D74C4"/>
    <w:rsid w:val="000D75EF"/>
    <w:rsid w:val="000D7BC3"/>
    <w:rsid w:val="000D7C5C"/>
    <w:rsid w:val="000E002B"/>
    <w:rsid w:val="000E0375"/>
    <w:rsid w:val="000E0462"/>
    <w:rsid w:val="000E04C3"/>
    <w:rsid w:val="000E058D"/>
    <w:rsid w:val="000E05E8"/>
    <w:rsid w:val="000E0695"/>
    <w:rsid w:val="000E06DC"/>
    <w:rsid w:val="000E06FA"/>
    <w:rsid w:val="000E0A26"/>
    <w:rsid w:val="000E0B16"/>
    <w:rsid w:val="000E0BF5"/>
    <w:rsid w:val="000E0C32"/>
    <w:rsid w:val="000E0D40"/>
    <w:rsid w:val="000E10CE"/>
    <w:rsid w:val="000E1177"/>
    <w:rsid w:val="000E11C4"/>
    <w:rsid w:val="000E1203"/>
    <w:rsid w:val="000E15E0"/>
    <w:rsid w:val="000E177F"/>
    <w:rsid w:val="000E19C4"/>
    <w:rsid w:val="000E1A23"/>
    <w:rsid w:val="000E1ACB"/>
    <w:rsid w:val="000E1C56"/>
    <w:rsid w:val="000E2198"/>
    <w:rsid w:val="000E2413"/>
    <w:rsid w:val="000E24DF"/>
    <w:rsid w:val="000E258D"/>
    <w:rsid w:val="000E28E8"/>
    <w:rsid w:val="000E29D0"/>
    <w:rsid w:val="000E2A48"/>
    <w:rsid w:val="000E2B4A"/>
    <w:rsid w:val="000E2BD6"/>
    <w:rsid w:val="000E2DAD"/>
    <w:rsid w:val="000E31C8"/>
    <w:rsid w:val="000E3416"/>
    <w:rsid w:val="000E38A3"/>
    <w:rsid w:val="000E3947"/>
    <w:rsid w:val="000E3BA3"/>
    <w:rsid w:val="000E3CB0"/>
    <w:rsid w:val="000E3D76"/>
    <w:rsid w:val="000E3EAD"/>
    <w:rsid w:val="000E40BE"/>
    <w:rsid w:val="000E46E0"/>
    <w:rsid w:val="000E47D4"/>
    <w:rsid w:val="000E47EC"/>
    <w:rsid w:val="000E4944"/>
    <w:rsid w:val="000E4A81"/>
    <w:rsid w:val="000E4C14"/>
    <w:rsid w:val="000E4E64"/>
    <w:rsid w:val="000E4F3E"/>
    <w:rsid w:val="000E4F52"/>
    <w:rsid w:val="000E4F75"/>
    <w:rsid w:val="000E50D4"/>
    <w:rsid w:val="000E5320"/>
    <w:rsid w:val="000E54D2"/>
    <w:rsid w:val="000E5538"/>
    <w:rsid w:val="000E553D"/>
    <w:rsid w:val="000E55C8"/>
    <w:rsid w:val="000E61F3"/>
    <w:rsid w:val="000E6256"/>
    <w:rsid w:val="000E6C7A"/>
    <w:rsid w:val="000E6CB0"/>
    <w:rsid w:val="000E6D40"/>
    <w:rsid w:val="000E6E2E"/>
    <w:rsid w:val="000E6EFE"/>
    <w:rsid w:val="000E7224"/>
    <w:rsid w:val="000E7363"/>
    <w:rsid w:val="000E77A6"/>
    <w:rsid w:val="000E78D6"/>
    <w:rsid w:val="000E792C"/>
    <w:rsid w:val="000E7AE0"/>
    <w:rsid w:val="000E7D42"/>
    <w:rsid w:val="000E7E94"/>
    <w:rsid w:val="000E7ED6"/>
    <w:rsid w:val="000E7EE2"/>
    <w:rsid w:val="000E7FBA"/>
    <w:rsid w:val="000F00FB"/>
    <w:rsid w:val="000F05B5"/>
    <w:rsid w:val="000F064B"/>
    <w:rsid w:val="000F0B57"/>
    <w:rsid w:val="000F0E7D"/>
    <w:rsid w:val="000F10AA"/>
    <w:rsid w:val="000F135A"/>
    <w:rsid w:val="000F17E9"/>
    <w:rsid w:val="000F196F"/>
    <w:rsid w:val="000F1CD2"/>
    <w:rsid w:val="000F1E90"/>
    <w:rsid w:val="000F1FEE"/>
    <w:rsid w:val="000F20BD"/>
    <w:rsid w:val="000F20F2"/>
    <w:rsid w:val="000F2336"/>
    <w:rsid w:val="000F23B8"/>
    <w:rsid w:val="000F2408"/>
    <w:rsid w:val="000F2772"/>
    <w:rsid w:val="000F2D16"/>
    <w:rsid w:val="000F2DDB"/>
    <w:rsid w:val="000F31AA"/>
    <w:rsid w:val="000F32B2"/>
    <w:rsid w:val="000F32C6"/>
    <w:rsid w:val="000F3469"/>
    <w:rsid w:val="000F3656"/>
    <w:rsid w:val="000F3B8D"/>
    <w:rsid w:val="000F3D2F"/>
    <w:rsid w:val="000F42FA"/>
    <w:rsid w:val="000F447E"/>
    <w:rsid w:val="000F455E"/>
    <w:rsid w:val="000F49F2"/>
    <w:rsid w:val="000F4B8D"/>
    <w:rsid w:val="000F4F08"/>
    <w:rsid w:val="000F50C3"/>
    <w:rsid w:val="000F50FA"/>
    <w:rsid w:val="000F511A"/>
    <w:rsid w:val="000F543A"/>
    <w:rsid w:val="000F5680"/>
    <w:rsid w:val="000F5863"/>
    <w:rsid w:val="000F5872"/>
    <w:rsid w:val="000F5A72"/>
    <w:rsid w:val="000F5E09"/>
    <w:rsid w:val="000F5E51"/>
    <w:rsid w:val="000F67F8"/>
    <w:rsid w:val="000F6853"/>
    <w:rsid w:val="000F6C2A"/>
    <w:rsid w:val="000F6D64"/>
    <w:rsid w:val="000F7127"/>
    <w:rsid w:val="000F7694"/>
    <w:rsid w:val="000F77E0"/>
    <w:rsid w:val="000F7A25"/>
    <w:rsid w:val="000F7C9C"/>
    <w:rsid w:val="000F7E9A"/>
    <w:rsid w:val="000F7FFA"/>
    <w:rsid w:val="0010006D"/>
    <w:rsid w:val="001000F5"/>
    <w:rsid w:val="00100176"/>
    <w:rsid w:val="001004CE"/>
    <w:rsid w:val="001006CF"/>
    <w:rsid w:val="00100FE9"/>
    <w:rsid w:val="00101DB0"/>
    <w:rsid w:val="00101F60"/>
    <w:rsid w:val="00101F89"/>
    <w:rsid w:val="001025BF"/>
    <w:rsid w:val="00102679"/>
    <w:rsid w:val="0010274E"/>
    <w:rsid w:val="0010279A"/>
    <w:rsid w:val="00102AA0"/>
    <w:rsid w:val="00102C4B"/>
    <w:rsid w:val="00102E14"/>
    <w:rsid w:val="00103033"/>
    <w:rsid w:val="001030D3"/>
    <w:rsid w:val="001030FE"/>
    <w:rsid w:val="00103255"/>
    <w:rsid w:val="00103424"/>
    <w:rsid w:val="0010391C"/>
    <w:rsid w:val="00103A42"/>
    <w:rsid w:val="00103E97"/>
    <w:rsid w:val="00104201"/>
    <w:rsid w:val="00104685"/>
    <w:rsid w:val="0010470A"/>
    <w:rsid w:val="00104B10"/>
    <w:rsid w:val="00104DB2"/>
    <w:rsid w:val="00105164"/>
    <w:rsid w:val="001052D0"/>
    <w:rsid w:val="00105773"/>
    <w:rsid w:val="0010578A"/>
    <w:rsid w:val="001057D1"/>
    <w:rsid w:val="0010580F"/>
    <w:rsid w:val="00105BDC"/>
    <w:rsid w:val="00105D64"/>
    <w:rsid w:val="00106349"/>
    <w:rsid w:val="001063E9"/>
    <w:rsid w:val="00106ADB"/>
    <w:rsid w:val="001070FB"/>
    <w:rsid w:val="001073F9"/>
    <w:rsid w:val="0010749B"/>
    <w:rsid w:val="0010762B"/>
    <w:rsid w:val="00107AF7"/>
    <w:rsid w:val="00107B6F"/>
    <w:rsid w:val="00107C67"/>
    <w:rsid w:val="00107DB0"/>
    <w:rsid w:val="00107F8D"/>
    <w:rsid w:val="0011071D"/>
    <w:rsid w:val="00110D35"/>
    <w:rsid w:val="00110E42"/>
    <w:rsid w:val="00110EB7"/>
    <w:rsid w:val="00111631"/>
    <w:rsid w:val="001116DC"/>
    <w:rsid w:val="001118D1"/>
    <w:rsid w:val="00111B82"/>
    <w:rsid w:val="00111BC0"/>
    <w:rsid w:val="00111CD4"/>
    <w:rsid w:val="00111EA8"/>
    <w:rsid w:val="00112004"/>
    <w:rsid w:val="001121DD"/>
    <w:rsid w:val="00112243"/>
    <w:rsid w:val="0011283D"/>
    <w:rsid w:val="0011286C"/>
    <w:rsid w:val="00112A82"/>
    <w:rsid w:val="00112C45"/>
    <w:rsid w:val="00112D48"/>
    <w:rsid w:val="00112D9C"/>
    <w:rsid w:val="00112E15"/>
    <w:rsid w:val="00112E37"/>
    <w:rsid w:val="00113847"/>
    <w:rsid w:val="001139B4"/>
    <w:rsid w:val="00113B8F"/>
    <w:rsid w:val="00113CE0"/>
    <w:rsid w:val="00113E77"/>
    <w:rsid w:val="00113F00"/>
    <w:rsid w:val="00113F1D"/>
    <w:rsid w:val="00113FFE"/>
    <w:rsid w:val="001145F8"/>
    <w:rsid w:val="0011479A"/>
    <w:rsid w:val="00114912"/>
    <w:rsid w:val="00114917"/>
    <w:rsid w:val="001149A2"/>
    <w:rsid w:val="00114C8C"/>
    <w:rsid w:val="0011506B"/>
    <w:rsid w:val="001156A4"/>
    <w:rsid w:val="00115770"/>
    <w:rsid w:val="001157FF"/>
    <w:rsid w:val="001159D5"/>
    <w:rsid w:val="001160A3"/>
    <w:rsid w:val="001162E0"/>
    <w:rsid w:val="001163CF"/>
    <w:rsid w:val="00116746"/>
    <w:rsid w:val="00116844"/>
    <w:rsid w:val="001168A9"/>
    <w:rsid w:val="00116D25"/>
    <w:rsid w:val="00116DD8"/>
    <w:rsid w:val="001170EC"/>
    <w:rsid w:val="0011712D"/>
    <w:rsid w:val="0011717D"/>
    <w:rsid w:val="001172CD"/>
    <w:rsid w:val="0011743E"/>
    <w:rsid w:val="001174D9"/>
    <w:rsid w:val="00117523"/>
    <w:rsid w:val="001178BA"/>
    <w:rsid w:val="001178E5"/>
    <w:rsid w:val="001179C7"/>
    <w:rsid w:val="00117A08"/>
    <w:rsid w:val="00117A57"/>
    <w:rsid w:val="00117AC2"/>
    <w:rsid w:val="00117D4C"/>
    <w:rsid w:val="00117D77"/>
    <w:rsid w:val="00117F88"/>
    <w:rsid w:val="00117FB5"/>
    <w:rsid w:val="001200CC"/>
    <w:rsid w:val="001206B1"/>
    <w:rsid w:val="00120912"/>
    <w:rsid w:val="00120955"/>
    <w:rsid w:val="00120AD6"/>
    <w:rsid w:val="00120B49"/>
    <w:rsid w:val="00120CEB"/>
    <w:rsid w:val="00121422"/>
    <w:rsid w:val="001216A2"/>
    <w:rsid w:val="00121A99"/>
    <w:rsid w:val="00121ADB"/>
    <w:rsid w:val="00121F3C"/>
    <w:rsid w:val="001224C5"/>
    <w:rsid w:val="0012279C"/>
    <w:rsid w:val="001227EA"/>
    <w:rsid w:val="0012297A"/>
    <w:rsid w:val="00122CB1"/>
    <w:rsid w:val="001230D2"/>
    <w:rsid w:val="001231D7"/>
    <w:rsid w:val="00123281"/>
    <w:rsid w:val="001235DD"/>
    <w:rsid w:val="001236CB"/>
    <w:rsid w:val="00123761"/>
    <w:rsid w:val="00123844"/>
    <w:rsid w:val="00123973"/>
    <w:rsid w:val="00123B40"/>
    <w:rsid w:val="00123B97"/>
    <w:rsid w:val="0012401B"/>
    <w:rsid w:val="001250A1"/>
    <w:rsid w:val="00125412"/>
    <w:rsid w:val="00125767"/>
    <w:rsid w:val="00125D7D"/>
    <w:rsid w:val="00126186"/>
    <w:rsid w:val="001261E4"/>
    <w:rsid w:val="00126213"/>
    <w:rsid w:val="0012633B"/>
    <w:rsid w:val="00126AA0"/>
    <w:rsid w:val="00126C90"/>
    <w:rsid w:val="00126D4F"/>
    <w:rsid w:val="00126FD3"/>
    <w:rsid w:val="00127069"/>
    <w:rsid w:val="00127259"/>
    <w:rsid w:val="00127277"/>
    <w:rsid w:val="0012729F"/>
    <w:rsid w:val="0012730F"/>
    <w:rsid w:val="00127A5F"/>
    <w:rsid w:val="00127F41"/>
    <w:rsid w:val="001300C0"/>
    <w:rsid w:val="00130501"/>
    <w:rsid w:val="00130766"/>
    <w:rsid w:val="00130ABA"/>
    <w:rsid w:val="00130FA7"/>
    <w:rsid w:val="00130FBD"/>
    <w:rsid w:val="001310DB"/>
    <w:rsid w:val="00131126"/>
    <w:rsid w:val="00131195"/>
    <w:rsid w:val="001312D5"/>
    <w:rsid w:val="001313C2"/>
    <w:rsid w:val="001314D0"/>
    <w:rsid w:val="00131585"/>
    <w:rsid w:val="00131906"/>
    <w:rsid w:val="00131E1B"/>
    <w:rsid w:val="001322A4"/>
    <w:rsid w:val="0013230C"/>
    <w:rsid w:val="001326ED"/>
    <w:rsid w:val="00132D29"/>
    <w:rsid w:val="00132D80"/>
    <w:rsid w:val="00132E30"/>
    <w:rsid w:val="001330EA"/>
    <w:rsid w:val="00133236"/>
    <w:rsid w:val="0013355B"/>
    <w:rsid w:val="001335B9"/>
    <w:rsid w:val="001336F0"/>
    <w:rsid w:val="001336FC"/>
    <w:rsid w:val="00133846"/>
    <w:rsid w:val="00133CE0"/>
    <w:rsid w:val="001340AD"/>
    <w:rsid w:val="001341E6"/>
    <w:rsid w:val="001343AA"/>
    <w:rsid w:val="00134517"/>
    <w:rsid w:val="0013483C"/>
    <w:rsid w:val="00134871"/>
    <w:rsid w:val="00134AA3"/>
    <w:rsid w:val="00134AAF"/>
    <w:rsid w:val="00134CF1"/>
    <w:rsid w:val="001353C0"/>
    <w:rsid w:val="00135755"/>
    <w:rsid w:val="00135B1C"/>
    <w:rsid w:val="00135C57"/>
    <w:rsid w:val="00135CF6"/>
    <w:rsid w:val="00135D44"/>
    <w:rsid w:val="00135D7E"/>
    <w:rsid w:val="00135E05"/>
    <w:rsid w:val="00135E53"/>
    <w:rsid w:val="00135EFE"/>
    <w:rsid w:val="001360C4"/>
    <w:rsid w:val="0013637A"/>
    <w:rsid w:val="001363D7"/>
    <w:rsid w:val="001366A6"/>
    <w:rsid w:val="00136747"/>
    <w:rsid w:val="00136840"/>
    <w:rsid w:val="00136CD4"/>
    <w:rsid w:val="0013701A"/>
    <w:rsid w:val="00137625"/>
    <w:rsid w:val="00140009"/>
    <w:rsid w:val="0014000C"/>
    <w:rsid w:val="0014048D"/>
    <w:rsid w:val="00140586"/>
    <w:rsid w:val="00140824"/>
    <w:rsid w:val="00140856"/>
    <w:rsid w:val="00140DC6"/>
    <w:rsid w:val="00140DD7"/>
    <w:rsid w:val="00140DE6"/>
    <w:rsid w:val="00140E0A"/>
    <w:rsid w:val="00140E2B"/>
    <w:rsid w:val="00141175"/>
    <w:rsid w:val="00141215"/>
    <w:rsid w:val="00141243"/>
    <w:rsid w:val="0014140A"/>
    <w:rsid w:val="001418B0"/>
    <w:rsid w:val="00141A74"/>
    <w:rsid w:val="00142581"/>
    <w:rsid w:val="00142754"/>
    <w:rsid w:val="001429C2"/>
    <w:rsid w:val="00142A98"/>
    <w:rsid w:val="00142C1B"/>
    <w:rsid w:val="00142E5D"/>
    <w:rsid w:val="00143558"/>
    <w:rsid w:val="0014361E"/>
    <w:rsid w:val="00143790"/>
    <w:rsid w:val="001438E3"/>
    <w:rsid w:val="0014391C"/>
    <w:rsid w:val="00143EB3"/>
    <w:rsid w:val="00143F24"/>
    <w:rsid w:val="00144883"/>
    <w:rsid w:val="001448EE"/>
    <w:rsid w:val="00144AC8"/>
    <w:rsid w:val="00144C9C"/>
    <w:rsid w:val="00144E68"/>
    <w:rsid w:val="00144F7C"/>
    <w:rsid w:val="001453E7"/>
    <w:rsid w:val="00145584"/>
    <w:rsid w:val="00145605"/>
    <w:rsid w:val="0014580D"/>
    <w:rsid w:val="001459DE"/>
    <w:rsid w:val="00145BC6"/>
    <w:rsid w:val="00145DD2"/>
    <w:rsid w:val="001462D1"/>
    <w:rsid w:val="00146680"/>
    <w:rsid w:val="00146E73"/>
    <w:rsid w:val="00147108"/>
    <w:rsid w:val="00147238"/>
    <w:rsid w:val="00147553"/>
    <w:rsid w:val="00147877"/>
    <w:rsid w:val="00147A9E"/>
    <w:rsid w:val="00147BF4"/>
    <w:rsid w:val="00150003"/>
    <w:rsid w:val="00150174"/>
    <w:rsid w:val="00150187"/>
    <w:rsid w:val="0015033A"/>
    <w:rsid w:val="0015039B"/>
    <w:rsid w:val="0015093A"/>
    <w:rsid w:val="00150C7C"/>
    <w:rsid w:val="00150D2B"/>
    <w:rsid w:val="00150EF7"/>
    <w:rsid w:val="00151294"/>
    <w:rsid w:val="001512AA"/>
    <w:rsid w:val="00151988"/>
    <w:rsid w:val="00151F7C"/>
    <w:rsid w:val="001520DC"/>
    <w:rsid w:val="00152259"/>
    <w:rsid w:val="00152327"/>
    <w:rsid w:val="00152452"/>
    <w:rsid w:val="001524D9"/>
    <w:rsid w:val="001525E0"/>
    <w:rsid w:val="00152655"/>
    <w:rsid w:val="0015274A"/>
    <w:rsid w:val="00152A34"/>
    <w:rsid w:val="00152CE4"/>
    <w:rsid w:val="0015311D"/>
    <w:rsid w:val="00153372"/>
    <w:rsid w:val="0015347E"/>
    <w:rsid w:val="001539A2"/>
    <w:rsid w:val="00153CDD"/>
    <w:rsid w:val="00153DD4"/>
    <w:rsid w:val="00153FB0"/>
    <w:rsid w:val="001540AE"/>
    <w:rsid w:val="001541EC"/>
    <w:rsid w:val="00154362"/>
    <w:rsid w:val="001543DA"/>
    <w:rsid w:val="0015441B"/>
    <w:rsid w:val="001545D1"/>
    <w:rsid w:val="0015481E"/>
    <w:rsid w:val="001548E8"/>
    <w:rsid w:val="00154ABB"/>
    <w:rsid w:val="00154ACA"/>
    <w:rsid w:val="00154B5A"/>
    <w:rsid w:val="00154D60"/>
    <w:rsid w:val="00154DF8"/>
    <w:rsid w:val="00155016"/>
    <w:rsid w:val="0015547F"/>
    <w:rsid w:val="00155725"/>
    <w:rsid w:val="001558C3"/>
    <w:rsid w:val="0015593D"/>
    <w:rsid w:val="00155974"/>
    <w:rsid w:val="00155E26"/>
    <w:rsid w:val="00156278"/>
    <w:rsid w:val="001563DE"/>
    <w:rsid w:val="001567EB"/>
    <w:rsid w:val="00156960"/>
    <w:rsid w:val="00156A92"/>
    <w:rsid w:val="00156DD0"/>
    <w:rsid w:val="00156FA6"/>
    <w:rsid w:val="00156FDF"/>
    <w:rsid w:val="0015706B"/>
    <w:rsid w:val="0015710C"/>
    <w:rsid w:val="001574BF"/>
    <w:rsid w:val="001574C8"/>
    <w:rsid w:val="00157617"/>
    <w:rsid w:val="0015778A"/>
    <w:rsid w:val="00157EBB"/>
    <w:rsid w:val="0016034F"/>
    <w:rsid w:val="00160466"/>
    <w:rsid w:val="0016074E"/>
    <w:rsid w:val="00160A85"/>
    <w:rsid w:val="00160A9C"/>
    <w:rsid w:val="00160ACD"/>
    <w:rsid w:val="00160B5E"/>
    <w:rsid w:val="00160BBD"/>
    <w:rsid w:val="00161137"/>
    <w:rsid w:val="001611C0"/>
    <w:rsid w:val="00161395"/>
    <w:rsid w:val="00161478"/>
    <w:rsid w:val="00161918"/>
    <w:rsid w:val="00161AA2"/>
    <w:rsid w:val="00161BE8"/>
    <w:rsid w:val="00161EE4"/>
    <w:rsid w:val="00162185"/>
    <w:rsid w:val="001621E7"/>
    <w:rsid w:val="0016246C"/>
    <w:rsid w:val="00162974"/>
    <w:rsid w:val="00162CA6"/>
    <w:rsid w:val="0016324D"/>
    <w:rsid w:val="0016346A"/>
    <w:rsid w:val="00163489"/>
    <w:rsid w:val="00163495"/>
    <w:rsid w:val="001634AE"/>
    <w:rsid w:val="00163638"/>
    <w:rsid w:val="00163D0A"/>
    <w:rsid w:val="00163F54"/>
    <w:rsid w:val="0016427E"/>
    <w:rsid w:val="0016445C"/>
    <w:rsid w:val="0016485F"/>
    <w:rsid w:val="001649E7"/>
    <w:rsid w:val="001652FC"/>
    <w:rsid w:val="001653CC"/>
    <w:rsid w:val="001655CF"/>
    <w:rsid w:val="00165647"/>
    <w:rsid w:val="00165656"/>
    <w:rsid w:val="00165FD4"/>
    <w:rsid w:val="00166157"/>
    <w:rsid w:val="0016618A"/>
    <w:rsid w:val="00166286"/>
    <w:rsid w:val="001662BC"/>
    <w:rsid w:val="001662EB"/>
    <w:rsid w:val="0016643F"/>
    <w:rsid w:val="001664C2"/>
    <w:rsid w:val="001665A9"/>
    <w:rsid w:val="0016667F"/>
    <w:rsid w:val="001667D1"/>
    <w:rsid w:val="00166876"/>
    <w:rsid w:val="00166C16"/>
    <w:rsid w:val="00166E27"/>
    <w:rsid w:val="001673CE"/>
    <w:rsid w:val="00167688"/>
    <w:rsid w:val="0016772E"/>
    <w:rsid w:val="00167DDE"/>
    <w:rsid w:val="00167E28"/>
    <w:rsid w:val="00167EE0"/>
    <w:rsid w:val="00170107"/>
    <w:rsid w:val="0017043A"/>
    <w:rsid w:val="0017051E"/>
    <w:rsid w:val="00170A5A"/>
    <w:rsid w:val="00170C25"/>
    <w:rsid w:val="00170EBF"/>
    <w:rsid w:val="001711EA"/>
    <w:rsid w:val="00171841"/>
    <w:rsid w:val="00171AB3"/>
    <w:rsid w:val="00171BB7"/>
    <w:rsid w:val="00171CFB"/>
    <w:rsid w:val="0017202E"/>
    <w:rsid w:val="00172075"/>
    <w:rsid w:val="001720C0"/>
    <w:rsid w:val="0017215E"/>
    <w:rsid w:val="00172180"/>
    <w:rsid w:val="00172215"/>
    <w:rsid w:val="00172478"/>
    <w:rsid w:val="0017260E"/>
    <w:rsid w:val="001728F4"/>
    <w:rsid w:val="0017299C"/>
    <w:rsid w:val="00172BC0"/>
    <w:rsid w:val="00172DBE"/>
    <w:rsid w:val="00172FF8"/>
    <w:rsid w:val="001730CA"/>
    <w:rsid w:val="0017315A"/>
    <w:rsid w:val="001731CE"/>
    <w:rsid w:val="00173A12"/>
    <w:rsid w:val="00173AD8"/>
    <w:rsid w:val="00173B46"/>
    <w:rsid w:val="00173E9B"/>
    <w:rsid w:val="001744A6"/>
    <w:rsid w:val="00174595"/>
    <w:rsid w:val="00174657"/>
    <w:rsid w:val="001748B3"/>
    <w:rsid w:val="00174C81"/>
    <w:rsid w:val="00174D75"/>
    <w:rsid w:val="00174DD9"/>
    <w:rsid w:val="001750FF"/>
    <w:rsid w:val="001751C0"/>
    <w:rsid w:val="00175448"/>
    <w:rsid w:val="001756E0"/>
    <w:rsid w:val="00175AFC"/>
    <w:rsid w:val="00175C25"/>
    <w:rsid w:val="00176408"/>
    <w:rsid w:val="0017657D"/>
    <w:rsid w:val="001766CF"/>
    <w:rsid w:val="0017680B"/>
    <w:rsid w:val="00176A44"/>
    <w:rsid w:val="00176BFC"/>
    <w:rsid w:val="00177020"/>
    <w:rsid w:val="001771B1"/>
    <w:rsid w:val="0017768E"/>
    <w:rsid w:val="00177D5F"/>
    <w:rsid w:val="00177ED9"/>
    <w:rsid w:val="00177F2F"/>
    <w:rsid w:val="00177F88"/>
    <w:rsid w:val="00180161"/>
    <w:rsid w:val="0018024D"/>
    <w:rsid w:val="001803F5"/>
    <w:rsid w:val="00180556"/>
    <w:rsid w:val="0018081E"/>
    <w:rsid w:val="00180BF6"/>
    <w:rsid w:val="00180C07"/>
    <w:rsid w:val="00180DFE"/>
    <w:rsid w:val="00181044"/>
    <w:rsid w:val="0018120D"/>
    <w:rsid w:val="00181486"/>
    <w:rsid w:val="0018162E"/>
    <w:rsid w:val="00181A68"/>
    <w:rsid w:val="00181ABA"/>
    <w:rsid w:val="00181BF6"/>
    <w:rsid w:val="00181C1D"/>
    <w:rsid w:val="00181C9C"/>
    <w:rsid w:val="00181CEE"/>
    <w:rsid w:val="00181DF4"/>
    <w:rsid w:val="00182093"/>
    <w:rsid w:val="001822B7"/>
    <w:rsid w:val="001825D4"/>
    <w:rsid w:val="001826E8"/>
    <w:rsid w:val="001827AD"/>
    <w:rsid w:val="001829F0"/>
    <w:rsid w:val="00182DB9"/>
    <w:rsid w:val="00182F93"/>
    <w:rsid w:val="00182FFD"/>
    <w:rsid w:val="001832E5"/>
    <w:rsid w:val="00183360"/>
    <w:rsid w:val="00183849"/>
    <w:rsid w:val="001839D2"/>
    <w:rsid w:val="00183CFF"/>
    <w:rsid w:val="00183DB4"/>
    <w:rsid w:val="00183E52"/>
    <w:rsid w:val="001840CC"/>
    <w:rsid w:val="001849A1"/>
    <w:rsid w:val="00184E09"/>
    <w:rsid w:val="00184F45"/>
    <w:rsid w:val="001851BC"/>
    <w:rsid w:val="001851F9"/>
    <w:rsid w:val="00185B9C"/>
    <w:rsid w:val="00185FC5"/>
    <w:rsid w:val="0018624C"/>
    <w:rsid w:val="00186322"/>
    <w:rsid w:val="00186759"/>
    <w:rsid w:val="0018692D"/>
    <w:rsid w:val="00186CA7"/>
    <w:rsid w:val="0018718A"/>
    <w:rsid w:val="001877F8"/>
    <w:rsid w:val="00187994"/>
    <w:rsid w:val="00187B57"/>
    <w:rsid w:val="00187B93"/>
    <w:rsid w:val="00187CD7"/>
    <w:rsid w:val="00187D12"/>
    <w:rsid w:val="00187EED"/>
    <w:rsid w:val="001901A6"/>
    <w:rsid w:val="0019072B"/>
    <w:rsid w:val="00190AAA"/>
    <w:rsid w:val="00191078"/>
    <w:rsid w:val="0019114B"/>
    <w:rsid w:val="001911FF"/>
    <w:rsid w:val="00191732"/>
    <w:rsid w:val="00191C19"/>
    <w:rsid w:val="00192050"/>
    <w:rsid w:val="001922C6"/>
    <w:rsid w:val="00192778"/>
    <w:rsid w:val="00192B44"/>
    <w:rsid w:val="00192CE0"/>
    <w:rsid w:val="00192DAF"/>
    <w:rsid w:val="00192E8D"/>
    <w:rsid w:val="00192F7D"/>
    <w:rsid w:val="00193427"/>
    <w:rsid w:val="001938D9"/>
    <w:rsid w:val="0019390C"/>
    <w:rsid w:val="00193E53"/>
    <w:rsid w:val="001940C0"/>
    <w:rsid w:val="001944E0"/>
    <w:rsid w:val="0019456B"/>
    <w:rsid w:val="00194892"/>
    <w:rsid w:val="00194D89"/>
    <w:rsid w:val="00195048"/>
    <w:rsid w:val="001950A6"/>
    <w:rsid w:val="0019528D"/>
    <w:rsid w:val="001953B8"/>
    <w:rsid w:val="00195461"/>
    <w:rsid w:val="0019574A"/>
    <w:rsid w:val="001957BB"/>
    <w:rsid w:val="0019598A"/>
    <w:rsid w:val="00195A06"/>
    <w:rsid w:val="001960DE"/>
    <w:rsid w:val="001967D7"/>
    <w:rsid w:val="0019681D"/>
    <w:rsid w:val="00196A5A"/>
    <w:rsid w:val="00196B3D"/>
    <w:rsid w:val="00196BFA"/>
    <w:rsid w:val="00196CAC"/>
    <w:rsid w:val="00196D36"/>
    <w:rsid w:val="00196F4D"/>
    <w:rsid w:val="001970E7"/>
    <w:rsid w:val="0019750C"/>
    <w:rsid w:val="00197578"/>
    <w:rsid w:val="001975E8"/>
    <w:rsid w:val="00197759"/>
    <w:rsid w:val="001977CC"/>
    <w:rsid w:val="0019782F"/>
    <w:rsid w:val="00197880"/>
    <w:rsid w:val="001978D0"/>
    <w:rsid w:val="00197AF3"/>
    <w:rsid w:val="00197B96"/>
    <w:rsid w:val="00197D99"/>
    <w:rsid w:val="00197E50"/>
    <w:rsid w:val="00197FFC"/>
    <w:rsid w:val="001A039C"/>
    <w:rsid w:val="001A0568"/>
    <w:rsid w:val="001A056D"/>
    <w:rsid w:val="001A0AAE"/>
    <w:rsid w:val="001A0C63"/>
    <w:rsid w:val="001A0D81"/>
    <w:rsid w:val="001A0DBB"/>
    <w:rsid w:val="001A0E4E"/>
    <w:rsid w:val="001A1647"/>
    <w:rsid w:val="001A1B2A"/>
    <w:rsid w:val="001A1D1D"/>
    <w:rsid w:val="001A1DA8"/>
    <w:rsid w:val="001A2020"/>
    <w:rsid w:val="001A2139"/>
    <w:rsid w:val="001A278E"/>
    <w:rsid w:val="001A2874"/>
    <w:rsid w:val="001A2AD2"/>
    <w:rsid w:val="001A2DE6"/>
    <w:rsid w:val="001A2F2D"/>
    <w:rsid w:val="001A309F"/>
    <w:rsid w:val="001A3745"/>
    <w:rsid w:val="001A39DF"/>
    <w:rsid w:val="001A3A13"/>
    <w:rsid w:val="001A3B93"/>
    <w:rsid w:val="001A4884"/>
    <w:rsid w:val="001A4C73"/>
    <w:rsid w:val="001A4E37"/>
    <w:rsid w:val="001A4F79"/>
    <w:rsid w:val="001A5048"/>
    <w:rsid w:val="001A51C1"/>
    <w:rsid w:val="001A5350"/>
    <w:rsid w:val="001A54BF"/>
    <w:rsid w:val="001A559D"/>
    <w:rsid w:val="001A57E8"/>
    <w:rsid w:val="001A595D"/>
    <w:rsid w:val="001A5980"/>
    <w:rsid w:val="001A5ECE"/>
    <w:rsid w:val="001A65F7"/>
    <w:rsid w:val="001A6932"/>
    <w:rsid w:val="001A69EF"/>
    <w:rsid w:val="001A6ACA"/>
    <w:rsid w:val="001A6D46"/>
    <w:rsid w:val="001A6FF2"/>
    <w:rsid w:val="001A77B0"/>
    <w:rsid w:val="001A77E6"/>
    <w:rsid w:val="001A7849"/>
    <w:rsid w:val="001A7D44"/>
    <w:rsid w:val="001A7F0D"/>
    <w:rsid w:val="001B00A7"/>
    <w:rsid w:val="001B023E"/>
    <w:rsid w:val="001B0318"/>
    <w:rsid w:val="001B0397"/>
    <w:rsid w:val="001B0470"/>
    <w:rsid w:val="001B09DB"/>
    <w:rsid w:val="001B0B63"/>
    <w:rsid w:val="001B0B90"/>
    <w:rsid w:val="001B0BF7"/>
    <w:rsid w:val="001B0FAD"/>
    <w:rsid w:val="001B141A"/>
    <w:rsid w:val="001B14BA"/>
    <w:rsid w:val="001B1660"/>
    <w:rsid w:val="001B17AA"/>
    <w:rsid w:val="001B18D6"/>
    <w:rsid w:val="001B1BF1"/>
    <w:rsid w:val="001B1D96"/>
    <w:rsid w:val="001B247F"/>
    <w:rsid w:val="001B268A"/>
    <w:rsid w:val="001B27D3"/>
    <w:rsid w:val="001B29FA"/>
    <w:rsid w:val="001B3047"/>
    <w:rsid w:val="001B308D"/>
    <w:rsid w:val="001B349F"/>
    <w:rsid w:val="001B34E8"/>
    <w:rsid w:val="001B3948"/>
    <w:rsid w:val="001B3A19"/>
    <w:rsid w:val="001B3B8D"/>
    <w:rsid w:val="001B3DDD"/>
    <w:rsid w:val="001B3E3F"/>
    <w:rsid w:val="001B3EFB"/>
    <w:rsid w:val="001B42A9"/>
    <w:rsid w:val="001B449C"/>
    <w:rsid w:val="001B4597"/>
    <w:rsid w:val="001B47A8"/>
    <w:rsid w:val="001B48DF"/>
    <w:rsid w:val="001B492A"/>
    <w:rsid w:val="001B4C99"/>
    <w:rsid w:val="001B4E47"/>
    <w:rsid w:val="001B5032"/>
    <w:rsid w:val="001B5518"/>
    <w:rsid w:val="001B56EF"/>
    <w:rsid w:val="001B5BE5"/>
    <w:rsid w:val="001B5D69"/>
    <w:rsid w:val="001B5D81"/>
    <w:rsid w:val="001B617F"/>
    <w:rsid w:val="001B6B09"/>
    <w:rsid w:val="001B6B55"/>
    <w:rsid w:val="001B6CEC"/>
    <w:rsid w:val="001B6D26"/>
    <w:rsid w:val="001B6E0F"/>
    <w:rsid w:val="001B716C"/>
    <w:rsid w:val="001B752F"/>
    <w:rsid w:val="001B75A8"/>
    <w:rsid w:val="001B78A5"/>
    <w:rsid w:val="001B7AF6"/>
    <w:rsid w:val="001B7BF2"/>
    <w:rsid w:val="001B7C3E"/>
    <w:rsid w:val="001B7EAC"/>
    <w:rsid w:val="001C087D"/>
    <w:rsid w:val="001C0898"/>
    <w:rsid w:val="001C0985"/>
    <w:rsid w:val="001C0B31"/>
    <w:rsid w:val="001C0BF4"/>
    <w:rsid w:val="001C0D9B"/>
    <w:rsid w:val="001C0DE8"/>
    <w:rsid w:val="001C0EBB"/>
    <w:rsid w:val="001C11F9"/>
    <w:rsid w:val="001C1EED"/>
    <w:rsid w:val="001C1F63"/>
    <w:rsid w:val="001C20E9"/>
    <w:rsid w:val="001C2587"/>
    <w:rsid w:val="001C2731"/>
    <w:rsid w:val="001C277E"/>
    <w:rsid w:val="001C28EF"/>
    <w:rsid w:val="001C2981"/>
    <w:rsid w:val="001C2C31"/>
    <w:rsid w:val="001C3087"/>
    <w:rsid w:val="001C3233"/>
    <w:rsid w:val="001C3400"/>
    <w:rsid w:val="001C371C"/>
    <w:rsid w:val="001C3843"/>
    <w:rsid w:val="001C388C"/>
    <w:rsid w:val="001C3A57"/>
    <w:rsid w:val="001C3A83"/>
    <w:rsid w:val="001C3E3E"/>
    <w:rsid w:val="001C3FB0"/>
    <w:rsid w:val="001C41E5"/>
    <w:rsid w:val="001C45B0"/>
    <w:rsid w:val="001C47A4"/>
    <w:rsid w:val="001C4966"/>
    <w:rsid w:val="001C4A96"/>
    <w:rsid w:val="001C4B7A"/>
    <w:rsid w:val="001C4EC6"/>
    <w:rsid w:val="001C4F7C"/>
    <w:rsid w:val="001C549A"/>
    <w:rsid w:val="001C574E"/>
    <w:rsid w:val="001C5DEA"/>
    <w:rsid w:val="001C653B"/>
    <w:rsid w:val="001C685F"/>
    <w:rsid w:val="001C6B22"/>
    <w:rsid w:val="001C6BAA"/>
    <w:rsid w:val="001C6C29"/>
    <w:rsid w:val="001C6DD0"/>
    <w:rsid w:val="001C7281"/>
    <w:rsid w:val="001C736F"/>
    <w:rsid w:val="001C74BD"/>
    <w:rsid w:val="001C7895"/>
    <w:rsid w:val="001C79E6"/>
    <w:rsid w:val="001C7CC7"/>
    <w:rsid w:val="001C7DE7"/>
    <w:rsid w:val="001D02A1"/>
    <w:rsid w:val="001D030F"/>
    <w:rsid w:val="001D04DA"/>
    <w:rsid w:val="001D05D1"/>
    <w:rsid w:val="001D0775"/>
    <w:rsid w:val="001D0792"/>
    <w:rsid w:val="001D088C"/>
    <w:rsid w:val="001D096C"/>
    <w:rsid w:val="001D09BC"/>
    <w:rsid w:val="001D1135"/>
    <w:rsid w:val="001D1145"/>
    <w:rsid w:val="001D1207"/>
    <w:rsid w:val="001D1476"/>
    <w:rsid w:val="001D1801"/>
    <w:rsid w:val="001D1ABC"/>
    <w:rsid w:val="001D1E22"/>
    <w:rsid w:val="001D1EF2"/>
    <w:rsid w:val="001D1F80"/>
    <w:rsid w:val="001D258B"/>
    <w:rsid w:val="001D27A0"/>
    <w:rsid w:val="001D2960"/>
    <w:rsid w:val="001D2A50"/>
    <w:rsid w:val="001D2A73"/>
    <w:rsid w:val="001D2AA3"/>
    <w:rsid w:val="001D3026"/>
    <w:rsid w:val="001D346D"/>
    <w:rsid w:val="001D353E"/>
    <w:rsid w:val="001D36CB"/>
    <w:rsid w:val="001D36F3"/>
    <w:rsid w:val="001D3E7A"/>
    <w:rsid w:val="001D44CC"/>
    <w:rsid w:val="001D4532"/>
    <w:rsid w:val="001D4683"/>
    <w:rsid w:val="001D4B09"/>
    <w:rsid w:val="001D4B3D"/>
    <w:rsid w:val="001D4C93"/>
    <w:rsid w:val="001D4F61"/>
    <w:rsid w:val="001D4F73"/>
    <w:rsid w:val="001D50B9"/>
    <w:rsid w:val="001D5284"/>
    <w:rsid w:val="001D55EB"/>
    <w:rsid w:val="001D5AED"/>
    <w:rsid w:val="001D5DC8"/>
    <w:rsid w:val="001D6232"/>
    <w:rsid w:val="001D623B"/>
    <w:rsid w:val="001D641B"/>
    <w:rsid w:val="001D6594"/>
    <w:rsid w:val="001D691F"/>
    <w:rsid w:val="001D6A81"/>
    <w:rsid w:val="001D6FA9"/>
    <w:rsid w:val="001D72E5"/>
    <w:rsid w:val="001D7593"/>
    <w:rsid w:val="001D75D7"/>
    <w:rsid w:val="001D7AEA"/>
    <w:rsid w:val="001D7D9D"/>
    <w:rsid w:val="001D7E01"/>
    <w:rsid w:val="001E042C"/>
    <w:rsid w:val="001E04A6"/>
    <w:rsid w:val="001E0622"/>
    <w:rsid w:val="001E0D02"/>
    <w:rsid w:val="001E0D9A"/>
    <w:rsid w:val="001E0E5D"/>
    <w:rsid w:val="001E1437"/>
    <w:rsid w:val="001E14C5"/>
    <w:rsid w:val="001E1611"/>
    <w:rsid w:val="001E1D09"/>
    <w:rsid w:val="001E1F19"/>
    <w:rsid w:val="001E2040"/>
    <w:rsid w:val="001E2299"/>
    <w:rsid w:val="001E2678"/>
    <w:rsid w:val="001E2710"/>
    <w:rsid w:val="001E28B0"/>
    <w:rsid w:val="001E2B08"/>
    <w:rsid w:val="001E2B15"/>
    <w:rsid w:val="001E2C46"/>
    <w:rsid w:val="001E30AA"/>
    <w:rsid w:val="001E316C"/>
    <w:rsid w:val="001E3480"/>
    <w:rsid w:val="001E3554"/>
    <w:rsid w:val="001E37C8"/>
    <w:rsid w:val="001E3849"/>
    <w:rsid w:val="001E3FF4"/>
    <w:rsid w:val="001E44B6"/>
    <w:rsid w:val="001E4593"/>
    <w:rsid w:val="001E4747"/>
    <w:rsid w:val="001E496C"/>
    <w:rsid w:val="001E49A2"/>
    <w:rsid w:val="001E4A67"/>
    <w:rsid w:val="001E4B55"/>
    <w:rsid w:val="001E5163"/>
    <w:rsid w:val="001E568F"/>
    <w:rsid w:val="001E5714"/>
    <w:rsid w:val="001E59AD"/>
    <w:rsid w:val="001E5C6C"/>
    <w:rsid w:val="001E5DC0"/>
    <w:rsid w:val="001E6289"/>
    <w:rsid w:val="001E65BA"/>
    <w:rsid w:val="001E6708"/>
    <w:rsid w:val="001E68AF"/>
    <w:rsid w:val="001E6968"/>
    <w:rsid w:val="001E6978"/>
    <w:rsid w:val="001E6A54"/>
    <w:rsid w:val="001E6B5F"/>
    <w:rsid w:val="001E6C9F"/>
    <w:rsid w:val="001E73EE"/>
    <w:rsid w:val="001E7571"/>
    <w:rsid w:val="001E759A"/>
    <w:rsid w:val="001E774C"/>
    <w:rsid w:val="001E7994"/>
    <w:rsid w:val="001E7AC9"/>
    <w:rsid w:val="001F060D"/>
    <w:rsid w:val="001F0B74"/>
    <w:rsid w:val="001F0CE7"/>
    <w:rsid w:val="001F0D11"/>
    <w:rsid w:val="001F138D"/>
    <w:rsid w:val="001F14DC"/>
    <w:rsid w:val="001F164D"/>
    <w:rsid w:val="001F1650"/>
    <w:rsid w:val="001F17EE"/>
    <w:rsid w:val="001F186C"/>
    <w:rsid w:val="001F19CA"/>
    <w:rsid w:val="001F1C8E"/>
    <w:rsid w:val="001F1EC2"/>
    <w:rsid w:val="001F1F5F"/>
    <w:rsid w:val="001F2172"/>
    <w:rsid w:val="001F21A0"/>
    <w:rsid w:val="001F21F4"/>
    <w:rsid w:val="001F23A3"/>
    <w:rsid w:val="001F24F0"/>
    <w:rsid w:val="001F24F8"/>
    <w:rsid w:val="001F262C"/>
    <w:rsid w:val="001F2738"/>
    <w:rsid w:val="001F288E"/>
    <w:rsid w:val="001F2F26"/>
    <w:rsid w:val="001F30A4"/>
    <w:rsid w:val="001F345C"/>
    <w:rsid w:val="001F3609"/>
    <w:rsid w:val="001F3638"/>
    <w:rsid w:val="001F36D4"/>
    <w:rsid w:val="001F36DD"/>
    <w:rsid w:val="001F3A79"/>
    <w:rsid w:val="001F3C8B"/>
    <w:rsid w:val="001F3D3A"/>
    <w:rsid w:val="001F3E54"/>
    <w:rsid w:val="001F45C1"/>
    <w:rsid w:val="001F4935"/>
    <w:rsid w:val="001F498E"/>
    <w:rsid w:val="001F4A96"/>
    <w:rsid w:val="001F4AB3"/>
    <w:rsid w:val="001F4AC9"/>
    <w:rsid w:val="001F4E8B"/>
    <w:rsid w:val="001F4F63"/>
    <w:rsid w:val="001F522E"/>
    <w:rsid w:val="001F52CB"/>
    <w:rsid w:val="001F5494"/>
    <w:rsid w:val="001F5705"/>
    <w:rsid w:val="001F5840"/>
    <w:rsid w:val="001F5A6A"/>
    <w:rsid w:val="001F5AA5"/>
    <w:rsid w:val="001F5AD9"/>
    <w:rsid w:val="001F5CD5"/>
    <w:rsid w:val="001F6008"/>
    <w:rsid w:val="001F614E"/>
    <w:rsid w:val="001F62C4"/>
    <w:rsid w:val="001F63A4"/>
    <w:rsid w:val="001F6521"/>
    <w:rsid w:val="001F663E"/>
    <w:rsid w:val="001F6AC6"/>
    <w:rsid w:val="001F700F"/>
    <w:rsid w:val="001F70F8"/>
    <w:rsid w:val="001F73E0"/>
    <w:rsid w:val="001F7504"/>
    <w:rsid w:val="001F761E"/>
    <w:rsid w:val="001F7B13"/>
    <w:rsid w:val="001F7E77"/>
    <w:rsid w:val="0020020E"/>
    <w:rsid w:val="00200264"/>
    <w:rsid w:val="002005B4"/>
    <w:rsid w:val="002005B5"/>
    <w:rsid w:val="002005D8"/>
    <w:rsid w:val="00200865"/>
    <w:rsid w:val="00200F1E"/>
    <w:rsid w:val="00201608"/>
    <w:rsid w:val="00202492"/>
    <w:rsid w:val="0020291D"/>
    <w:rsid w:val="00202BA4"/>
    <w:rsid w:val="00202C15"/>
    <w:rsid w:val="00202EFB"/>
    <w:rsid w:val="00203434"/>
    <w:rsid w:val="0020348B"/>
    <w:rsid w:val="0020369C"/>
    <w:rsid w:val="00203B3D"/>
    <w:rsid w:val="00203B4F"/>
    <w:rsid w:val="00203BDD"/>
    <w:rsid w:val="00203EA3"/>
    <w:rsid w:val="00203FC3"/>
    <w:rsid w:val="002042AF"/>
    <w:rsid w:val="002046EA"/>
    <w:rsid w:val="002049A9"/>
    <w:rsid w:val="00204CAF"/>
    <w:rsid w:val="00204CC9"/>
    <w:rsid w:val="00204DD4"/>
    <w:rsid w:val="00204DE7"/>
    <w:rsid w:val="0020507D"/>
    <w:rsid w:val="002051F4"/>
    <w:rsid w:val="00205259"/>
    <w:rsid w:val="0020551A"/>
    <w:rsid w:val="00205993"/>
    <w:rsid w:val="00205ADF"/>
    <w:rsid w:val="00205CD8"/>
    <w:rsid w:val="00205CF6"/>
    <w:rsid w:val="002060D3"/>
    <w:rsid w:val="00206128"/>
    <w:rsid w:val="002061B8"/>
    <w:rsid w:val="002064A2"/>
    <w:rsid w:val="00206945"/>
    <w:rsid w:val="00206957"/>
    <w:rsid w:val="00206C03"/>
    <w:rsid w:val="00207100"/>
    <w:rsid w:val="00207293"/>
    <w:rsid w:val="002074B0"/>
    <w:rsid w:val="002077AD"/>
    <w:rsid w:val="00207B66"/>
    <w:rsid w:val="00207C11"/>
    <w:rsid w:val="00207EB6"/>
    <w:rsid w:val="0021013C"/>
    <w:rsid w:val="00210195"/>
    <w:rsid w:val="002101BD"/>
    <w:rsid w:val="002101E2"/>
    <w:rsid w:val="00210354"/>
    <w:rsid w:val="002103DA"/>
    <w:rsid w:val="00210E14"/>
    <w:rsid w:val="0021119A"/>
    <w:rsid w:val="002114F1"/>
    <w:rsid w:val="0021155F"/>
    <w:rsid w:val="00211D01"/>
    <w:rsid w:val="00211D78"/>
    <w:rsid w:val="002122F8"/>
    <w:rsid w:val="002128A7"/>
    <w:rsid w:val="002128CE"/>
    <w:rsid w:val="002129B3"/>
    <w:rsid w:val="00212F36"/>
    <w:rsid w:val="00213077"/>
    <w:rsid w:val="002136BD"/>
    <w:rsid w:val="00213881"/>
    <w:rsid w:val="002139A8"/>
    <w:rsid w:val="00213F9C"/>
    <w:rsid w:val="002140C1"/>
    <w:rsid w:val="00214271"/>
    <w:rsid w:val="002143B4"/>
    <w:rsid w:val="002143C9"/>
    <w:rsid w:val="00214AD5"/>
    <w:rsid w:val="0021541A"/>
    <w:rsid w:val="00215792"/>
    <w:rsid w:val="002158B8"/>
    <w:rsid w:val="002158CF"/>
    <w:rsid w:val="0021596A"/>
    <w:rsid w:val="00215BD8"/>
    <w:rsid w:val="00215C8D"/>
    <w:rsid w:val="00216265"/>
    <w:rsid w:val="0021647C"/>
    <w:rsid w:val="0021649D"/>
    <w:rsid w:val="002167EA"/>
    <w:rsid w:val="00216B36"/>
    <w:rsid w:val="00216E3B"/>
    <w:rsid w:val="00216E8D"/>
    <w:rsid w:val="00216EAA"/>
    <w:rsid w:val="002172F6"/>
    <w:rsid w:val="0021736E"/>
    <w:rsid w:val="002173AE"/>
    <w:rsid w:val="00217414"/>
    <w:rsid w:val="002175D8"/>
    <w:rsid w:val="00217724"/>
    <w:rsid w:val="0021782A"/>
    <w:rsid w:val="00217A33"/>
    <w:rsid w:val="00217C60"/>
    <w:rsid w:val="0022009F"/>
    <w:rsid w:val="0022013F"/>
    <w:rsid w:val="002208B6"/>
    <w:rsid w:val="00220A51"/>
    <w:rsid w:val="00220B60"/>
    <w:rsid w:val="00220D97"/>
    <w:rsid w:val="00220EF4"/>
    <w:rsid w:val="00220FF3"/>
    <w:rsid w:val="00221049"/>
    <w:rsid w:val="00221580"/>
    <w:rsid w:val="002215D2"/>
    <w:rsid w:val="00221B57"/>
    <w:rsid w:val="002220DD"/>
    <w:rsid w:val="00222199"/>
    <w:rsid w:val="00222514"/>
    <w:rsid w:val="00222528"/>
    <w:rsid w:val="002227B5"/>
    <w:rsid w:val="0022281C"/>
    <w:rsid w:val="002228CF"/>
    <w:rsid w:val="00222C07"/>
    <w:rsid w:val="00222F17"/>
    <w:rsid w:val="002234ED"/>
    <w:rsid w:val="002236AA"/>
    <w:rsid w:val="002239FF"/>
    <w:rsid w:val="00223C32"/>
    <w:rsid w:val="00223D7A"/>
    <w:rsid w:val="00223FA5"/>
    <w:rsid w:val="00223FFB"/>
    <w:rsid w:val="0022417B"/>
    <w:rsid w:val="00224421"/>
    <w:rsid w:val="0022449D"/>
    <w:rsid w:val="002245E7"/>
    <w:rsid w:val="00224BFD"/>
    <w:rsid w:val="00224BFE"/>
    <w:rsid w:val="00224ECF"/>
    <w:rsid w:val="002254A9"/>
    <w:rsid w:val="002258F2"/>
    <w:rsid w:val="00225A2B"/>
    <w:rsid w:val="00225C6A"/>
    <w:rsid w:val="00225CD2"/>
    <w:rsid w:val="00225DE3"/>
    <w:rsid w:val="00225E0F"/>
    <w:rsid w:val="002260E7"/>
    <w:rsid w:val="00226235"/>
    <w:rsid w:val="0022636A"/>
    <w:rsid w:val="002264B5"/>
    <w:rsid w:val="00226528"/>
    <w:rsid w:val="00226A33"/>
    <w:rsid w:val="00226C05"/>
    <w:rsid w:val="00226F1F"/>
    <w:rsid w:val="0022744D"/>
    <w:rsid w:val="002277FF"/>
    <w:rsid w:val="002278BD"/>
    <w:rsid w:val="00227DBD"/>
    <w:rsid w:val="00227DF9"/>
    <w:rsid w:val="00230130"/>
    <w:rsid w:val="002307E6"/>
    <w:rsid w:val="00230A1D"/>
    <w:rsid w:val="00230DEC"/>
    <w:rsid w:val="002311CB"/>
    <w:rsid w:val="002315B8"/>
    <w:rsid w:val="002317CF"/>
    <w:rsid w:val="00231815"/>
    <w:rsid w:val="002319F3"/>
    <w:rsid w:val="00231A66"/>
    <w:rsid w:val="00231B25"/>
    <w:rsid w:val="00231BC8"/>
    <w:rsid w:val="00231C4E"/>
    <w:rsid w:val="00231CDD"/>
    <w:rsid w:val="00231E48"/>
    <w:rsid w:val="00232402"/>
    <w:rsid w:val="0023241F"/>
    <w:rsid w:val="0023243B"/>
    <w:rsid w:val="00232531"/>
    <w:rsid w:val="00232533"/>
    <w:rsid w:val="00232B47"/>
    <w:rsid w:val="00232C9D"/>
    <w:rsid w:val="00232DBA"/>
    <w:rsid w:val="00232E35"/>
    <w:rsid w:val="00232E81"/>
    <w:rsid w:val="0023360F"/>
    <w:rsid w:val="0023393B"/>
    <w:rsid w:val="00233964"/>
    <w:rsid w:val="00233AE2"/>
    <w:rsid w:val="00233B46"/>
    <w:rsid w:val="00233E1F"/>
    <w:rsid w:val="002344C4"/>
    <w:rsid w:val="002344F5"/>
    <w:rsid w:val="00234622"/>
    <w:rsid w:val="00234707"/>
    <w:rsid w:val="00234C1E"/>
    <w:rsid w:val="00234CB3"/>
    <w:rsid w:val="00234D37"/>
    <w:rsid w:val="00234DB5"/>
    <w:rsid w:val="00234DDC"/>
    <w:rsid w:val="00234EB3"/>
    <w:rsid w:val="0023562C"/>
    <w:rsid w:val="002359D7"/>
    <w:rsid w:val="002360BC"/>
    <w:rsid w:val="00236194"/>
    <w:rsid w:val="0023621C"/>
    <w:rsid w:val="002362B2"/>
    <w:rsid w:val="00236459"/>
    <w:rsid w:val="002366C9"/>
    <w:rsid w:val="0023670D"/>
    <w:rsid w:val="00236935"/>
    <w:rsid w:val="00236A37"/>
    <w:rsid w:val="00236BC1"/>
    <w:rsid w:val="00236E13"/>
    <w:rsid w:val="00236E95"/>
    <w:rsid w:val="00236EDC"/>
    <w:rsid w:val="00236F27"/>
    <w:rsid w:val="00236F71"/>
    <w:rsid w:val="002372AE"/>
    <w:rsid w:val="002375C1"/>
    <w:rsid w:val="00237764"/>
    <w:rsid w:val="00237E0F"/>
    <w:rsid w:val="00240059"/>
    <w:rsid w:val="00240201"/>
    <w:rsid w:val="0024021F"/>
    <w:rsid w:val="002405D0"/>
    <w:rsid w:val="002408E1"/>
    <w:rsid w:val="002409F6"/>
    <w:rsid w:val="00240C0D"/>
    <w:rsid w:val="00241142"/>
    <w:rsid w:val="002412B1"/>
    <w:rsid w:val="002418FF"/>
    <w:rsid w:val="00241D34"/>
    <w:rsid w:val="00241F44"/>
    <w:rsid w:val="00242292"/>
    <w:rsid w:val="0024295C"/>
    <w:rsid w:val="00242A7B"/>
    <w:rsid w:val="00242C6E"/>
    <w:rsid w:val="00242CE3"/>
    <w:rsid w:val="00242E3D"/>
    <w:rsid w:val="00242EDB"/>
    <w:rsid w:val="00242F49"/>
    <w:rsid w:val="00242F77"/>
    <w:rsid w:val="00243061"/>
    <w:rsid w:val="00243216"/>
    <w:rsid w:val="002433DF"/>
    <w:rsid w:val="00243412"/>
    <w:rsid w:val="002434EA"/>
    <w:rsid w:val="002437A8"/>
    <w:rsid w:val="0024396C"/>
    <w:rsid w:val="00243EC1"/>
    <w:rsid w:val="00243F4D"/>
    <w:rsid w:val="002444FB"/>
    <w:rsid w:val="00244659"/>
    <w:rsid w:val="00245370"/>
    <w:rsid w:val="0024556F"/>
    <w:rsid w:val="00245CE6"/>
    <w:rsid w:val="00245D37"/>
    <w:rsid w:val="00246637"/>
    <w:rsid w:val="00246703"/>
    <w:rsid w:val="0024683D"/>
    <w:rsid w:val="002469AA"/>
    <w:rsid w:val="00246FF0"/>
    <w:rsid w:val="0024708E"/>
    <w:rsid w:val="00247309"/>
    <w:rsid w:val="0024754B"/>
    <w:rsid w:val="002476DE"/>
    <w:rsid w:val="002477BE"/>
    <w:rsid w:val="0024796E"/>
    <w:rsid w:val="00247985"/>
    <w:rsid w:val="002479F7"/>
    <w:rsid w:val="00247E8A"/>
    <w:rsid w:val="00247ED7"/>
    <w:rsid w:val="00247EF0"/>
    <w:rsid w:val="002500BA"/>
    <w:rsid w:val="00250135"/>
    <w:rsid w:val="00250144"/>
    <w:rsid w:val="00250340"/>
    <w:rsid w:val="002503BF"/>
    <w:rsid w:val="002504DD"/>
    <w:rsid w:val="002505FC"/>
    <w:rsid w:val="00250781"/>
    <w:rsid w:val="0025096D"/>
    <w:rsid w:val="0025097A"/>
    <w:rsid w:val="00250F3A"/>
    <w:rsid w:val="00251091"/>
    <w:rsid w:val="002510FA"/>
    <w:rsid w:val="0025149A"/>
    <w:rsid w:val="0025197D"/>
    <w:rsid w:val="00251A11"/>
    <w:rsid w:val="00251A2B"/>
    <w:rsid w:val="00251A5A"/>
    <w:rsid w:val="00251A6C"/>
    <w:rsid w:val="00251A83"/>
    <w:rsid w:val="00251B3D"/>
    <w:rsid w:val="00251B4D"/>
    <w:rsid w:val="00251CDA"/>
    <w:rsid w:val="00252171"/>
    <w:rsid w:val="002524CC"/>
    <w:rsid w:val="00252872"/>
    <w:rsid w:val="00252A14"/>
    <w:rsid w:val="00252ADC"/>
    <w:rsid w:val="00252B33"/>
    <w:rsid w:val="00252DC4"/>
    <w:rsid w:val="00252F10"/>
    <w:rsid w:val="0025326F"/>
    <w:rsid w:val="00253338"/>
    <w:rsid w:val="002533AA"/>
    <w:rsid w:val="002534F5"/>
    <w:rsid w:val="00253523"/>
    <w:rsid w:val="00253541"/>
    <w:rsid w:val="00253594"/>
    <w:rsid w:val="00253713"/>
    <w:rsid w:val="0025390F"/>
    <w:rsid w:val="00253E7F"/>
    <w:rsid w:val="0025409D"/>
    <w:rsid w:val="00254D0D"/>
    <w:rsid w:val="00255056"/>
    <w:rsid w:val="0025526E"/>
    <w:rsid w:val="002552C3"/>
    <w:rsid w:val="00255881"/>
    <w:rsid w:val="00255B30"/>
    <w:rsid w:val="00255B6F"/>
    <w:rsid w:val="00255FBE"/>
    <w:rsid w:val="002563E2"/>
    <w:rsid w:val="0025658A"/>
    <w:rsid w:val="002565A0"/>
    <w:rsid w:val="0025678C"/>
    <w:rsid w:val="0025700B"/>
    <w:rsid w:val="002575D2"/>
    <w:rsid w:val="0025766C"/>
    <w:rsid w:val="002579D3"/>
    <w:rsid w:val="00257D43"/>
    <w:rsid w:val="0026001F"/>
    <w:rsid w:val="002600D6"/>
    <w:rsid w:val="00260761"/>
    <w:rsid w:val="00260B32"/>
    <w:rsid w:val="00260DAD"/>
    <w:rsid w:val="00260E8F"/>
    <w:rsid w:val="00261726"/>
    <w:rsid w:val="00261773"/>
    <w:rsid w:val="002617E5"/>
    <w:rsid w:val="002619BA"/>
    <w:rsid w:val="00261A80"/>
    <w:rsid w:val="00261B53"/>
    <w:rsid w:val="00261B74"/>
    <w:rsid w:val="00262074"/>
    <w:rsid w:val="002623FB"/>
    <w:rsid w:val="00262920"/>
    <w:rsid w:val="002629A5"/>
    <w:rsid w:val="00262A9E"/>
    <w:rsid w:val="00262AA0"/>
    <w:rsid w:val="00262E5C"/>
    <w:rsid w:val="00262F72"/>
    <w:rsid w:val="00263129"/>
    <w:rsid w:val="002632B7"/>
    <w:rsid w:val="002633E0"/>
    <w:rsid w:val="002636B8"/>
    <w:rsid w:val="002637CD"/>
    <w:rsid w:val="00263937"/>
    <w:rsid w:val="00263A29"/>
    <w:rsid w:val="00263A90"/>
    <w:rsid w:val="002641F2"/>
    <w:rsid w:val="0026422C"/>
    <w:rsid w:val="002643EF"/>
    <w:rsid w:val="00264690"/>
    <w:rsid w:val="00264AAD"/>
    <w:rsid w:val="00264B98"/>
    <w:rsid w:val="00264C3C"/>
    <w:rsid w:val="00264D14"/>
    <w:rsid w:val="00264D54"/>
    <w:rsid w:val="00264DFE"/>
    <w:rsid w:val="00265359"/>
    <w:rsid w:val="002659F4"/>
    <w:rsid w:val="0026643F"/>
    <w:rsid w:val="00266F0C"/>
    <w:rsid w:val="00267582"/>
    <w:rsid w:val="00267804"/>
    <w:rsid w:val="00267988"/>
    <w:rsid w:val="00267B26"/>
    <w:rsid w:val="00267B4D"/>
    <w:rsid w:val="00267B79"/>
    <w:rsid w:val="00267BB2"/>
    <w:rsid w:val="00267C69"/>
    <w:rsid w:val="00267D42"/>
    <w:rsid w:val="0027004B"/>
    <w:rsid w:val="0027071B"/>
    <w:rsid w:val="00270C78"/>
    <w:rsid w:val="00270EFB"/>
    <w:rsid w:val="00270F09"/>
    <w:rsid w:val="00271034"/>
    <w:rsid w:val="002710F9"/>
    <w:rsid w:val="00271560"/>
    <w:rsid w:val="0027160D"/>
    <w:rsid w:val="00271DF8"/>
    <w:rsid w:val="00271EDF"/>
    <w:rsid w:val="00271FCA"/>
    <w:rsid w:val="0027201A"/>
    <w:rsid w:val="00272314"/>
    <w:rsid w:val="0027237D"/>
    <w:rsid w:val="00272392"/>
    <w:rsid w:val="002726D3"/>
    <w:rsid w:val="00272867"/>
    <w:rsid w:val="00272C6E"/>
    <w:rsid w:val="00272F18"/>
    <w:rsid w:val="00272FB1"/>
    <w:rsid w:val="00273084"/>
    <w:rsid w:val="002731C9"/>
    <w:rsid w:val="002731F1"/>
    <w:rsid w:val="002733FB"/>
    <w:rsid w:val="0027354E"/>
    <w:rsid w:val="0027388F"/>
    <w:rsid w:val="00273CE5"/>
    <w:rsid w:val="00273F4F"/>
    <w:rsid w:val="00274271"/>
    <w:rsid w:val="002743B2"/>
    <w:rsid w:val="00274886"/>
    <w:rsid w:val="002748D3"/>
    <w:rsid w:val="00274B71"/>
    <w:rsid w:val="00274DF3"/>
    <w:rsid w:val="00274E9E"/>
    <w:rsid w:val="00274F30"/>
    <w:rsid w:val="00274FBA"/>
    <w:rsid w:val="002756B9"/>
    <w:rsid w:val="002757DD"/>
    <w:rsid w:val="00275BB6"/>
    <w:rsid w:val="00275C3E"/>
    <w:rsid w:val="00275CD5"/>
    <w:rsid w:val="002763DB"/>
    <w:rsid w:val="00276539"/>
    <w:rsid w:val="0027679B"/>
    <w:rsid w:val="00276854"/>
    <w:rsid w:val="00276B35"/>
    <w:rsid w:val="00276B5E"/>
    <w:rsid w:val="00276C17"/>
    <w:rsid w:val="00276CB5"/>
    <w:rsid w:val="00276EE2"/>
    <w:rsid w:val="002777A2"/>
    <w:rsid w:val="00277BDB"/>
    <w:rsid w:val="00277D77"/>
    <w:rsid w:val="0028035F"/>
    <w:rsid w:val="002804BB"/>
    <w:rsid w:val="002804EC"/>
    <w:rsid w:val="00280B74"/>
    <w:rsid w:val="00280D54"/>
    <w:rsid w:val="00280D82"/>
    <w:rsid w:val="00280DD8"/>
    <w:rsid w:val="0028102D"/>
    <w:rsid w:val="002815A3"/>
    <w:rsid w:val="002815F4"/>
    <w:rsid w:val="002815F6"/>
    <w:rsid w:val="00281C88"/>
    <w:rsid w:val="00282364"/>
    <w:rsid w:val="002823BC"/>
    <w:rsid w:val="002824DD"/>
    <w:rsid w:val="00282631"/>
    <w:rsid w:val="00282DCD"/>
    <w:rsid w:val="00282EFF"/>
    <w:rsid w:val="00283163"/>
    <w:rsid w:val="00283251"/>
    <w:rsid w:val="0028364D"/>
    <w:rsid w:val="00283664"/>
    <w:rsid w:val="002836F1"/>
    <w:rsid w:val="00283C5F"/>
    <w:rsid w:val="002841FA"/>
    <w:rsid w:val="002843A6"/>
    <w:rsid w:val="00284738"/>
    <w:rsid w:val="002847BB"/>
    <w:rsid w:val="00284B7E"/>
    <w:rsid w:val="00284CBF"/>
    <w:rsid w:val="00284CCF"/>
    <w:rsid w:val="00285074"/>
    <w:rsid w:val="00285140"/>
    <w:rsid w:val="0028550D"/>
    <w:rsid w:val="00285519"/>
    <w:rsid w:val="00285662"/>
    <w:rsid w:val="00285961"/>
    <w:rsid w:val="00285C10"/>
    <w:rsid w:val="00285C4C"/>
    <w:rsid w:val="00285E0B"/>
    <w:rsid w:val="002860C0"/>
    <w:rsid w:val="002861AB"/>
    <w:rsid w:val="002864BA"/>
    <w:rsid w:val="002864FC"/>
    <w:rsid w:val="00286F95"/>
    <w:rsid w:val="002875F2"/>
    <w:rsid w:val="00287B77"/>
    <w:rsid w:val="00287BD1"/>
    <w:rsid w:val="00287F5B"/>
    <w:rsid w:val="00290123"/>
    <w:rsid w:val="002904E2"/>
    <w:rsid w:val="0029057C"/>
    <w:rsid w:val="002907F1"/>
    <w:rsid w:val="002909D8"/>
    <w:rsid w:val="0029116E"/>
    <w:rsid w:val="002911E2"/>
    <w:rsid w:val="002912C1"/>
    <w:rsid w:val="00291ACA"/>
    <w:rsid w:val="00291DD2"/>
    <w:rsid w:val="00291F81"/>
    <w:rsid w:val="00291FBE"/>
    <w:rsid w:val="002921DD"/>
    <w:rsid w:val="002925AB"/>
    <w:rsid w:val="00292632"/>
    <w:rsid w:val="0029266F"/>
    <w:rsid w:val="002926F4"/>
    <w:rsid w:val="002929E0"/>
    <w:rsid w:val="00292B65"/>
    <w:rsid w:val="00292C01"/>
    <w:rsid w:val="00293166"/>
    <w:rsid w:val="002931C5"/>
    <w:rsid w:val="00293218"/>
    <w:rsid w:val="00293304"/>
    <w:rsid w:val="00293668"/>
    <w:rsid w:val="002937A1"/>
    <w:rsid w:val="00293909"/>
    <w:rsid w:val="0029391B"/>
    <w:rsid w:val="00293AE2"/>
    <w:rsid w:val="00293E7E"/>
    <w:rsid w:val="00293EB1"/>
    <w:rsid w:val="00293F7C"/>
    <w:rsid w:val="00294027"/>
    <w:rsid w:val="00294085"/>
    <w:rsid w:val="0029415E"/>
    <w:rsid w:val="00294290"/>
    <w:rsid w:val="002942D1"/>
    <w:rsid w:val="00294504"/>
    <w:rsid w:val="00294611"/>
    <w:rsid w:val="00294674"/>
    <w:rsid w:val="00294D26"/>
    <w:rsid w:val="00294D74"/>
    <w:rsid w:val="002956EE"/>
    <w:rsid w:val="00295A58"/>
    <w:rsid w:val="00295CAE"/>
    <w:rsid w:val="00295E78"/>
    <w:rsid w:val="00295EF2"/>
    <w:rsid w:val="00296708"/>
    <w:rsid w:val="00296922"/>
    <w:rsid w:val="00296BAA"/>
    <w:rsid w:val="00296EE9"/>
    <w:rsid w:val="002975A5"/>
    <w:rsid w:val="00297C49"/>
    <w:rsid w:val="002A02C3"/>
    <w:rsid w:val="002A0639"/>
    <w:rsid w:val="002A0813"/>
    <w:rsid w:val="002A0AC5"/>
    <w:rsid w:val="002A103A"/>
    <w:rsid w:val="002A1048"/>
    <w:rsid w:val="002A170A"/>
    <w:rsid w:val="002A17F7"/>
    <w:rsid w:val="002A19DC"/>
    <w:rsid w:val="002A1B9B"/>
    <w:rsid w:val="002A1D58"/>
    <w:rsid w:val="002A2309"/>
    <w:rsid w:val="002A2420"/>
    <w:rsid w:val="002A24E3"/>
    <w:rsid w:val="002A26D2"/>
    <w:rsid w:val="002A2A22"/>
    <w:rsid w:val="002A2A63"/>
    <w:rsid w:val="002A2AE8"/>
    <w:rsid w:val="002A31A1"/>
    <w:rsid w:val="002A321F"/>
    <w:rsid w:val="002A380D"/>
    <w:rsid w:val="002A38B2"/>
    <w:rsid w:val="002A3B38"/>
    <w:rsid w:val="002A3C76"/>
    <w:rsid w:val="002A3D93"/>
    <w:rsid w:val="002A3E20"/>
    <w:rsid w:val="002A412B"/>
    <w:rsid w:val="002A416B"/>
    <w:rsid w:val="002A428B"/>
    <w:rsid w:val="002A4450"/>
    <w:rsid w:val="002A45F3"/>
    <w:rsid w:val="002A4784"/>
    <w:rsid w:val="002A47F8"/>
    <w:rsid w:val="002A4810"/>
    <w:rsid w:val="002A4DEB"/>
    <w:rsid w:val="002A4E2F"/>
    <w:rsid w:val="002A553F"/>
    <w:rsid w:val="002A591F"/>
    <w:rsid w:val="002A5A4B"/>
    <w:rsid w:val="002A5F6C"/>
    <w:rsid w:val="002A659A"/>
    <w:rsid w:val="002A666B"/>
    <w:rsid w:val="002A6753"/>
    <w:rsid w:val="002A6B1A"/>
    <w:rsid w:val="002A6EAD"/>
    <w:rsid w:val="002A6F13"/>
    <w:rsid w:val="002A7115"/>
    <w:rsid w:val="002A7484"/>
    <w:rsid w:val="002A76CF"/>
    <w:rsid w:val="002A79C1"/>
    <w:rsid w:val="002A7D60"/>
    <w:rsid w:val="002A7DCC"/>
    <w:rsid w:val="002B03C5"/>
    <w:rsid w:val="002B08D7"/>
    <w:rsid w:val="002B08FE"/>
    <w:rsid w:val="002B0A45"/>
    <w:rsid w:val="002B0AAB"/>
    <w:rsid w:val="002B0BEF"/>
    <w:rsid w:val="002B0E47"/>
    <w:rsid w:val="002B127F"/>
    <w:rsid w:val="002B1343"/>
    <w:rsid w:val="002B1460"/>
    <w:rsid w:val="002B1945"/>
    <w:rsid w:val="002B1B26"/>
    <w:rsid w:val="002B20ED"/>
    <w:rsid w:val="002B2174"/>
    <w:rsid w:val="002B21B1"/>
    <w:rsid w:val="002B225E"/>
    <w:rsid w:val="002B23AF"/>
    <w:rsid w:val="002B24F9"/>
    <w:rsid w:val="002B25DC"/>
    <w:rsid w:val="002B2A3B"/>
    <w:rsid w:val="002B2AEE"/>
    <w:rsid w:val="002B2D9E"/>
    <w:rsid w:val="002B2E9B"/>
    <w:rsid w:val="002B2ECC"/>
    <w:rsid w:val="002B30F0"/>
    <w:rsid w:val="002B30FC"/>
    <w:rsid w:val="002B3127"/>
    <w:rsid w:val="002B342E"/>
    <w:rsid w:val="002B372B"/>
    <w:rsid w:val="002B3944"/>
    <w:rsid w:val="002B39FD"/>
    <w:rsid w:val="002B3B0C"/>
    <w:rsid w:val="002B3BFB"/>
    <w:rsid w:val="002B4057"/>
    <w:rsid w:val="002B40F8"/>
    <w:rsid w:val="002B42E3"/>
    <w:rsid w:val="002B49EA"/>
    <w:rsid w:val="002B5318"/>
    <w:rsid w:val="002B5390"/>
    <w:rsid w:val="002B5739"/>
    <w:rsid w:val="002B5889"/>
    <w:rsid w:val="002B58C6"/>
    <w:rsid w:val="002B5C6A"/>
    <w:rsid w:val="002B5FD2"/>
    <w:rsid w:val="002B6018"/>
    <w:rsid w:val="002B645C"/>
    <w:rsid w:val="002B6530"/>
    <w:rsid w:val="002B6999"/>
    <w:rsid w:val="002B69CA"/>
    <w:rsid w:val="002B6AF3"/>
    <w:rsid w:val="002B6F76"/>
    <w:rsid w:val="002B713E"/>
    <w:rsid w:val="002B721C"/>
    <w:rsid w:val="002B74B8"/>
    <w:rsid w:val="002B7761"/>
    <w:rsid w:val="002B79D9"/>
    <w:rsid w:val="002B7D0D"/>
    <w:rsid w:val="002B7D3B"/>
    <w:rsid w:val="002B7F99"/>
    <w:rsid w:val="002C0220"/>
    <w:rsid w:val="002C0239"/>
    <w:rsid w:val="002C0263"/>
    <w:rsid w:val="002C055F"/>
    <w:rsid w:val="002C05DC"/>
    <w:rsid w:val="002C0804"/>
    <w:rsid w:val="002C0E2B"/>
    <w:rsid w:val="002C11C3"/>
    <w:rsid w:val="002C130D"/>
    <w:rsid w:val="002C18E9"/>
    <w:rsid w:val="002C1BD3"/>
    <w:rsid w:val="002C1C9E"/>
    <w:rsid w:val="002C1FF0"/>
    <w:rsid w:val="002C20F5"/>
    <w:rsid w:val="002C23CC"/>
    <w:rsid w:val="002C26C7"/>
    <w:rsid w:val="002C2964"/>
    <w:rsid w:val="002C29E5"/>
    <w:rsid w:val="002C2A37"/>
    <w:rsid w:val="002C2C50"/>
    <w:rsid w:val="002C2F02"/>
    <w:rsid w:val="002C3124"/>
    <w:rsid w:val="002C3348"/>
    <w:rsid w:val="002C361A"/>
    <w:rsid w:val="002C3D8C"/>
    <w:rsid w:val="002C3E6E"/>
    <w:rsid w:val="002C4111"/>
    <w:rsid w:val="002C467C"/>
    <w:rsid w:val="002C4AC7"/>
    <w:rsid w:val="002C4D6D"/>
    <w:rsid w:val="002C4DC2"/>
    <w:rsid w:val="002C517F"/>
    <w:rsid w:val="002C5389"/>
    <w:rsid w:val="002C59AB"/>
    <w:rsid w:val="002C60EC"/>
    <w:rsid w:val="002C62CE"/>
    <w:rsid w:val="002C65C1"/>
    <w:rsid w:val="002C662D"/>
    <w:rsid w:val="002C69CD"/>
    <w:rsid w:val="002C6A79"/>
    <w:rsid w:val="002C6C45"/>
    <w:rsid w:val="002C6D12"/>
    <w:rsid w:val="002C6EE8"/>
    <w:rsid w:val="002C7109"/>
    <w:rsid w:val="002C7176"/>
    <w:rsid w:val="002C7431"/>
    <w:rsid w:val="002C7796"/>
    <w:rsid w:val="002C77BA"/>
    <w:rsid w:val="002C7B12"/>
    <w:rsid w:val="002C7BB2"/>
    <w:rsid w:val="002C7C30"/>
    <w:rsid w:val="002C7CC9"/>
    <w:rsid w:val="002C7D49"/>
    <w:rsid w:val="002C7E30"/>
    <w:rsid w:val="002D010C"/>
    <w:rsid w:val="002D016D"/>
    <w:rsid w:val="002D0331"/>
    <w:rsid w:val="002D076C"/>
    <w:rsid w:val="002D0B58"/>
    <w:rsid w:val="002D0B76"/>
    <w:rsid w:val="002D0BC4"/>
    <w:rsid w:val="002D0C7F"/>
    <w:rsid w:val="002D0D9D"/>
    <w:rsid w:val="002D0EB3"/>
    <w:rsid w:val="002D10C9"/>
    <w:rsid w:val="002D113A"/>
    <w:rsid w:val="002D1169"/>
    <w:rsid w:val="002D1244"/>
    <w:rsid w:val="002D1540"/>
    <w:rsid w:val="002D1545"/>
    <w:rsid w:val="002D18EC"/>
    <w:rsid w:val="002D1DEC"/>
    <w:rsid w:val="002D2022"/>
    <w:rsid w:val="002D2182"/>
    <w:rsid w:val="002D2464"/>
    <w:rsid w:val="002D2720"/>
    <w:rsid w:val="002D2A21"/>
    <w:rsid w:val="002D2BC0"/>
    <w:rsid w:val="002D2CCB"/>
    <w:rsid w:val="002D2D9E"/>
    <w:rsid w:val="002D2DB6"/>
    <w:rsid w:val="002D2E80"/>
    <w:rsid w:val="002D30F9"/>
    <w:rsid w:val="002D32AF"/>
    <w:rsid w:val="002D36C6"/>
    <w:rsid w:val="002D36DC"/>
    <w:rsid w:val="002D38F0"/>
    <w:rsid w:val="002D3A9A"/>
    <w:rsid w:val="002D3B28"/>
    <w:rsid w:val="002D3E29"/>
    <w:rsid w:val="002D4607"/>
    <w:rsid w:val="002D46F5"/>
    <w:rsid w:val="002D4701"/>
    <w:rsid w:val="002D4E41"/>
    <w:rsid w:val="002D5110"/>
    <w:rsid w:val="002D516C"/>
    <w:rsid w:val="002D5252"/>
    <w:rsid w:val="002D53E3"/>
    <w:rsid w:val="002D550A"/>
    <w:rsid w:val="002D57AB"/>
    <w:rsid w:val="002D5923"/>
    <w:rsid w:val="002D5939"/>
    <w:rsid w:val="002D59D0"/>
    <w:rsid w:val="002D5A9A"/>
    <w:rsid w:val="002D5AC9"/>
    <w:rsid w:val="002D5C5D"/>
    <w:rsid w:val="002D5CB4"/>
    <w:rsid w:val="002D5D54"/>
    <w:rsid w:val="002D5E85"/>
    <w:rsid w:val="002D5F4E"/>
    <w:rsid w:val="002D601A"/>
    <w:rsid w:val="002D606B"/>
    <w:rsid w:val="002D6173"/>
    <w:rsid w:val="002D6A6C"/>
    <w:rsid w:val="002D6A8F"/>
    <w:rsid w:val="002D6DFE"/>
    <w:rsid w:val="002D7019"/>
    <w:rsid w:val="002D7162"/>
    <w:rsid w:val="002D7371"/>
    <w:rsid w:val="002D73BF"/>
    <w:rsid w:val="002D7566"/>
    <w:rsid w:val="002D7D03"/>
    <w:rsid w:val="002E005E"/>
    <w:rsid w:val="002E02FB"/>
    <w:rsid w:val="002E03C1"/>
    <w:rsid w:val="002E07CA"/>
    <w:rsid w:val="002E0B81"/>
    <w:rsid w:val="002E0C9C"/>
    <w:rsid w:val="002E0D5A"/>
    <w:rsid w:val="002E0E85"/>
    <w:rsid w:val="002E0F56"/>
    <w:rsid w:val="002E0FF8"/>
    <w:rsid w:val="002E1250"/>
    <w:rsid w:val="002E1297"/>
    <w:rsid w:val="002E15E6"/>
    <w:rsid w:val="002E17E4"/>
    <w:rsid w:val="002E19E4"/>
    <w:rsid w:val="002E1AAA"/>
    <w:rsid w:val="002E1D56"/>
    <w:rsid w:val="002E1EFF"/>
    <w:rsid w:val="002E1F90"/>
    <w:rsid w:val="002E2036"/>
    <w:rsid w:val="002E28AA"/>
    <w:rsid w:val="002E2909"/>
    <w:rsid w:val="002E2A65"/>
    <w:rsid w:val="002E2A83"/>
    <w:rsid w:val="002E2B78"/>
    <w:rsid w:val="002E3359"/>
    <w:rsid w:val="002E3481"/>
    <w:rsid w:val="002E3517"/>
    <w:rsid w:val="002E3552"/>
    <w:rsid w:val="002E356B"/>
    <w:rsid w:val="002E361D"/>
    <w:rsid w:val="002E3669"/>
    <w:rsid w:val="002E376F"/>
    <w:rsid w:val="002E3818"/>
    <w:rsid w:val="002E396F"/>
    <w:rsid w:val="002E39D3"/>
    <w:rsid w:val="002E3B91"/>
    <w:rsid w:val="002E3C1D"/>
    <w:rsid w:val="002E4469"/>
    <w:rsid w:val="002E4601"/>
    <w:rsid w:val="002E465F"/>
    <w:rsid w:val="002E4764"/>
    <w:rsid w:val="002E4877"/>
    <w:rsid w:val="002E498C"/>
    <w:rsid w:val="002E4AA9"/>
    <w:rsid w:val="002E4BAF"/>
    <w:rsid w:val="002E4E15"/>
    <w:rsid w:val="002E4FA3"/>
    <w:rsid w:val="002E4FAB"/>
    <w:rsid w:val="002E514F"/>
    <w:rsid w:val="002E553C"/>
    <w:rsid w:val="002E555F"/>
    <w:rsid w:val="002E58B4"/>
    <w:rsid w:val="002E5A00"/>
    <w:rsid w:val="002E5F74"/>
    <w:rsid w:val="002E60FF"/>
    <w:rsid w:val="002E62EC"/>
    <w:rsid w:val="002E63F0"/>
    <w:rsid w:val="002E6B14"/>
    <w:rsid w:val="002E70E1"/>
    <w:rsid w:val="002E713B"/>
    <w:rsid w:val="002E727A"/>
    <w:rsid w:val="002E74BC"/>
    <w:rsid w:val="002E7704"/>
    <w:rsid w:val="002E7751"/>
    <w:rsid w:val="002E7A18"/>
    <w:rsid w:val="002E7B5D"/>
    <w:rsid w:val="002E7D17"/>
    <w:rsid w:val="002E7DA9"/>
    <w:rsid w:val="002E7F0B"/>
    <w:rsid w:val="002E7F98"/>
    <w:rsid w:val="002F00E0"/>
    <w:rsid w:val="002F019E"/>
    <w:rsid w:val="002F05F2"/>
    <w:rsid w:val="002F0602"/>
    <w:rsid w:val="002F07AE"/>
    <w:rsid w:val="002F0C11"/>
    <w:rsid w:val="002F13F5"/>
    <w:rsid w:val="002F156D"/>
    <w:rsid w:val="002F15DA"/>
    <w:rsid w:val="002F21E2"/>
    <w:rsid w:val="002F2229"/>
    <w:rsid w:val="002F2387"/>
    <w:rsid w:val="002F23EF"/>
    <w:rsid w:val="002F256F"/>
    <w:rsid w:val="002F25B8"/>
    <w:rsid w:val="002F25FF"/>
    <w:rsid w:val="002F2AF7"/>
    <w:rsid w:val="002F2B4E"/>
    <w:rsid w:val="002F2C01"/>
    <w:rsid w:val="002F2EDD"/>
    <w:rsid w:val="002F2F5F"/>
    <w:rsid w:val="002F3562"/>
    <w:rsid w:val="002F370D"/>
    <w:rsid w:val="002F3CD9"/>
    <w:rsid w:val="002F439D"/>
    <w:rsid w:val="002F46A3"/>
    <w:rsid w:val="002F4979"/>
    <w:rsid w:val="002F49F9"/>
    <w:rsid w:val="002F4B04"/>
    <w:rsid w:val="002F4CFD"/>
    <w:rsid w:val="002F4E4B"/>
    <w:rsid w:val="002F5044"/>
    <w:rsid w:val="002F533D"/>
    <w:rsid w:val="002F54A1"/>
    <w:rsid w:val="002F5613"/>
    <w:rsid w:val="002F59A7"/>
    <w:rsid w:val="002F5D90"/>
    <w:rsid w:val="002F6313"/>
    <w:rsid w:val="002F6581"/>
    <w:rsid w:val="002F6621"/>
    <w:rsid w:val="002F6E3C"/>
    <w:rsid w:val="002F6F74"/>
    <w:rsid w:val="002F74DF"/>
    <w:rsid w:val="002F78CA"/>
    <w:rsid w:val="002F7EF4"/>
    <w:rsid w:val="002F7FF8"/>
    <w:rsid w:val="003000B0"/>
    <w:rsid w:val="003005FE"/>
    <w:rsid w:val="00300720"/>
    <w:rsid w:val="003008F6"/>
    <w:rsid w:val="003009F4"/>
    <w:rsid w:val="00300CB2"/>
    <w:rsid w:val="00301155"/>
    <w:rsid w:val="003015DF"/>
    <w:rsid w:val="00301BBB"/>
    <w:rsid w:val="00301BFD"/>
    <w:rsid w:val="00301D5C"/>
    <w:rsid w:val="00301DB8"/>
    <w:rsid w:val="003020D8"/>
    <w:rsid w:val="003024E3"/>
    <w:rsid w:val="00302630"/>
    <w:rsid w:val="0030278D"/>
    <w:rsid w:val="00302AA8"/>
    <w:rsid w:val="00302C60"/>
    <w:rsid w:val="00302D0F"/>
    <w:rsid w:val="00302FFD"/>
    <w:rsid w:val="00303351"/>
    <w:rsid w:val="003035A5"/>
    <w:rsid w:val="003035B5"/>
    <w:rsid w:val="00303698"/>
    <w:rsid w:val="003037ED"/>
    <w:rsid w:val="00303AA1"/>
    <w:rsid w:val="00303C00"/>
    <w:rsid w:val="00303D6B"/>
    <w:rsid w:val="00303E4A"/>
    <w:rsid w:val="00303F9E"/>
    <w:rsid w:val="00304781"/>
    <w:rsid w:val="00304FD2"/>
    <w:rsid w:val="003050B4"/>
    <w:rsid w:val="0030521D"/>
    <w:rsid w:val="00305435"/>
    <w:rsid w:val="00305A24"/>
    <w:rsid w:val="00305F83"/>
    <w:rsid w:val="00306307"/>
    <w:rsid w:val="003064E9"/>
    <w:rsid w:val="00306E3D"/>
    <w:rsid w:val="00307092"/>
    <w:rsid w:val="00307272"/>
    <w:rsid w:val="003075CD"/>
    <w:rsid w:val="003075EC"/>
    <w:rsid w:val="0030766C"/>
    <w:rsid w:val="00307878"/>
    <w:rsid w:val="003078F0"/>
    <w:rsid w:val="00307A94"/>
    <w:rsid w:val="00307EC4"/>
    <w:rsid w:val="00307F1B"/>
    <w:rsid w:val="00307F54"/>
    <w:rsid w:val="0031001A"/>
    <w:rsid w:val="00310327"/>
    <w:rsid w:val="00310345"/>
    <w:rsid w:val="003105D2"/>
    <w:rsid w:val="003107D5"/>
    <w:rsid w:val="0031084F"/>
    <w:rsid w:val="00310B97"/>
    <w:rsid w:val="003111C0"/>
    <w:rsid w:val="0031121E"/>
    <w:rsid w:val="00311B2F"/>
    <w:rsid w:val="0031249E"/>
    <w:rsid w:val="003124C3"/>
    <w:rsid w:val="0031254C"/>
    <w:rsid w:val="00312654"/>
    <w:rsid w:val="00312920"/>
    <w:rsid w:val="00312AA8"/>
    <w:rsid w:val="00313017"/>
    <w:rsid w:val="00313222"/>
    <w:rsid w:val="003133C1"/>
    <w:rsid w:val="0031366A"/>
    <w:rsid w:val="003136D6"/>
    <w:rsid w:val="0031370C"/>
    <w:rsid w:val="00313D7D"/>
    <w:rsid w:val="0031432D"/>
    <w:rsid w:val="003144A0"/>
    <w:rsid w:val="00314846"/>
    <w:rsid w:val="00314B92"/>
    <w:rsid w:val="003150C2"/>
    <w:rsid w:val="00315454"/>
    <w:rsid w:val="003154F0"/>
    <w:rsid w:val="0031558D"/>
    <w:rsid w:val="003157AD"/>
    <w:rsid w:val="00315D2D"/>
    <w:rsid w:val="00315D6D"/>
    <w:rsid w:val="003160BC"/>
    <w:rsid w:val="003163D0"/>
    <w:rsid w:val="00316433"/>
    <w:rsid w:val="00316A80"/>
    <w:rsid w:val="00316C21"/>
    <w:rsid w:val="00316EB1"/>
    <w:rsid w:val="003171B9"/>
    <w:rsid w:val="00317648"/>
    <w:rsid w:val="003176F9"/>
    <w:rsid w:val="00317C71"/>
    <w:rsid w:val="00317FC9"/>
    <w:rsid w:val="003200A4"/>
    <w:rsid w:val="00320136"/>
    <w:rsid w:val="00320359"/>
    <w:rsid w:val="003206F2"/>
    <w:rsid w:val="0032085F"/>
    <w:rsid w:val="00320E5D"/>
    <w:rsid w:val="00320EF6"/>
    <w:rsid w:val="00320FDA"/>
    <w:rsid w:val="00321276"/>
    <w:rsid w:val="003214D9"/>
    <w:rsid w:val="0032196D"/>
    <w:rsid w:val="00322151"/>
    <w:rsid w:val="00322295"/>
    <w:rsid w:val="003223B1"/>
    <w:rsid w:val="00322CCF"/>
    <w:rsid w:val="00322E19"/>
    <w:rsid w:val="00322FE4"/>
    <w:rsid w:val="00323262"/>
    <w:rsid w:val="0032344C"/>
    <w:rsid w:val="003239E0"/>
    <w:rsid w:val="00323A88"/>
    <w:rsid w:val="00323B4E"/>
    <w:rsid w:val="00323C77"/>
    <w:rsid w:val="00323DA2"/>
    <w:rsid w:val="00323DAF"/>
    <w:rsid w:val="00323F53"/>
    <w:rsid w:val="00324185"/>
    <w:rsid w:val="003241AE"/>
    <w:rsid w:val="0032435E"/>
    <w:rsid w:val="003244E6"/>
    <w:rsid w:val="00324984"/>
    <w:rsid w:val="00324B4F"/>
    <w:rsid w:val="00324BA8"/>
    <w:rsid w:val="00324C41"/>
    <w:rsid w:val="00325148"/>
    <w:rsid w:val="00325232"/>
    <w:rsid w:val="00325454"/>
    <w:rsid w:val="00325809"/>
    <w:rsid w:val="00325FF1"/>
    <w:rsid w:val="0032624A"/>
    <w:rsid w:val="00326253"/>
    <w:rsid w:val="0032671C"/>
    <w:rsid w:val="0032684B"/>
    <w:rsid w:val="00326B32"/>
    <w:rsid w:val="00326B3A"/>
    <w:rsid w:val="00326EE7"/>
    <w:rsid w:val="003270C4"/>
    <w:rsid w:val="00327237"/>
    <w:rsid w:val="003276E6"/>
    <w:rsid w:val="00327890"/>
    <w:rsid w:val="0032791F"/>
    <w:rsid w:val="00327B0E"/>
    <w:rsid w:val="00330104"/>
    <w:rsid w:val="0033081E"/>
    <w:rsid w:val="003308C8"/>
    <w:rsid w:val="00330E25"/>
    <w:rsid w:val="00331013"/>
    <w:rsid w:val="00331165"/>
    <w:rsid w:val="00331308"/>
    <w:rsid w:val="003316C4"/>
    <w:rsid w:val="003318E5"/>
    <w:rsid w:val="00331CB5"/>
    <w:rsid w:val="00331DA6"/>
    <w:rsid w:val="00331F62"/>
    <w:rsid w:val="00332018"/>
    <w:rsid w:val="00332022"/>
    <w:rsid w:val="003320AF"/>
    <w:rsid w:val="00332202"/>
    <w:rsid w:val="00332676"/>
    <w:rsid w:val="0033290B"/>
    <w:rsid w:val="00332921"/>
    <w:rsid w:val="00332BA9"/>
    <w:rsid w:val="00332BC6"/>
    <w:rsid w:val="00332FF6"/>
    <w:rsid w:val="003331D6"/>
    <w:rsid w:val="0033359A"/>
    <w:rsid w:val="003335CB"/>
    <w:rsid w:val="00333905"/>
    <w:rsid w:val="00334081"/>
    <w:rsid w:val="00334272"/>
    <w:rsid w:val="003346C9"/>
    <w:rsid w:val="00334A37"/>
    <w:rsid w:val="003354A1"/>
    <w:rsid w:val="00335972"/>
    <w:rsid w:val="003359DB"/>
    <w:rsid w:val="00335D07"/>
    <w:rsid w:val="00335F55"/>
    <w:rsid w:val="003361B0"/>
    <w:rsid w:val="00336434"/>
    <w:rsid w:val="003364F6"/>
    <w:rsid w:val="0033678C"/>
    <w:rsid w:val="003367AD"/>
    <w:rsid w:val="003367C3"/>
    <w:rsid w:val="003367F0"/>
    <w:rsid w:val="00336846"/>
    <w:rsid w:val="00336933"/>
    <w:rsid w:val="00336A6A"/>
    <w:rsid w:val="00336C37"/>
    <w:rsid w:val="0033708B"/>
    <w:rsid w:val="003374F5"/>
    <w:rsid w:val="00337730"/>
    <w:rsid w:val="00337889"/>
    <w:rsid w:val="0033793E"/>
    <w:rsid w:val="00337C01"/>
    <w:rsid w:val="00337F6D"/>
    <w:rsid w:val="0034008E"/>
    <w:rsid w:val="0034017E"/>
    <w:rsid w:val="00340A75"/>
    <w:rsid w:val="00340B84"/>
    <w:rsid w:val="00340C7B"/>
    <w:rsid w:val="00340D7C"/>
    <w:rsid w:val="003412AF"/>
    <w:rsid w:val="00341583"/>
    <w:rsid w:val="003417E4"/>
    <w:rsid w:val="00341900"/>
    <w:rsid w:val="00341A06"/>
    <w:rsid w:val="00341A65"/>
    <w:rsid w:val="00341E51"/>
    <w:rsid w:val="00341FD3"/>
    <w:rsid w:val="003420F4"/>
    <w:rsid w:val="00342325"/>
    <w:rsid w:val="00342F1D"/>
    <w:rsid w:val="0034345A"/>
    <w:rsid w:val="00343468"/>
    <w:rsid w:val="00343747"/>
    <w:rsid w:val="00343C3B"/>
    <w:rsid w:val="00343D73"/>
    <w:rsid w:val="00344523"/>
    <w:rsid w:val="00344612"/>
    <w:rsid w:val="00344D6C"/>
    <w:rsid w:val="00344E31"/>
    <w:rsid w:val="003453CF"/>
    <w:rsid w:val="00345735"/>
    <w:rsid w:val="0034595C"/>
    <w:rsid w:val="00345CA4"/>
    <w:rsid w:val="00345F76"/>
    <w:rsid w:val="00345FB7"/>
    <w:rsid w:val="00345FDE"/>
    <w:rsid w:val="0034615B"/>
    <w:rsid w:val="0034621A"/>
    <w:rsid w:val="00346829"/>
    <w:rsid w:val="003468F5"/>
    <w:rsid w:val="00347030"/>
    <w:rsid w:val="0034714B"/>
    <w:rsid w:val="003471D3"/>
    <w:rsid w:val="003471F0"/>
    <w:rsid w:val="00347553"/>
    <w:rsid w:val="003475B6"/>
    <w:rsid w:val="003477A1"/>
    <w:rsid w:val="003478CA"/>
    <w:rsid w:val="00347F4E"/>
    <w:rsid w:val="00350179"/>
    <w:rsid w:val="003502E1"/>
    <w:rsid w:val="0035048F"/>
    <w:rsid w:val="003504F9"/>
    <w:rsid w:val="00350529"/>
    <w:rsid w:val="00350AA9"/>
    <w:rsid w:val="00350E93"/>
    <w:rsid w:val="00350F2F"/>
    <w:rsid w:val="003512D4"/>
    <w:rsid w:val="00351491"/>
    <w:rsid w:val="00351507"/>
    <w:rsid w:val="00351DB3"/>
    <w:rsid w:val="00351EA9"/>
    <w:rsid w:val="00352002"/>
    <w:rsid w:val="00352321"/>
    <w:rsid w:val="003523EC"/>
    <w:rsid w:val="00352443"/>
    <w:rsid w:val="003524D6"/>
    <w:rsid w:val="00352674"/>
    <w:rsid w:val="00352B49"/>
    <w:rsid w:val="00352C31"/>
    <w:rsid w:val="00352DA0"/>
    <w:rsid w:val="00352E30"/>
    <w:rsid w:val="00352E7D"/>
    <w:rsid w:val="003531F8"/>
    <w:rsid w:val="003533BE"/>
    <w:rsid w:val="003537EE"/>
    <w:rsid w:val="00353D0F"/>
    <w:rsid w:val="00353D1A"/>
    <w:rsid w:val="00353DA0"/>
    <w:rsid w:val="00353EC5"/>
    <w:rsid w:val="00353ED3"/>
    <w:rsid w:val="00353FF4"/>
    <w:rsid w:val="003540ED"/>
    <w:rsid w:val="0035414C"/>
    <w:rsid w:val="00354566"/>
    <w:rsid w:val="0035478D"/>
    <w:rsid w:val="00354B54"/>
    <w:rsid w:val="00354BEE"/>
    <w:rsid w:val="00354CDE"/>
    <w:rsid w:val="00354E5F"/>
    <w:rsid w:val="00354EDA"/>
    <w:rsid w:val="0035544A"/>
    <w:rsid w:val="003554CD"/>
    <w:rsid w:val="0035562E"/>
    <w:rsid w:val="00355700"/>
    <w:rsid w:val="0035583D"/>
    <w:rsid w:val="00355ADC"/>
    <w:rsid w:val="00355CFB"/>
    <w:rsid w:val="00355EA9"/>
    <w:rsid w:val="0035637E"/>
    <w:rsid w:val="00356541"/>
    <w:rsid w:val="00356746"/>
    <w:rsid w:val="0035683B"/>
    <w:rsid w:val="003568EE"/>
    <w:rsid w:val="00356CC3"/>
    <w:rsid w:val="00356DED"/>
    <w:rsid w:val="003570C5"/>
    <w:rsid w:val="003572F2"/>
    <w:rsid w:val="00357555"/>
    <w:rsid w:val="003578A5"/>
    <w:rsid w:val="00357E40"/>
    <w:rsid w:val="00357F4E"/>
    <w:rsid w:val="00360343"/>
    <w:rsid w:val="0036059B"/>
    <w:rsid w:val="00360B3A"/>
    <w:rsid w:val="00360ED4"/>
    <w:rsid w:val="003613D6"/>
    <w:rsid w:val="0036156A"/>
    <w:rsid w:val="00361ABE"/>
    <w:rsid w:val="00361B3B"/>
    <w:rsid w:val="00361F29"/>
    <w:rsid w:val="00361F82"/>
    <w:rsid w:val="0036211F"/>
    <w:rsid w:val="00362496"/>
    <w:rsid w:val="003627E4"/>
    <w:rsid w:val="0036285A"/>
    <w:rsid w:val="00362FE3"/>
    <w:rsid w:val="00363161"/>
    <w:rsid w:val="003633E9"/>
    <w:rsid w:val="0036342D"/>
    <w:rsid w:val="00363438"/>
    <w:rsid w:val="00363642"/>
    <w:rsid w:val="003636DD"/>
    <w:rsid w:val="00363873"/>
    <w:rsid w:val="00363B65"/>
    <w:rsid w:val="00363C2E"/>
    <w:rsid w:val="00363D15"/>
    <w:rsid w:val="003641CF"/>
    <w:rsid w:val="00364229"/>
    <w:rsid w:val="0036467E"/>
    <w:rsid w:val="0036470E"/>
    <w:rsid w:val="003649EE"/>
    <w:rsid w:val="00364D64"/>
    <w:rsid w:val="00364EE6"/>
    <w:rsid w:val="003650B8"/>
    <w:rsid w:val="00365141"/>
    <w:rsid w:val="00365176"/>
    <w:rsid w:val="003651CC"/>
    <w:rsid w:val="003652E4"/>
    <w:rsid w:val="0036546F"/>
    <w:rsid w:val="003654FE"/>
    <w:rsid w:val="003655E1"/>
    <w:rsid w:val="00365767"/>
    <w:rsid w:val="003657F7"/>
    <w:rsid w:val="00365B7F"/>
    <w:rsid w:val="0036605D"/>
    <w:rsid w:val="00366492"/>
    <w:rsid w:val="003669C1"/>
    <w:rsid w:val="00366C5A"/>
    <w:rsid w:val="00366DE9"/>
    <w:rsid w:val="00366FDA"/>
    <w:rsid w:val="003671DB"/>
    <w:rsid w:val="00367AC7"/>
    <w:rsid w:val="00367B4A"/>
    <w:rsid w:val="00367C93"/>
    <w:rsid w:val="00367F33"/>
    <w:rsid w:val="00370170"/>
    <w:rsid w:val="00370342"/>
    <w:rsid w:val="003703E1"/>
    <w:rsid w:val="003707C1"/>
    <w:rsid w:val="003709E5"/>
    <w:rsid w:val="00370F81"/>
    <w:rsid w:val="003710A0"/>
    <w:rsid w:val="00371205"/>
    <w:rsid w:val="0037168C"/>
    <w:rsid w:val="003716C1"/>
    <w:rsid w:val="003718CD"/>
    <w:rsid w:val="0037198D"/>
    <w:rsid w:val="00371A8E"/>
    <w:rsid w:val="00371C00"/>
    <w:rsid w:val="0037213B"/>
    <w:rsid w:val="00372231"/>
    <w:rsid w:val="003722BD"/>
    <w:rsid w:val="003723E4"/>
    <w:rsid w:val="0037252E"/>
    <w:rsid w:val="00372AF6"/>
    <w:rsid w:val="00372B0D"/>
    <w:rsid w:val="00372C4A"/>
    <w:rsid w:val="00372CD0"/>
    <w:rsid w:val="00372EDA"/>
    <w:rsid w:val="003733F0"/>
    <w:rsid w:val="003738D9"/>
    <w:rsid w:val="00373FBF"/>
    <w:rsid w:val="00374148"/>
    <w:rsid w:val="0037420B"/>
    <w:rsid w:val="003743D0"/>
    <w:rsid w:val="00374B29"/>
    <w:rsid w:val="00375087"/>
    <w:rsid w:val="00375100"/>
    <w:rsid w:val="0037525C"/>
    <w:rsid w:val="0037527B"/>
    <w:rsid w:val="003757B7"/>
    <w:rsid w:val="00375CB3"/>
    <w:rsid w:val="003761EA"/>
    <w:rsid w:val="00376264"/>
    <w:rsid w:val="00376452"/>
    <w:rsid w:val="00376481"/>
    <w:rsid w:val="00376828"/>
    <w:rsid w:val="00376A9D"/>
    <w:rsid w:val="00376E3E"/>
    <w:rsid w:val="00376FBC"/>
    <w:rsid w:val="00377084"/>
    <w:rsid w:val="00377576"/>
    <w:rsid w:val="003775CF"/>
    <w:rsid w:val="00377869"/>
    <w:rsid w:val="0038005E"/>
    <w:rsid w:val="00380224"/>
    <w:rsid w:val="003802AE"/>
    <w:rsid w:val="00380391"/>
    <w:rsid w:val="0038050F"/>
    <w:rsid w:val="00380772"/>
    <w:rsid w:val="0038088B"/>
    <w:rsid w:val="00380DEA"/>
    <w:rsid w:val="003810A8"/>
    <w:rsid w:val="003810BF"/>
    <w:rsid w:val="0038116B"/>
    <w:rsid w:val="00381360"/>
    <w:rsid w:val="00381385"/>
    <w:rsid w:val="00381453"/>
    <w:rsid w:val="003822AD"/>
    <w:rsid w:val="00382464"/>
    <w:rsid w:val="00382793"/>
    <w:rsid w:val="00382BA9"/>
    <w:rsid w:val="00382E62"/>
    <w:rsid w:val="003830AE"/>
    <w:rsid w:val="00383684"/>
    <w:rsid w:val="00383DBB"/>
    <w:rsid w:val="00383E4A"/>
    <w:rsid w:val="0038400F"/>
    <w:rsid w:val="00384BF3"/>
    <w:rsid w:val="00384C8F"/>
    <w:rsid w:val="00384CFE"/>
    <w:rsid w:val="00384D87"/>
    <w:rsid w:val="00384D8D"/>
    <w:rsid w:val="003851BD"/>
    <w:rsid w:val="00385383"/>
    <w:rsid w:val="00385432"/>
    <w:rsid w:val="00385594"/>
    <w:rsid w:val="0038569A"/>
    <w:rsid w:val="0038590E"/>
    <w:rsid w:val="00385CB6"/>
    <w:rsid w:val="00385DD5"/>
    <w:rsid w:val="00385E14"/>
    <w:rsid w:val="00386094"/>
    <w:rsid w:val="003860F2"/>
    <w:rsid w:val="00386180"/>
    <w:rsid w:val="003861A3"/>
    <w:rsid w:val="003861C9"/>
    <w:rsid w:val="0038656D"/>
    <w:rsid w:val="003866C9"/>
    <w:rsid w:val="003868C1"/>
    <w:rsid w:val="003869B1"/>
    <w:rsid w:val="00386E72"/>
    <w:rsid w:val="00386EDF"/>
    <w:rsid w:val="0038715A"/>
    <w:rsid w:val="0038727D"/>
    <w:rsid w:val="003873A9"/>
    <w:rsid w:val="00387590"/>
    <w:rsid w:val="003879C1"/>
    <w:rsid w:val="00387A04"/>
    <w:rsid w:val="00387BC1"/>
    <w:rsid w:val="00390033"/>
    <w:rsid w:val="00390197"/>
    <w:rsid w:val="003907A0"/>
    <w:rsid w:val="00390923"/>
    <w:rsid w:val="00390BD7"/>
    <w:rsid w:val="00390E73"/>
    <w:rsid w:val="0039100C"/>
    <w:rsid w:val="0039120B"/>
    <w:rsid w:val="00391282"/>
    <w:rsid w:val="0039128D"/>
    <w:rsid w:val="003912B2"/>
    <w:rsid w:val="003912C6"/>
    <w:rsid w:val="0039175B"/>
    <w:rsid w:val="003918AC"/>
    <w:rsid w:val="003919BF"/>
    <w:rsid w:val="00391C00"/>
    <w:rsid w:val="00391D29"/>
    <w:rsid w:val="00391E42"/>
    <w:rsid w:val="003922A3"/>
    <w:rsid w:val="003923E7"/>
    <w:rsid w:val="00393113"/>
    <w:rsid w:val="00393655"/>
    <w:rsid w:val="003936B1"/>
    <w:rsid w:val="00393AD4"/>
    <w:rsid w:val="00393D4D"/>
    <w:rsid w:val="003941E5"/>
    <w:rsid w:val="0039420D"/>
    <w:rsid w:val="0039453A"/>
    <w:rsid w:val="003945E4"/>
    <w:rsid w:val="00394DA2"/>
    <w:rsid w:val="00394ED7"/>
    <w:rsid w:val="00394F7E"/>
    <w:rsid w:val="0039503B"/>
    <w:rsid w:val="0039516A"/>
    <w:rsid w:val="003951E7"/>
    <w:rsid w:val="00395448"/>
    <w:rsid w:val="00395648"/>
    <w:rsid w:val="00395754"/>
    <w:rsid w:val="00395839"/>
    <w:rsid w:val="00395B96"/>
    <w:rsid w:val="003963D9"/>
    <w:rsid w:val="003968F0"/>
    <w:rsid w:val="003969A9"/>
    <w:rsid w:val="00396E0A"/>
    <w:rsid w:val="00397193"/>
    <w:rsid w:val="003975EC"/>
    <w:rsid w:val="0039763D"/>
    <w:rsid w:val="003978D6"/>
    <w:rsid w:val="00397A0B"/>
    <w:rsid w:val="00397A11"/>
    <w:rsid w:val="00397C9A"/>
    <w:rsid w:val="00397EC1"/>
    <w:rsid w:val="003A00B0"/>
    <w:rsid w:val="003A030E"/>
    <w:rsid w:val="003A0F2F"/>
    <w:rsid w:val="003A0FDA"/>
    <w:rsid w:val="003A1166"/>
    <w:rsid w:val="003A1381"/>
    <w:rsid w:val="003A14F8"/>
    <w:rsid w:val="003A155A"/>
    <w:rsid w:val="003A16DF"/>
    <w:rsid w:val="003A181D"/>
    <w:rsid w:val="003A1A52"/>
    <w:rsid w:val="003A1B8F"/>
    <w:rsid w:val="003A1CFA"/>
    <w:rsid w:val="003A1EB5"/>
    <w:rsid w:val="003A211A"/>
    <w:rsid w:val="003A227C"/>
    <w:rsid w:val="003A23D5"/>
    <w:rsid w:val="003A24B7"/>
    <w:rsid w:val="003A24FB"/>
    <w:rsid w:val="003A25D1"/>
    <w:rsid w:val="003A2D28"/>
    <w:rsid w:val="003A2D87"/>
    <w:rsid w:val="003A2F09"/>
    <w:rsid w:val="003A34D1"/>
    <w:rsid w:val="003A38AD"/>
    <w:rsid w:val="003A3C37"/>
    <w:rsid w:val="003A4057"/>
    <w:rsid w:val="003A40D9"/>
    <w:rsid w:val="003A46F6"/>
    <w:rsid w:val="003A47AD"/>
    <w:rsid w:val="003A4998"/>
    <w:rsid w:val="003A4B92"/>
    <w:rsid w:val="003A4DAB"/>
    <w:rsid w:val="003A4EE8"/>
    <w:rsid w:val="003A5371"/>
    <w:rsid w:val="003A5496"/>
    <w:rsid w:val="003A5578"/>
    <w:rsid w:val="003A5656"/>
    <w:rsid w:val="003A58CE"/>
    <w:rsid w:val="003A63FE"/>
    <w:rsid w:val="003A6495"/>
    <w:rsid w:val="003A64E6"/>
    <w:rsid w:val="003A65B7"/>
    <w:rsid w:val="003A684B"/>
    <w:rsid w:val="003A68A0"/>
    <w:rsid w:val="003A6A71"/>
    <w:rsid w:val="003A6C8D"/>
    <w:rsid w:val="003A6DC3"/>
    <w:rsid w:val="003A74F4"/>
    <w:rsid w:val="003A7524"/>
    <w:rsid w:val="003A79CF"/>
    <w:rsid w:val="003A7DB6"/>
    <w:rsid w:val="003B022C"/>
    <w:rsid w:val="003B04CF"/>
    <w:rsid w:val="003B0791"/>
    <w:rsid w:val="003B0967"/>
    <w:rsid w:val="003B0BC7"/>
    <w:rsid w:val="003B0C8E"/>
    <w:rsid w:val="003B10A2"/>
    <w:rsid w:val="003B169B"/>
    <w:rsid w:val="003B17FD"/>
    <w:rsid w:val="003B1894"/>
    <w:rsid w:val="003B195C"/>
    <w:rsid w:val="003B1EDC"/>
    <w:rsid w:val="003B20E7"/>
    <w:rsid w:val="003B293E"/>
    <w:rsid w:val="003B2CBF"/>
    <w:rsid w:val="003B321B"/>
    <w:rsid w:val="003B34B4"/>
    <w:rsid w:val="003B37B2"/>
    <w:rsid w:val="003B38BD"/>
    <w:rsid w:val="003B3D7B"/>
    <w:rsid w:val="003B3E96"/>
    <w:rsid w:val="003B3EA7"/>
    <w:rsid w:val="003B4171"/>
    <w:rsid w:val="003B42D2"/>
    <w:rsid w:val="003B457B"/>
    <w:rsid w:val="003B4753"/>
    <w:rsid w:val="003B49B1"/>
    <w:rsid w:val="003B56A7"/>
    <w:rsid w:val="003B5B5D"/>
    <w:rsid w:val="003B5E4D"/>
    <w:rsid w:val="003B5FCE"/>
    <w:rsid w:val="003B6064"/>
    <w:rsid w:val="003B61CC"/>
    <w:rsid w:val="003B63C0"/>
    <w:rsid w:val="003B654A"/>
    <w:rsid w:val="003B66C1"/>
    <w:rsid w:val="003B67EC"/>
    <w:rsid w:val="003B68E6"/>
    <w:rsid w:val="003B6A07"/>
    <w:rsid w:val="003B6BAB"/>
    <w:rsid w:val="003B6C4F"/>
    <w:rsid w:val="003B6DE4"/>
    <w:rsid w:val="003B6E42"/>
    <w:rsid w:val="003B6FAA"/>
    <w:rsid w:val="003B709C"/>
    <w:rsid w:val="003B70A2"/>
    <w:rsid w:val="003B7178"/>
    <w:rsid w:val="003B7199"/>
    <w:rsid w:val="003B7610"/>
    <w:rsid w:val="003B76C9"/>
    <w:rsid w:val="003B79FA"/>
    <w:rsid w:val="003B7A5E"/>
    <w:rsid w:val="003B7D2A"/>
    <w:rsid w:val="003B7D90"/>
    <w:rsid w:val="003C01D2"/>
    <w:rsid w:val="003C01E6"/>
    <w:rsid w:val="003C052B"/>
    <w:rsid w:val="003C05B6"/>
    <w:rsid w:val="003C0833"/>
    <w:rsid w:val="003C09B9"/>
    <w:rsid w:val="003C09E0"/>
    <w:rsid w:val="003C0BCA"/>
    <w:rsid w:val="003C0CC4"/>
    <w:rsid w:val="003C0E2D"/>
    <w:rsid w:val="003C0EE4"/>
    <w:rsid w:val="003C13EE"/>
    <w:rsid w:val="003C1619"/>
    <w:rsid w:val="003C1810"/>
    <w:rsid w:val="003C1AD1"/>
    <w:rsid w:val="003C1B6D"/>
    <w:rsid w:val="003C2331"/>
    <w:rsid w:val="003C2693"/>
    <w:rsid w:val="003C2CE4"/>
    <w:rsid w:val="003C2D20"/>
    <w:rsid w:val="003C2E1C"/>
    <w:rsid w:val="003C31EB"/>
    <w:rsid w:val="003C3861"/>
    <w:rsid w:val="003C39D0"/>
    <w:rsid w:val="003C3DDB"/>
    <w:rsid w:val="003C3E9C"/>
    <w:rsid w:val="003C4321"/>
    <w:rsid w:val="003C43F5"/>
    <w:rsid w:val="003C4427"/>
    <w:rsid w:val="003C4512"/>
    <w:rsid w:val="003C472A"/>
    <w:rsid w:val="003C47E3"/>
    <w:rsid w:val="003C4F89"/>
    <w:rsid w:val="003C54D1"/>
    <w:rsid w:val="003C58A9"/>
    <w:rsid w:val="003C58D4"/>
    <w:rsid w:val="003C59BB"/>
    <w:rsid w:val="003C59FD"/>
    <w:rsid w:val="003C5B18"/>
    <w:rsid w:val="003C5BF1"/>
    <w:rsid w:val="003C5CBF"/>
    <w:rsid w:val="003C5ECA"/>
    <w:rsid w:val="003C5F86"/>
    <w:rsid w:val="003C600E"/>
    <w:rsid w:val="003C6267"/>
    <w:rsid w:val="003C63DC"/>
    <w:rsid w:val="003C64BC"/>
    <w:rsid w:val="003C66EB"/>
    <w:rsid w:val="003C66F6"/>
    <w:rsid w:val="003C6B25"/>
    <w:rsid w:val="003C6CB4"/>
    <w:rsid w:val="003C6FE2"/>
    <w:rsid w:val="003C72BF"/>
    <w:rsid w:val="003C765F"/>
    <w:rsid w:val="003C7810"/>
    <w:rsid w:val="003C7DDC"/>
    <w:rsid w:val="003D02CC"/>
    <w:rsid w:val="003D07E5"/>
    <w:rsid w:val="003D0BCB"/>
    <w:rsid w:val="003D0C5C"/>
    <w:rsid w:val="003D0E99"/>
    <w:rsid w:val="003D0FE4"/>
    <w:rsid w:val="003D1344"/>
    <w:rsid w:val="003D1699"/>
    <w:rsid w:val="003D18C0"/>
    <w:rsid w:val="003D1975"/>
    <w:rsid w:val="003D1A3D"/>
    <w:rsid w:val="003D1C5D"/>
    <w:rsid w:val="003D1CE8"/>
    <w:rsid w:val="003D1E69"/>
    <w:rsid w:val="003D2343"/>
    <w:rsid w:val="003D2717"/>
    <w:rsid w:val="003D2CF7"/>
    <w:rsid w:val="003D2E2D"/>
    <w:rsid w:val="003D2FFA"/>
    <w:rsid w:val="003D3123"/>
    <w:rsid w:val="003D32E7"/>
    <w:rsid w:val="003D3459"/>
    <w:rsid w:val="003D359A"/>
    <w:rsid w:val="003D3B13"/>
    <w:rsid w:val="003D3BF4"/>
    <w:rsid w:val="003D3F29"/>
    <w:rsid w:val="003D4583"/>
    <w:rsid w:val="003D472F"/>
    <w:rsid w:val="003D4F33"/>
    <w:rsid w:val="003D4FF1"/>
    <w:rsid w:val="003D5134"/>
    <w:rsid w:val="003D56EA"/>
    <w:rsid w:val="003D5730"/>
    <w:rsid w:val="003D5843"/>
    <w:rsid w:val="003D5899"/>
    <w:rsid w:val="003D5983"/>
    <w:rsid w:val="003D5BC5"/>
    <w:rsid w:val="003D5BCA"/>
    <w:rsid w:val="003D5CAB"/>
    <w:rsid w:val="003D5DEC"/>
    <w:rsid w:val="003D5E56"/>
    <w:rsid w:val="003D60ED"/>
    <w:rsid w:val="003D6636"/>
    <w:rsid w:val="003D66C0"/>
    <w:rsid w:val="003D6881"/>
    <w:rsid w:val="003D6EC8"/>
    <w:rsid w:val="003D6EDF"/>
    <w:rsid w:val="003D7208"/>
    <w:rsid w:val="003D7399"/>
    <w:rsid w:val="003D7C33"/>
    <w:rsid w:val="003D7DDD"/>
    <w:rsid w:val="003D7FA7"/>
    <w:rsid w:val="003E037E"/>
    <w:rsid w:val="003E04D9"/>
    <w:rsid w:val="003E057C"/>
    <w:rsid w:val="003E060D"/>
    <w:rsid w:val="003E088C"/>
    <w:rsid w:val="003E09E4"/>
    <w:rsid w:val="003E0B08"/>
    <w:rsid w:val="003E0E89"/>
    <w:rsid w:val="003E0F05"/>
    <w:rsid w:val="003E118C"/>
    <w:rsid w:val="003E17C7"/>
    <w:rsid w:val="003E1B2D"/>
    <w:rsid w:val="003E1BA0"/>
    <w:rsid w:val="003E1D58"/>
    <w:rsid w:val="003E1FB4"/>
    <w:rsid w:val="003E22A9"/>
    <w:rsid w:val="003E236C"/>
    <w:rsid w:val="003E2517"/>
    <w:rsid w:val="003E25F1"/>
    <w:rsid w:val="003E26B1"/>
    <w:rsid w:val="003E2738"/>
    <w:rsid w:val="003E2894"/>
    <w:rsid w:val="003E2CF1"/>
    <w:rsid w:val="003E3606"/>
    <w:rsid w:val="003E3790"/>
    <w:rsid w:val="003E37CA"/>
    <w:rsid w:val="003E39C8"/>
    <w:rsid w:val="003E39FF"/>
    <w:rsid w:val="003E3A2D"/>
    <w:rsid w:val="003E3AF0"/>
    <w:rsid w:val="003E3C03"/>
    <w:rsid w:val="003E3EDE"/>
    <w:rsid w:val="003E3F79"/>
    <w:rsid w:val="003E4258"/>
    <w:rsid w:val="003E42CB"/>
    <w:rsid w:val="003E438A"/>
    <w:rsid w:val="003E43A4"/>
    <w:rsid w:val="003E46A1"/>
    <w:rsid w:val="003E47FA"/>
    <w:rsid w:val="003E48AE"/>
    <w:rsid w:val="003E4EFE"/>
    <w:rsid w:val="003E4F15"/>
    <w:rsid w:val="003E55F5"/>
    <w:rsid w:val="003E572F"/>
    <w:rsid w:val="003E58F5"/>
    <w:rsid w:val="003E5937"/>
    <w:rsid w:val="003E5CAC"/>
    <w:rsid w:val="003E5DE1"/>
    <w:rsid w:val="003E5F92"/>
    <w:rsid w:val="003E5FA3"/>
    <w:rsid w:val="003E626E"/>
    <w:rsid w:val="003E6ACD"/>
    <w:rsid w:val="003E6E28"/>
    <w:rsid w:val="003E6E8C"/>
    <w:rsid w:val="003E6F94"/>
    <w:rsid w:val="003E77B7"/>
    <w:rsid w:val="003E77EC"/>
    <w:rsid w:val="003E78AB"/>
    <w:rsid w:val="003E79EB"/>
    <w:rsid w:val="003E7B7E"/>
    <w:rsid w:val="003E7C3D"/>
    <w:rsid w:val="003F02D4"/>
    <w:rsid w:val="003F0DD0"/>
    <w:rsid w:val="003F14BB"/>
    <w:rsid w:val="003F1553"/>
    <w:rsid w:val="003F1625"/>
    <w:rsid w:val="003F1701"/>
    <w:rsid w:val="003F1B25"/>
    <w:rsid w:val="003F1F98"/>
    <w:rsid w:val="003F2038"/>
    <w:rsid w:val="003F2136"/>
    <w:rsid w:val="003F23B2"/>
    <w:rsid w:val="003F24DD"/>
    <w:rsid w:val="003F27F3"/>
    <w:rsid w:val="003F2982"/>
    <w:rsid w:val="003F29C0"/>
    <w:rsid w:val="003F2A49"/>
    <w:rsid w:val="003F2B9E"/>
    <w:rsid w:val="003F2C46"/>
    <w:rsid w:val="003F2CA5"/>
    <w:rsid w:val="003F32C9"/>
    <w:rsid w:val="003F3351"/>
    <w:rsid w:val="003F33F5"/>
    <w:rsid w:val="003F34A9"/>
    <w:rsid w:val="003F3522"/>
    <w:rsid w:val="003F36CB"/>
    <w:rsid w:val="003F3F79"/>
    <w:rsid w:val="003F41E5"/>
    <w:rsid w:val="003F43BD"/>
    <w:rsid w:val="003F442F"/>
    <w:rsid w:val="003F44CA"/>
    <w:rsid w:val="003F47A4"/>
    <w:rsid w:val="003F4B5D"/>
    <w:rsid w:val="003F4C4C"/>
    <w:rsid w:val="003F4D94"/>
    <w:rsid w:val="003F4F8E"/>
    <w:rsid w:val="003F4FA2"/>
    <w:rsid w:val="003F5A6E"/>
    <w:rsid w:val="003F5A90"/>
    <w:rsid w:val="003F5BB6"/>
    <w:rsid w:val="003F5EC0"/>
    <w:rsid w:val="003F6245"/>
    <w:rsid w:val="003F62C9"/>
    <w:rsid w:val="003F66E3"/>
    <w:rsid w:val="003F6824"/>
    <w:rsid w:val="003F6943"/>
    <w:rsid w:val="003F7196"/>
    <w:rsid w:val="003F735A"/>
    <w:rsid w:val="003F73FA"/>
    <w:rsid w:val="003F7619"/>
    <w:rsid w:val="003F76BC"/>
    <w:rsid w:val="003F77E8"/>
    <w:rsid w:val="003F77F0"/>
    <w:rsid w:val="003F78C1"/>
    <w:rsid w:val="003F7E69"/>
    <w:rsid w:val="00400092"/>
    <w:rsid w:val="004002E7"/>
    <w:rsid w:val="00400339"/>
    <w:rsid w:val="0040048E"/>
    <w:rsid w:val="004004C9"/>
    <w:rsid w:val="00400992"/>
    <w:rsid w:val="00400C4D"/>
    <w:rsid w:val="00400CB2"/>
    <w:rsid w:val="00401081"/>
    <w:rsid w:val="004012B7"/>
    <w:rsid w:val="004013D0"/>
    <w:rsid w:val="0040156A"/>
    <w:rsid w:val="00401E76"/>
    <w:rsid w:val="00401EF9"/>
    <w:rsid w:val="004023D5"/>
    <w:rsid w:val="004025EE"/>
    <w:rsid w:val="00402628"/>
    <w:rsid w:val="00402706"/>
    <w:rsid w:val="004027BC"/>
    <w:rsid w:val="00402905"/>
    <w:rsid w:val="00402A0B"/>
    <w:rsid w:val="00402F25"/>
    <w:rsid w:val="00402F41"/>
    <w:rsid w:val="00403661"/>
    <w:rsid w:val="00403B1A"/>
    <w:rsid w:val="00403D13"/>
    <w:rsid w:val="00404087"/>
    <w:rsid w:val="0040430B"/>
    <w:rsid w:val="0040458A"/>
    <w:rsid w:val="004045CD"/>
    <w:rsid w:val="0040478C"/>
    <w:rsid w:val="00404C1B"/>
    <w:rsid w:val="00405011"/>
    <w:rsid w:val="00405319"/>
    <w:rsid w:val="00405360"/>
    <w:rsid w:val="00405465"/>
    <w:rsid w:val="00405679"/>
    <w:rsid w:val="004056D2"/>
    <w:rsid w:val="00405C25"/>
    <w:rsid w:val="00405CAC"/>
    <w:rsid w:val="00405DCA"/>
    <w:rsid w:val="00405F14"/>
    <w:rsid w:val="00405F5A"/>
    <w:rsid w:val="0040652E"/>
    <w:rsid w:val="004065E7"/>
    <w:rsid w:val="0040676D"/>
    <w:rsid w:val="00406B08"/>
    <w:rsid w:val="00406B4E"/>
    <w:rsid w:val="00406CAC"/>
    <w:rsid w:val="00406E66"/>
    <w:rsid w:val="00406F98"/>
    <w:rsid w:val="0040724B"/>
    <w:rsid w:val="00407390"/>
    <w:rsid w:val="004074A9"/>
    <w:rsid w:val="00407640"/>
    <w:rsid w:val="0040777E"/>
    <w:rsid w:val="0040790B"/>
    <w:rsid w:val="00407E4A"/>
    <w:rsid w:val="00407F1A"/>
    <w:rsid w:val="004104EA"/>
    <w:rsid w:val="00410898"/>
    <w:rsid w:val="00410B9C"/>
    <w:rsid w:val="00411286"/>
    <w:rsid w:val="00411476"/>
    <w:rsid w:val="0041158F"/>
    <w:rsid w:val="004117F7"/>
    <w:rsid w:val="00411879"/>
    <w:rsid w:val="00411A37"/>
    <w:rsid w:val="00411AA1"/>
    <w:rsid w:val="00411BBC"/>
    <w:rsid w:val="00412083"/>
    <w:rsid w:val="00412145"/>
    <w:rsid w:val="00412344"/>
    <w:rsid w:val="004123D7"/>
    <w:rsid w:val="00412438"/>
    <w:rsid w:val="00412513"/>
    <w:rsid w:val="00412AF1"/>
    <w:rsid w:val="0041307A"/>
    <w:rsid w:val="004132C3"/>
    <w:rsid w:val="00413349"/>
    <w:rsid w:val="0041344C"/>
    <w:rsid w:val="0041346A"/>
    <w:rsid w:val="0041365C"/>
    <w:rsid w:val="00414376"/>
    <w:rsid w:val="00414397"/>
    <w:rsid w:val="00414649"/>
    <w:rsid w:val="00415031"/>
    <w:rsid w:val="00415052"/>
    <w:rsid w:val="00415142"/>
    <w:rsid w:val="004151CE"/>
    <w:rsid w:val="00415207"/>
    <w:rsid w:val="00415257"/>
    <w:rsid w:val="0041539F"/>
    <w:rsid w:val="004155D0"/>
    <w:rsid w:val="00415794"/>
    <w:rsid w:val="004158A2"/>
    <w:rsid w:val="004158A6"/>
    <w:rsid w:val="004158C2"/>
    <w:rsid w:val="004158C4"/>
    <w:rsid w:val="00415929"/>
    <w:rsid w:val="00415EAE"/>
    <w:rsid w:val="00415EB2"/>
    <w:rsid w:val="00416456"/>
    <w:rsid w:val="004169E7"/>
    <w:rsid w:val="00416A5B"/>
    <w:rsid w:val="00416AA7"/>
    <w:rsid w:val="00416ABB"/>
    <w:rsid w:val="00416EA5"/>
    <w:rsid w:val="00417283"/>
    <w:rsid w:val="00417452"/>
    <w:rsid w:val="0041747C"/>
    <w:rsid w:val="00417718"/>
    <w:rsid w:val="00417A5F"/>
    <w:rsid w:val="00417AF8"/>
    <w:rsid w:val="00417C4A"/>
    <w:rsid w:val="00420A4E"/>
    <w:rsid w:val="00420C68"/>
    <w:rsid w:val="00420CAF"/>
    <w:rsid w:val="00420E15"/>
    <w:rsid w:val="00420F43"/>
    <w:rsid w:val="0042106C"/>
    <w:rsid w:val="004210C4"/>
    <w:rsid w:val="004211EF"/>
    <w:rsid w:val="00421346"/>
    <w:rsid w:val="00421372"/>
    <w:rsid w:val="00421481"/>
    <w:rsid w:val="00421587"/>
    <w:rsid w:val="0042158A"/>
    <w:rsid w:val="00421788"/>
    <w:rsid w:val="00421C5D"/>
    <w:rsid w:val="00422B1B"/>
    <w:rsid w:val="00422B61"/>
    <w:rsid w:val="0042341F"/>
    <w:rsid w:val="0042346A"/>
    <w:rsid w:val="004234DD"/>
    <w:rsid w:val="004234E7"/>
    <w:rsid w:val="0042351E"/>
    <w:rsid w:val="00423537"/>
    <w:rsid w:val="00423689"/>
    <w:rsid w:val="00423839"/>
    <w:rsid w:val="00423D9E"/>
    <w:rsid w:val="00423F65"/>
    <w:rsid w:val="0042400F"/>
    <w:rsid w:val="0042449E"/>
    <w:rsid w:val="004246F0"/>
    <w:rsid w:val="0042476F"/>
    <w:rsid w:val="004247CD"/>
    <w:rsid w:val="004249CA"/>
    <w:rsid w:val="004249E0"/>
    <w:rsid w:val="00424A2A"/>
    <w:rsid w:val="00424BDF"/>
    <w:rsid w:val="00424D54"/>
    <w:rsid w:val="0042505B"/>
    <w:rsid w:val="00425173"/>
    <w:rsid w:val="00425226"/>
    <w:rsid w:val="00425533"/>
    <w:rsid w:val="00425AF9"/>
    <w:rsid w:val="00425EC6"/>
    <w:rsid w:val="00425F2A"/>
    <w:rsid w:val="00425F5D"/>
    <w:rsid w:val="00426027"/>
    <w:rsid w:val="00426267"/>
    <w:rsid w:val="004262E5"/>
    <w:rsid w:val="00426865"/>
    <w:rsid w:val="004268A5"/>
    <w:rsid w:val="00426B4F"/>
    <w:rsid w:val="00426C50"/>
    <w:rsid w:val="00426CC9"/>
    <w:rsid w:val="00426E0F"/>
    <w:rsid w:val="00426EC1"/>
    <w:rsid w:val="00427463"/>
    <w:rsid w:val="0042748C"/>
    <w:rsid w:val="00427525"/>
    <w:rsid w:val="00427552"/>
    <w:rsid w:val="004278A0"/>
    <w:rsid w:val="00427990"/>
    <w:rsid w:val="004279A4"/>
    <w:rsid w:val="00427CFB"/>
    <w:rsid w:val="0043006F"/>
    <w:rsid w:val="004302DA"/>
    <w:rsid w:val="004303F2"/>
    <w:rsid w:val="0043041C"/>
    <w:rsid w:val="0043050F"/>
    <w:rsid w:val="004307EB"/>
    <w:rsid w:val="004308B0"/>
    <w:rsid w:val="00430943"/>
    <w:rsid w:val="00430A89"/>
    <w:rsid w:val="00431134"/>
    <w:rsid w:val="00431155"/>
    <w:rsid w:val="00431213"/>
    <w:rsid w:val="00431601"/>
    <w:rsid w:val="0043193D"/>
    <w:rsid w:val="00432159"/>
    <w:rsid w:val="004327D0"/>
    <w:rsid w:val="00432A77"/>
    <w:rsid w:val="00432D77"/>
    <w:rsid w:val="00432ED4"/>
    <w:rsid w:val="00433181"/>
    <w:rsid w:val="00433FBB"/>
    <w:rsid w:val="00434391"/>
    <w:rsid w:val="00434D0B"/>
    <w:rsid w:val="00434DA2"/>
    <w:rsid w:val="00434E6C"/>
    <w:rsid w:val="00434FDA"/>
    <w:rsid w:val="0043516F"/>
    <w:rsid w:val="00435254"/>
    <w:rsid w:val="00435D4E"/>
    <w:rsid w:val="00435E38"/>
    <w:rsid w:val="00435FB3"/>
    <w:rsid w:val="00436407"/>
    <w:rsid w:val="004369EA"/>
    <w:rsid w:val="00436B0E"/>
    <w:rsid w:val="00436F01"/>
    <w:rsid w:val="00437804"/>
    <w:rsid w:val="00437B1D"/>
    <w:rsid w:val="00437E4A"/>
    <w:rsid w:val="00437EBA"/>
    <w:rsid w:val="00437FF3"/>
    <w:rsid w:val="00440019"/>
    <w:rsid w:val="0044016F"/>
    <w:rsid w:val="00440417"/>
    <w:rsid w:val="004405A4"/>
    <w:rsid w:val="00440608"/>
    <w:rsid w:val="00440AB8"/>
    <w:rsid w:val="00440B48"/>
    <w:rsid w:val="00440C9B"/>
    <w:rsid w:val="00440F6B"/>
    <w:rsid w:val="00441170"/>
    <w:rsid w:val="00441368"/>
    <w:rsid w:val="004415D4"/>
    <w:rsid w:val="004416E0"/>
    <w:rsid w:val="00441D10"/>
    <w:rsid w:val="00441F15"/>
    <w:rsid w:val="00442378"/>
    <w:rsid w:val="004426CE"/>
    <w:rsid w:val="004429E3"/>
    <w:rsid w:val="00442C84"/>
    <w:rsid w:val="00442CC2"/>
    <w:rsid w:val="00442F64"/>
    <w:rsid w:val="00442FBC"/>
    <w:rsid w:val="00443717"/>
    <w:rsid w:val="00443821"/>
    <w:rsid w:val="0044388F"/>
    <w:rsid w:val="00443C51"/>
    <w:rsid w:val="00443FEA"/>
    <w:rsid w:val="004445B1"/>
    <w:rsid w:val="00444719"/>
    <w:rsid w:val="00444C45"/>
    <w:rsid w:val="00444E90"/>
    <w:rsid w:val="00444F08"/>
    <w:rsid w:val="00444F23"/>
    <w:rsid w:val="00445010"/>
    <w:rsid w:val="00445508"/>
    <w:rsid w:val="004455AA"/>
    <w:rsid w:val="0044561B"/>
    <w:rsid w:val="004457F9"/>
    <w:rsid w:val="00445816"/>
    <w:rsid w:val="00445853"/>
    <w:rsid w:val="004459FF"/>
    <w:rsid w:val="00445BC3"/>
    <w:rsid w:val="00445CA5"/>
    <w:rsid w:val="00445CAC"/>
    <w:rsid w:val="00445E9C"/>
    <w:rsid w:val="004460BD"/>
    <w:rsid w:val="00446363"/>
    <w:rsid w:val="00446380"/>
    <w:rsid w:val="004468DC"/>
    <w:rsid w:val="00446C20"/>
    <w:rsid w:val="00446E21"/>
    <w:rsid w:val="00446EE0"/>
    <w:rsid w:val="004471FE"/>
    <w:rsid w:val="004472A1"/>
    <w:rsid w:val="00447530"/>
    <w:rsid w:val="004479A9"/>
    <w:rsid w:val="00447CEC"/>
    <w:rsid w:val="00447DD4"/>
    <w:rsid w:val="00447E91"/>
    <w:rsid w:val="00447EF3"/>
    <w:rsid w:val="00450483"/>
    <w:rsid w:val="00450575"/>
    <w:rsid w:val="0045098F"/>
    <w:rsid w:val="00450A00"/>
    <w:rsid w:val="00450AFC"/>
    <w:rsid w:val="00450C7C"/>
    <w:rsid w:val="00450C91"/>
    <w:rsid w:val="0045114B"/>
    <w:rsid w:val="00451778"/>
    <w:rsid w:val="00451A9D"/>
    <w:rsid w:val="00451BEB"/>
    <w:rsid w:val="00451E68"/>
    <w:rsid w:val="00451FDD"/>
    <w:rsid w:val="0045204C"/>
    <w:rsid w:val="0045215C"/>
    <w:rsid w:val="00452408"/>
    <w:rsid w:val="00452A19"/>
    <w:rsid w:val="00452AC2"/>
    <w:rsid w:val="00452AFF"/>
    <w:rsid w:val="00452B60"/>
    <w:rsid w:val="00452C71"/>
    <w:rsid w:val="00452CE0"/>
    <w:rsid w:val="00453040"/>
    <w:rsid w:val="004531DE"/>
    <w:rsid w:val="00453337"/>
    <w:rsid w:val="00453808"/>
    <w:rsid w:val="00453A3B"/>
    <w:rsid w:val="00453A7A"/>
    <w:rsid w:val="00453AB9"/>
    <w:rsid w:val="00453BD3"/>
    <w:rsid w:val="00453C5A"/>
    <w:rsid w:val="004546CA"/>
    <w:rsid w:val="00454EDC"/>
    <w:rsid w:val="0045514A"/>
    <w:rsid w:val="0045544D"/>
    <w:rsid w:val="00455615"/>
    <w:rsid w:val="00455790"/>
    <w:rsid w:val="004558A8"/>
    <w:rsid w:val="00455A95"/>
    <w:rsid w:val="00455D3F"/>
    <w:rsid w:val="00455D89"/>
    <w:rsid w:val="00455DAD"/>
    <w:rsid w:val="00455DF8"/>
    <w:rsid w:val="00455DFB"/>
    <w:rsid w:val="004561AC"/>
    <w:rsid w:val="00456328"/>
    <w:rsid w:val="004567C4"/>
    <w:rsid w:val="00456843"/>
    <w:rsid w:val="00456CEE"/>
    <w:rsid w:val="00456D81"/>
    <w:rsid w:val="00456FE2"/>
    <w:rsid w:val="00457082"/>
    <w:rsid w:val="004571D3"/>
    <w:rsid w:val="004572A0"/>
    <w:rsid w:val="004576D0"/>
    <w:rsid w:val="00457A43"/>
    <w:rsid w:val="00457BDD"/>
    <w:rsid w:val="00457F38"/>
    <w:rsid w:val="004600BA"/>
    <w:rsid w:val="00460409"/>
    <w:rsid w:val="00460554"/>
    <w:rsid w:val="004606EA"/>
    <w:rsid w:val="00460A37"/>
    <w:rsid w:val="00460C31"/>
    <w:rsid w:val="00460E64"/>
    <w:rsid w:val="00460ED2"/>
    <w:rsid w:val="004610DE"/>
    <w:rsid w:val="004611C1"/>
    <w:rsid w:val="0046135A"/>
    <w:rsid w:val="004618B4"/>
    <w:rsid w:val="00461AF9"/>
    <w:rsid w:val="00461B85"/>
    <w:rsid w:val="00461D90"/>
    <w:rsid w:val="00461F39"/>
    <w:rsid w:val="0046200C"/>
    <w:rsid w:val="0046254F"/>
    <w:rsid w:val="004626DE"/>
    <w:rsid w:val="00462933"/>
    <w:rsid w:val="00462BFC"/>
    <w:rsid w:val="00462C1E"/>
    <w:rsid w:val="00462FC1"/>
    <w:rsid w:val="00462FE2"/>
    <w:rsid w:val="004631A5"/>
    <w:rsid w:val="004631C0"/>
    <w:rsid w:val="00463489"/>
    <w:rsid w:val="0046355D"/>
    <w:rsid w:val="0046356B"/>
    <w:rsid w:val="0046379A"/>
    <w:rsid w:val="004637A8"/>
    <w:rsid w:val="00463A55"/>
    <w:rsid w:val="00463F48"/>
    <w:rsid w:val="00464013"/>
    <w:rsid w:val="0046429F"/>
    <w:rsid w:val="00464366"/>
    <w:rsid w:val="00464512"/>
    <w:rsid w:val="004645B8"/>
    <w:rsid w:val="00464636"/>
    <w:rsid w:val="00464669"/>
    <w:rsid w:val="00464BE8"/>
    <w:rsid w:val="00464DE7"/>
    <w:rsid w:val="0046503D"/>
    <w:rsid w:val="00465401"/>
    <w:rsid w:val="004656E8"/>
    <w:rsid w:val="00465BE9"/>
    <w:rsid w:val="00465C89"/>
    <w:rsid w:val="00466469"/>
    <w:rsid w:val="0046693E"/>
    <w:rsid w:val="00466A69"/>
    <w:rsid w:val="00466AE2"/>
    <w:rsid w:val="00466EAC"/>
    <w:rsid w:val="00466F24"/>
    <w:rsid w:val="004670FF"/>
    <w:rsid w:val="0046790C"/>
    <w:rsid w:val="00467964"/>
    <w:rsid w:val="00467B0E"/>
    <w:rsid w:val="00467F4D"/>
    <w:rsid w:val="00467FF9"/>
    <w:rsid w:val="004706F6"/>
    <w:rsid w:val="004708C7"/>
    <w:rsid w:val="00470C71"/>
    <w:rsid w:val="00470EC1"/>
    <w:rsid w:val="00471057"/>
    <w:rsid w:val="0047142A"/>
    <w:rsid w:val="00471ACB"/>
    <w:rsid w:val="00471D49"/>
    <w:rsid w:val="00471DCF"/>
    <w:rsid w:val="004720B8"/>
    <w:rsid w:val="004723A7"/>
    <w:rsid w:val="004724D0"/>
    <w:rsid w:val="004729A8"/>
    <w:rsid w:val="004729C1"/>
    <w:rsid w:val="00472C0D"/>
    <w:rsid w:val="00472DAF"/>
    <w:rsid w:val="00472E72"/>
    <w:rsid w:val="004731BC"/>
    <w:rsid w:val="004731F1"/>
    <w:rsid w:val="004734C6"/>
    <w:rsid w:val="004735DA"/>
    <w:rsid w:val="0047378C"/>
    <w:rsid w:val="00473863"/>
    <w:rsid w:val="00473D0E"/>
    <w:rsid w:val="0047463C"/>
    <w:rsid w:val="00474765"/>
    <w:rsid w:val="004747D8"/>
    <w:rsid w:val="00474CD4"/>
    <w:rsid w:val="00475506"/>
    <w:rsid w:val="00475602"/>
    <w:rsid w:val="00475A54"/>
    <w:rsid w:val="00475EAE"/>
    <w:rsid w:val="00476224"/>
    <w:rsid w:val="00476237"/>
    <w:rsid w:val="004764F1"/>
    <w:rsid w:val="004765F7"/>
    <w:rsid w:val="004769C9"/>
    <w:rsid w:val="00476A2E"/>
    <w:rsid w:val="00476CF7"/>
    <w:rsid w:val="00476F51"/>
    <w:rsid w:val="00476FCF"/>
    <w:rsid w:val="00477135"/>
    <w:rsid w:val="0047716D"/>
    <w:rsid w:val="00477323"/>
    <w:rsid w:val="00477631"/>
    <w:rsid w:val="00477643"/>
    <w:rsid w:val="004777B8"/>
    <w:rsid w:val="004778B1"/>
    <w:rsid w:val="00477C9B"/>
    <w:rsid w:val="004800DF"/>
    <w:rsid w:val="00480274"/>
    <w:rsid w:val="004803B9"/>
    <w:rsid w:val="004804D4"/>
    <w:rsid w:val="0048070E"/>
    <w:rsid w:val="00480738"/>
    <w:rsid w:val="00480806"/>
    <w:rsid w:val="00480B54"/>
    <w:rsid w:val="00480CDB"/>
    <w:rsid w:val="00480D02"/>
    <w:rsid w:val="00480E3A"/>
    <w:rsid w:val="004813D2"/>
    <w:rsid w:val="00481533"/>
    <w:rsid w:val="004816E6"/>
    <w:rsid w:val="00481A05"/>
    <w:rsid w:val="0048256C"/>
    <w:rsid w:val="00482698"/>
    <w:rsid w:val="004826CD"/>
    <w:rsid w:val="004828D2"/>
    <w:rsid w:val="00482C28"/>
    <w:rsid w:val="00482D09"/>
    <w:rsid w:val="00482D58"/>
    <w:rsid w:val="00482E7B"/>
    <w:rsid w:val="00482F8B"/>
    <w:rsid w:val="00483172"/>
    <w:rsid w:val="004831BB"/>
    <w:rsid w:val="0048321D"/>
    <w:rsid w:val="004834C1"/>
    <w:rsid w:val="00483945"/>
    <w:rsid w:val="00483A00"/>
    <w:rsid w:val="00483ACD"/>
    <w:rsid w:val="00484157"/>
    <w:rsid w:val="004841F8"/>
    <w:rsid w:val="004844C2"/>
    <w:rsid w:val="00484BC0"/>
    <w:rsid w:val="00484BDA"/>
    <w:rsid w:val="00484E46"/>
    <w:rsid w:val="00484F99"/>
    <w:rsid w:val="0048504A"/>
    <w:rsid w:val="00485470"/>
    <w:rsid w:val="0048579D"/>
    <w:rsid w:val="00485BEA"/>
    <w:rsid w:val="00485D4E"/>
    <w:rsid w:val="00485EE7"/>
    <w:rsid w:val="0048607D"/>
    <w:rsid w:val="00486347"/>
    <w:rsid w:val="0048652D"/>
    <w:rsid w:val="0048674D"/>
    <w:rsid w:val="0048693C"/>
    <w:rsid w:val="0048698F"/>
    <w:rsid w:val="00486BD4"/>
    <w:rsid w:val="00487088"/>
    <w:rsid w:val="004875E9"/>
    <w:rsid w:val="004877B2"/>
    <w:rsid w:val="00487A4D"/>
    <w:rsid w:val="00487A68"/>
    <w:rsid w:val="00487AAA"/>
    <w:rsid w:val="00487B73"/>
    <w:rsid w:val="00487B80"/>
    <w:rsid w:val="00487BDC"/>
    <w:rsid w:val="00487BFD"/>
    <w:rsid w:val="00487C6C"/>
    <w:rsid w:val="00487D7E"/>
    <w:rsid w:val="00487E49"/>
    <w:rsid w:val="00490156"/>
    <w:rsid w:val="00490169"/>
    <w:rsid w:val="0049052B"/>
    <w:rsid w:val="004908BE"/>
    <w:rsid w:val="00490A19"/>
    <w:rsid w:val="00490BC6"/>
    <w:rsid w:val="00490CBF"/>
    <w:rsid w:val="00490DCF"/>
    <w:rsid w:val="00491037"/>
    <w:rsid w:val="00491080"/>
    <w:rsid w:val="00491152"/>
    <w:rsid w:val="0049123A"/>
    <w:rsid w:val="004916A8"/>
    <w:rsid w:val="004919E9"/>
    <w:rsid w:val="00491D77"/>
    <w:rsid w:val="00491E3C"/>
    <w:rsid w:val="00491F0D"/>
    <w:rsid w:val="004921AF"/>
    <w:rsid w:val="0049229B"/>
    <w:rsid w:val="00492479"/>
    <w:rsid w:val="00492489"/>
    <w:rsid w:val="00492501"/>
    <w:rsid w:val="004929C1"/>
    <w:rsid w:val="00492C92"/>
    <w:rsid w:val="00492CBC"/>
    <w:rsid w:val="00492D80"/>
    <w:rsid w:val="0049305A"/>
    <w:rsid w:val="00493095"/>
    <w:rsid w:val="0049330A"/>
    <w:rsid w:val="0049332A"/>
    <w:rsid w:val="004937F3"/>
    <w:rsid w:val="00493B03"/>
    <w:rsid w:val="00493B76"/>
    <w:rsid w:val="00493C08"/>
    <w:rsid w:val="00493D72"/>
    <w:rsid w:val="00493E5F"/>
    <w:rsid w:val="00493EF1"/>
    <w:rsid w:val="0049400A"/>
    <w:rsid w:val="00494031"/>
    <w:rsid w:val="00494189"/>
    <w:rsid w:val="00494529"/>
    <w:rsid w:val="0049454B"/>
    <w:rsid w:val="00494829"/>
    <w:rsid w:val="00494965"/>
    <w:rsid w:val="00494B02"/>
    <w:rsid w:val="00494B46"/>
    <w:rsid w:val="00494B5B"/>
    <w:rsid w:val="00494BE2"/>
    <w:rsid w:val="00494F84"/>
    <w:rsid w:val="00495059"/>
    <w:rsid w:val="004950FF"/>
    <w:rsid w:val="0049541B"/>
    <w:rsid w:val="00495466"/>
    <w:rsid w:val="0049575B"/>
    <w:rsid w:val="0049584D"/>
    <w:rsid w:val="00495894"/>
    <w:rsid w:val="00495915"/>
    <w:rsid w:val="00495B45"/>
    <w:rsid w:val="00495D56"/>
    <w:rsid w:val="00495F57"/>
    <w:rsid w:val="00496259"/>
    <w:rsid w:val="00496628"/>
    <w:rsid w:val="00496A48"/>
    <w:rsid w:val="00496D8C"/>
    <w:rsid w:val="0049760B"/>
    <w:rsid w:val="00497687"/>
    <w:rsid w:val="00497AC3"/>
    <w:rsid w:val="00497AF0"/>
    <w:rsid w:val="00497B25"/>
    <w:rsid w:val="00497C69"/>
    <w:rsid w:val="004A03B5"/>
    <w:rsid w:val="004A08FE"/>
    <w:rsid w:val="004A0F99"/>
    <w:rsid w:val="004A10BB"/>
    <w:rsid w:val="004A131A"/>
    <w:rsid w:val="004A149F"/>
    <w:rsid w:val="004A1656"/>
    <w:rsid w:val="004A1B4D"/>
    <w:rsid w:val="004A1BE9"/>
    <w:rsid w:val="004A1CCA"/>
    <w:rsid w:val="004A1ECD"/>
    <w:rsid w:val="004A2083"/>
    <w:rsid w:val="004A25AE"/>
    <w:rsid w:val="004A26CF"/>
    <w:rsid w:val="004A2B89"/>
    <w:rsid w:val="004A2C72"/>
    <w:rsid w:val="004A2C85"/>
    <w:rsid w:val="004A36A3"/>
    <w:rsid w:val="004A36D6"/>
    <w:rsid w:val="004A3941"/>
    <w:rsid w:val="004A398D"/>
    <w:rsid w:val="004A39AD"/>
    <w:rsid w:val="004A3EAA"/>
    <w:rsid w:val="004A417A"/>
    <w:rsid w:val="004A428B"/>
    <w:rsid w:val="004A47C6"/>
    <w:rsid w:val="004A485B"/>
    <w:rsid w:val="004A4A24"/>
    <w:rsid w:val="004A4F33"/>
    <w:rsid w:val="004A52A0"/>
    <w:rsid w:val="004A5489"/>
    <w:rsid w:val="004A5C87"/>
    <w:rsid w:val="004A5C93"/>
    <w:rsid w:val="004A6024"/>
    <w:rsid w:val="004A6261"/>
    <w:rsid w:val="004A68AF"/>
    <w:rsid w:val="004A6978"/>
    <w:rsid w:val="004A69DA"/>
    <w:rsid w:val="004A720F"/>
    <w:rsid w:val="004A731E"/>
    <w:rsid w:val="004A733F"/>
    <w:rsid w:val="004A788F"/>
    <w:rsid w:val="004A78C2"/>
    <w:rsid w:val="004A78ED"/>
    <w:rsid w:val="004A7967"/>
    <w:rsid w:val="004A7E5B"/>
    <w:rsid w:val="004A7FF7"/>
    <w:rsid w:val="004B04E5"/>
    <w:rsid w:val="004B0577"/>
    <w:rsid w:val="004B0624"/>
    <w:rsid w:val="004B0CBD"/>
    <w:rsid w:val="004B1142"/>
    <w:rsid w:val="004B11A7"/>
    <w:rsid w:val="004B1424"/>
    <w:rsid w:val="004B1510"/>
    <w:rsid w:val="004B16C6"/>
    <w:rsid w:val="004B1749"/>
    <w:rsid w:val="004B1764"/>
    <w:rsid w:val="004B1912"/>
    <w:rsid w:val="004B1C71"/>
    <w:rsid w:val="004B1D32"/>
    <w:rsid w:val="004B1EB4"/>
    <w:rsid w:val="004B1ED3"/>
    <w:rsid w:val="004B2AC9"/>
    <w:rsid w:val="004B2C00"/>
    <w:rsid w:val="004B2D3F"/>
    <w:rsid w:val="004B2DE9"/>
    <w:rsid w:val="004B3164"/>
    <w:rsid w:val="004B3E4A"/>
    <w:rsid w:val="004B40FD"/>
    <w:rsid w:val="004B43D2"/>
    <w:rsid w:val="004B4457"/>
    <w:rsid w:val="004B44B7"/>
    <w:rsid w:val="004B45CA"/>
    <w:rsid w:val="004B46A0"/>
    <w:rsid w:val="004B499D"/>
    <w:rsid w:val="004B4BA5"/>
    <w:rsid w:val="004B4F12"/>
    <w:rsid w:val="004B5253"/>
    <w:rsid w:val="004B53C9"/>
    <w:rsid w:val="004B555A"/>
    <w:rsid w:val="004B58E0"/>
    <w:rsid w:val="004B59EB"/>
    <w:rsid w:val="004B5B6B"/>
    <w:rsid w:val="004B5BD0"/>
    <w:rsid w:val="004B5C1F"/>
    <w:rsid w:val="004B6007"/>
    <w:rsid w:val="004B63F3"/>
    <w:rsid w:val="004B6982"/>
    <w:rsid w:val="004B6A2B"/>
    <w:rsid w:val="004B6A63"/>
    <w:rsid w:val="004B719C"/>
    <w:rsid w:val="004B71A6"/>
    <w:rsid w:val="004B7282"/>
    <w:rsid w:val="004B72B4"/>
    <w:rsid w:val="004B7449"/>
    <w:rsid w:val="004B78BB"/>
    <w:rsid w:val="004B7981"/>
    <w:rsid w:val="004B7AF2"/>
    <w:rsid w:val="004B7BDE"/>
    <w:rsid w:val="004B7CB8"/>
    <w:rsid w:val="004C0306"/>
    <w:rsid w:val="004C0376"/>
    <w:rsid w:val="004C097A"/>
    <w:rsid w:val="004C0982"/>
    <w:rsid w:val="004C0B5E"/>
    <w:rsid w:val="004C0C62"/>
    <w:rsid w:val="004C0FA6"/>
    <w:rsid w:val="004C1004"/>
    <w:rsid w:val="004C1240"/>
    <w:rsid w:val="004C1471"/>
    <w:rsid w:val="004C1E17"/>
    <w:rsid w:val="004C1E26"/>
    <w:rsid w:val="004C1ECC"/>
    <w:rsid w:val="004C20FE"/>
    <w:rsid w:val="004C2599"/>
    <w:rsid w:val="004C25B9"/>
    <w:rsid w:val="004C276F"/>
    <w:rsid w:val="004C28AE"/>
    <w:rsid w:val="004C28C4"/>
    <w:rsid w:val="004C2D34"/>
    <w:rsid w:val="004C2D75"/>
    <w:rsid w:val="004C2FDE"/>
    <w:rsid w:val="004C3062"/>
    <w:rsid w:val="004C3089"/>
    <w:rsid w:val="004C3117"/>
    <w:rsid w:val="004C3281"/>
    <w:rsid w:val="004C349C"/>
    <w:rsid w:val="004C35A2"/>
    <w:rsid w:val="004C35D7"/>
    <w:rsid w:val="004C3665"/>
    <w:rsid w:val="004C3871"/>
    <w:rsid w:val="004C4208"/>
    <w:rsid w:val="004C434D"/>
    <w:rsid w:val="004C43FD"/>
    <w:rsid w:val="004C445D"/>
    <w:rsid w:val="004C463E"/>
    <w:rsid w:val="004C4EEF"/>
    <w:rsid w:val="004C52A7"/>
    <w:rsid w:val="004C5409"/>
    <w:rsid w:val="004C54BB"/>
    <w:rsid w:val="004C54C3"/>
    <w:rsid w:val="004C54DF"/>
    <w:rsid w:val="004C5589"/>
    <w:rsid w:val="004C59AD"/>
    <w:rsid w:val="004C5A49"/>
    <w:rsid w:val="004C5C2A"/>
    <w:rsid w:val="004C5DCE"/>
    <w:rsid w:val="004C5E6C"/>
    <w:rsid w:val="004C5F68"/>
    <w:rsid w:val="004C64C8"/>
    <w:rsid w:val="004C6521"/>
    <w:rsid w:val="004C660C"/>
    <w:rsid w:val="004C691A"/>
    <w:rsid w:val="004C6A55"/>
    <w:rsid w:val="004C6DAB"/>
    <w:rsid w:val="004C702F"/>
    <w:rsid w:val="004C70D4"/>
    <w:rsid w:val="004C7319"/>
    <w:rsid w:val="004C73D3"/>
    <w:rsid w:val="004C73DA"/>
    <w:rsid w:val="004C744E"/>
    <w:rsid w:val="004C791A"/>
    <w:rsid w:val="004C7B01"/>
    <w:rsid w:val="004C7B47"/>
    <w:rsid w:val="004C7D5C"/>
    <w:rsid w:val="004C7DC2"/>
    <w:rsid w:val="004C7F6B"/>
    <w:rsid w:val="004C7FA7"/>
    <w:rsid w:val="004D0033"/>
    <w:rsid w:val="004D00B1"/>
    <w:rsid w:val="004D01BD"/>
    <w:rsid w:val="004D0325"/>
    <w:rsid w:val="004D05EC"/>
    <w:rsid w:val="004D0922"/>
    <w:rsid w:val="004D0D46"/>
    <w:rsid w:val="004D0E6C"/>
    <w:rsid w:val="004D0FF0"/>
    <w:rsid w:val="004D12E3"/>
    <w:rsid w:val="004D16B6"/>
    <w:rsid w:val="004D17F6"/>
    <w:rsid w:val="004D1BBA"/>
    <w:rsid w:val="004D200B"/>
    <w:rsid w:val="004D24A9"/>
    <w:rsid w:val="004D27F7"/>
    <w:rsid w:val="004D2BCC"/>
    <w:rsid w:val="004D2E06"/>
    <w:rsid w:val="004D2FD9"/>
    <w:rsid w:val="004D304B"/>
    <w:rsid w:val="004D32FF"/>
    <w:rsid w:val="004D3730"/>
    <w:rsid w:val="004D37D3"/>
    <w:rsid w:val="004D38D6"/>
    <w:rsid w:val="004D3E32"/>
    <w:rsid w:val="004D47C7"/>
    <w:rsid w:val="004D495A"/>
    <w:rsid w:val="004D4A76"/>
    <w:rsid w:val="004D5138"/>
    <w:rsid w:val="004D570E"/>
    <w:rsid w:val="004D5AF3"/>
    <w:rsid w:val="004D5B00"/>
    <w:rsid w:val="004D5F20"/>
    <w:rsid w:val="004D5FFB"/>
    <w:rsid w:val="004D604E"/>
    <w:rsid w:val="004D6138"/>
    <w:rsid w:val="004D63AE"/>
    <w:rsid w:val="004D64CB"/>
    <w:rsid w:val="004D663D"/>
    <w:rsid w:val="004D6B1A"/>
    <w:rsid w:val="004D6B9E"/>
    <w:rsid w:val="004D6E69"/>
    <w:rsid w:val="004D7134"/>
    <w:rsid w:val="004D72B3"/>
    <w:rsid w:val="004D7507"/>
    <w:rsid w:val="004D7683"/>
    <w:rsid w:val="004D76E2"/>
    <w:rsid w:val="004D7E3A"/>
    <w:rsid w:val="004D7F61"/>
    <w:rsid w:val="004D7F9E"/>
    <w:rsid w:val="004E01FE"/>
    <w:rsid w:val="004E0280"/>
    <w:rsid w:val="004E0313"/>
    <w:rsid w:val="004E0437"/>
    <w:rsid w:val="004E0578"/>
    <w:rsid w:val="004E060E"/>
    <w:rsid w:val="004E076D"/>
    <w:rsid w:val="004E089C"/>
    <w:rsid w:val="004E0BF0"/>
    <w:rsid w:val="004E0BF7"/>
    <w:rsid w:val="004E0CF4"/>
    <w:rsid w:val="004E0EAA"/>
    <w:rsid w:val="004E0EAD"/>
    <w:rsid w:val="004E0FF1"/>
    <w:rsid w:val="004E117E"/>
    <w:rsid w:val="004E1287"/>
    <w:rsid w:val="004E1E1D"/>
    <w:rsid w:val="004E219F"/>
    <w:rsid w:val="004E26E4"/>
    <w:rsid w:val="004E276E"/>
    <w:rsid w:val="004E2B05"/>
    <w:rsid w:val="004E2C36"/>
    <w:rsid w:val="004E2C3F"/>
    <w:rsid w:val="004E3110"/>
    <w:rsid w:val="004E3325"/>
    <w:rsid w:val="004E3496"/>
    <w:rsid w:val="004E34B0"/>
    <w:rsid w:val="004E3538"/>
    <w:rsid w:val="004E3939"/>
    <w:rsid w:val="004E3982"/>
    <w:rsid w:val="004E3B99"/>
    <w:rsid w:val="004E4519"/>
    <w:rsid w:val="004E4900"/>
    <w:rsid w:val="004E4A88"/>
    <w:rsid w:val="004E4AC2"/>
    <w:rsid w:val="004E4F2F"/>
    <w:rsid w:val="004E5388"/>
    <w:rsid w:val="004E5405"/>
    <w:rsid w:val="004E5948"/>
    <w:rsid w:val="004E5DBD"/>
    <w:rsid w:val="004E5EB7"/>
    <w:rsid w:val="004E5FA7"/>
    <w:rsid w:val="004E622C"/>
    <w:rsid w:val="004E63A3"/>
    <w:rsid w:val="004E6537"/>
    <w:rsid w:val="004E6593"/>
    <w:rsid w:val="004E695A"/>
    <w:rsid w:val="004E6B07"/>
    <w:rsid w:val="004E6BB2"/>
    <w:rsid w:val="004E6C25"/>
    <w:rsid w:val="004E6DF9"/>
    <w:rsid w:val="004E70A8"/>
    <w:rsid w:val="004E73AC"/>
    <w:rsid w:val="004E74B8"/>
    <w:rsid w:val="004E7687"/>
    <w:rsid w:val="004E78D8"/>
    <w:rsid w:val="004E7A8E"/>
    <w:rsid w:val="004F063F"/>
    <w:rsid w:val="004F08F3"/>
    <w:rsid w:val="004F0C49"/>
    <w:rsid w:val="004F0CA9"/>
    <w:rsid w:val="004F0F8A"/>
    <w:rsid w:val="004F103F"/>
    <w:rsid w:val="004F1675"/>
    <w:rsid w:val="004F190F"/>
    <w:rsid w:val="004F1C1E"/>
    <w:rsid w:val="004F1C36"/>
    <w:rsid w:val="004F255F"/>
    <w:rsid w:val="004F29C0"/>
    <w:rsid w:val="004F2B81"/>
    <w:rsid w:val="004F2C98"/>
    <w:rsid w:val="004F2CC0"/>
    <w:rsid w:val="004F2D85"/>
    <w:rsid w:val="004F300E"/>
    <w:rsid w:val="004F33D2"/>
    <w:rsid w:val="004F345F"/>
    <w:rsid w:val="004F368F"/>
    <w:rsid w:val="004F3AEE"/>
    <w:rsid w:val="004F3F19"/>
    <w:rsid w:val="004F3F81"/>
    <w:rsid w:val="004F42EE"/>
    <w:rsid w:val="004F45E9"/>
    <w:rsid w:val="004F45F5"/>
    <w:rsid w:val="004F4F36"/>
    <w:rsid w:val="004F501A"/>
    <w:rsid w:val="004F519F"/>
    <w:rsid w:val="004F5795"/>
    <w:rsid w:val="004F59AE"/>
    <w:rsid w:val="004F5CE3"/>
    <w:rsid w:val="004F5EB0"/>
    <w:rsid w:val="004F616E"/>
    <w:rsid w:val="004F6197"/>
    <w:rsid w:val="004F6430"/>
    <w:rsid w:val="004F6463"/>
    <w:rsid w:val="004F68EC"/>
    <w:rsid w:val="004F6CCE"/>
    <w:rsid w:val="004F6DA3"/>
    <w:rsid w:val="004F6E89"/>
    <w:rsid w:val="004F7232"/>
    <w:rsid w:val="004F7293"/>
    <w:rsid w:val="004F7300"/>
    <w:rsid w:val="004F74DC"/>
    <w:rsid w:val="004F7640"/>
    <w:rsid w:val="004F76CA"/>
    <w:rsid w:val="004F777A"/>
    <w:rsid w:val="004F77D4"/>
    <w:rsid w:val="004F7BCA"/>
    <w:rsid w:val="004F7F85"/>
    <w:rsid w:val="00500244"/>
    <w:rsid w:val="005003F6"/>
    <w:rsid w:val="00500B28"/>
    <w:rsid w:val="00500C7D"/>
    <w:rsid w:val="00500D85"/>
    <w:rsid w:val="00500E68"/>
    <w:rsid w:val="00500F61"/>
    <w:rsid w:val="0050108D"/>
    <w:rsid w:val="0050133C"/>
    <w:rsid w:val="0050137C"/>
    <w:rsid w:val="005018D3"/>
    <w:rsid w:val="00501959"/>
    <w:rsid w:val="00501A46"/>
    <w:rsid w:val="00501F4D"/>
    <w:rsid w:val="005021B3"/>
    <w:rsid w:val="005022F6"/>
    <w:rsid w:val="00502510"/>
    <w:rsid w:val="005025ED"/>
    <w:rsid w:val="00502908"/>
    <w:rsid w:val="005029A8"/>
    <w:rsid w:val="00502A7E"/>
    <w:rsid w:val="00502B39"/>
    <w:rsid w:val="00502CB8"/>
    <w:rsid w:val="0050307F"/>
    <w:rsid w:val="00503225"/>
    <w:rsid w:val="0050333F"/>
    <w:rsid w:val="00503371"/>
    <w:rsid w:val="00503379"/>
    <w:rsid w:val="00503383"/>
    <w:rsid w:val="005033B6"/>
    <w:rsid w:val="00503929"/>
    <w:rsid w:val="005039E2"/>
    <w:rsid w:val="00503BB7"/>
    <w:rsid w:val="00503E34"/>
    <w:rsid w:val="00503F92"/>
    <w:rsid w:val="005040CA"/>
    <w:rsid w:val="005040EE"/>
    <w:rsid w:val="005044E5"/>
    <w:rsid w:val="005047CF"/>
    <w:rsid w:val="00504C08"/>
    <w:rsid w:val="00504C54"/>
    <w:rsid w:val="00504D69"/>
    <w:rsid w:val="00504DC6"/>
    <w:rsid w:val="005050C6"/>
    <w:rsid w:val="005054E4"/>
    <w:rsid w:val="00505700"/>
    <w:rsid w:val="00505760"/>
    <w:rsid w:val="00505A32"/>
    <w:rsid w:val="00505DFB"/>
    <w:rsid w:val="005060BC"/>
    <w:rsid w:val="00506393"/>
    <w:rsid w:val="005063BD"/>
    <w:rsid w:val="00506A4C"/>
    <w:rsid w:val="00506C62"/>
    <w:rsid w:val="00506DA3"/>
    <w:rsid w:val="00506F34"/>
    <w:rsid w:val="00507278"/>
    <w:rsid w:val="005073FC"/>
    <w:rsid w:val="00507469"/>
    <w:rsid w:val="0050761E"/>
    <w:rsid w:val="00507761"/>
    <w:rsid w:val="00507AAE"/>
    <w:rsid w:val="00507BF8"/>
    <w:rsid w:val="0051013E"/>
    <w:rsid w:val="0051029C"/>
    <w:rsid w:val="005102AE"/>
    <w:rsid w:val="005102E0"/>
    <w:rsid w:val="00510C58"/>
    <w:rsid w:val="00510E08"/>
    <w:rsid w:val="00510F45"/>
    <w:rsid w:val="00511177"/>
    <w:rsid w:val="00511350"/>
    <w:rsid w:val="005114E2"/>
    <w:rsid w:val="005115B1"/>
    <w:rsid w:val="005116A0"/>
    <w:rsid w:val="00511890"/>
    <w:rsid w:val="005119E8"/>
    <w:rsid w:val="00511A63"/>
    <w:rsid w:val="00511A6C"/>
    <w:rsid w:val="00511B19"/>
    <w:rsid w:val="00511D75"/>
    <w:rsid w:val="00511D85"/>
    <w:rsid w:val="00511ED8"/>
    <w:rsid w:val="0051209C"/>
    <w:rsid w:val="00512FEB"/>
    <w:rsid w:val="00513037"/>
    <w:rsid w:val="005135FA"/>
    <w:rsid w:val="005139A5"/>
    <w:rsid w:val="00513C68"/>
    <w:rsid w:val="00513FBE"/>
    <w:rsid w:val="00514453"/>
    <w:rsid w:val="005145C8"/>
    <w:rsid w:val="00514768"/>
    <w:rsid w:val="00514B03"/>
    <w:rsid w:val="00514D73"/>
    <w:rsid w:val="00514E64"/>
    <w:rsid w:val="00514FEB"/>
    <w:rsid w:val="00515010"/>
    <w:rsid w:val="005151DA"/>
    <w:rsid w:val="00515483"/>
    <w:rsid w:val="005154A9"/>
    <w:rsid w:val="005154FD"/>
    <w:rsid w:val="0051580F"/>
    <w:rsid w:val="005158B5"/>
    <w:rsid w:val="00515D76"/>
    <w:rsid w:val="005162C3"/>
    <w:rsid w:val="00516499"/>
    <w:rsid w:val="005164EB"/>
    <w:rsid w:val="00516DF1"/>
    <w:rsid w:val="00516EDF"/>
    <w:rsid w:val="00516FEB"/>
    <w:rsid w:val="00517043"/>
    <w:rsid w:val="00517370"/>
    <w:rsid w:val="00517433"/>
    <w:rsid w:val="00517498"/>
    <w:rsid w:val="005175BC"/>
    <w:rsid w:val="0051763B"/>
    <w:rsid w:val="00517670"/>
    <w:rsid w:val="00517674"/>
    <w:rsid w:val="00517702"/>
    <w:rsid w:val="00517855"/>
    <w:rsid w:val="00517EEB"/>
    <w:rsid w:val="005200AE"/>
    <w:rsid w:val="00520240"/>
    <w:rsid w:val="0052040D"/>
    <w:rsid w:val="00520629"/>
    <w:rsid w:val="00520643"/>
    <w:rsid w:val="00520696"/>
    <w:rsid w:val="005206E5"/>
    <w:rsid w:val="00520AFE"/>
    <w:rsid w:val="00520B11"/>
    <w:rsid w:val="00520BF5"/>
    <w:rsid w:val="00520C9A"/>
    <w:rsid w:val="00520EA7"/>
    <w:rsid w:val="00521053"/>
    <w:rsid w:val="005213FB"/>
    <w:rsid w:val="005222F2"/>
    <w:rsid w:val="0052254D"/>
    <w:rsid w:val="00522714"/>
    <w:rsid w:val="00522978"/>
    <w:rsid w:val="00522AFF"/>
    <w:rsid w:val="005230A4"/>
    <w:rsid w:val="0052315A"/>
    <w:rsid w:val="005232FF"/>
    <w:rsid w:val="00523317"/>
    <w:rsid w:val="00523A28"/>
    <w:rsid w:val="00523B3B"/>
    <w:rsid w:val="00523D79"/>
    <w:rsid w:val="00523EE8"/>
    <w:rsid w:val="005242D9"/>
    <w:rsid w:val="005243E4"/>
    <w:rsid w:val="005245CF"/>
    <w:rsid w:val="005247C2"/>
    <w:rsid w:val="00524A39"/>
    <w:rsid w:val="00524BA0"/>
    <w:rsid w:val="00524C20"/>
    <w:rsid w:val="00524D62"/>
    <w:rsid w:val="005251AD"/>
    <w:rsid w:val="00525562"/>
    <w:rsid w:val="00525A02"/>
    <w:rsid w:val="00525B21"/>
    <w:rsid w:val="00525C81"/>
    <w:rsid w:val="00525EFB"/>
    <w:rsid w:val="00525F21"/>
    <w:rsid w:val="00526084"/>
    <w:rsid w:val="00526288"/>
    <w:rsid w:val="005263B0"/>
    <w:rsid w:val="005263B4"/>
    <w:rsid w:val="005264B5"/>
    <w:rsid w:val="00526A01"/>
    <w:rsid w:val="00526D85"/>
    <w:rsid w:val="00527074"/>
    <w:rsid w:val="005270AD"/>
    <w:rsid w:val="005274CD"/>
    <w:rsid w:val="005275CE"/>
    <w:rsid w:val="005275F7"/>
    <w:rsid w:val="005276F7"/>
    <w:rsid w:val="0052781F"/>
    <w:rsid w:val="00527A4E"/>
    <w:rsid w:val="00527C45"/>
    <w:rsid w:val="00527F39"/>
    <w:rsid w:val="00527F4F"/>
    <w:rsid w:val="005300B8"/>
    <w:rsid w:val="0053039C"/>
    <w:rsid w:val="00530404"/>
    <w:rsid w:val="005307CD"/>
    <w:rsid w:val="00530BF8"/>
    <w:rsid w:val="00530E23"/>
    <w:rsid w:val="00530F03"/>
    <w:rsid w:val="00531211"/>
    <w:rsid w:val="00531281"/>
    <w:rsid w:val="0053130F"/>
    <w:rsid w:val="005316A2"/>
    <w:rsid w:val="005319D1"/>
    <w:rsid w:val="00531CC8"/>
    <w:rsid w:val="00532029"/>
    <w:rsid w:val="0053223B"/>
    <w:rsid w:val="0053229D"/>
    <w:rsid w:val="0053230B"/>
    <w:rsid w:val="0053236A"/>
    <w:rsid w:val="0053260F"/>
    <w:rsid w:val="0053267E"/>
    <w:rsid w:val="00532788"/>
    <w:rsid w:val="00532795"/>
    <w:rsid w:val="00532A04"/>
    <w:rsid w:val="00532A0F"/>
    <w:rsid w:val="00532A97"/>
    <w:rsid w:val="00532BBD"/>
    <w:rsid w:val="00532FB6"/>
    <w:rsid w:val="005330E8"/>
    <w:rsid w:val="00533139"/>
    <w:rsid w:val="005331CC"/>
    <w:rsid w:val="005332AD"/>
    <w:rsid w:val="00533AAF"/>
    <w:rsid w:val="00533C40"/>
    <w:rsid w:val="00533F11"/>
    <w:rsid w:val="00533F1C"/>
    <w:rsid w:val="005341C8"/>
    <w:rsid w:val="00534245"/>
    <w:rsid w:val="005349FF"/>
    <w:rsid w:val="00534F12"/>
    <w:rsid w:val="005351DF"/>
    <w:rsid w:val="00535337"/>
    <w:rsid w:val="005353E6"/>
    <w:rsid w:val="005354B6"/>
    <w:rsid w:val="0053597D"/>
    <w:rsid w:val="00535B26"/>
    <w:rsid w:val="00535C7A"/>
    <w:rsid w:val="00535CA6"/>
    <w:rsid w:val="00535D17"/>
    <w:rsid w:val="0053601B"/>
    <w:rsid w:val="0053676B"/>
    <w:rsid w:val="00536A5F"/>
    <w:rsid w:val="00536AEF"/>
    <w:rsid w:val="00536C0A"/>
    <w:rsid w:val="00536D33"/>
    <w:rsid w:val="00536EAC"/>
    <w:rsid w:val="00536ED5"/>
    <w:rsid w:val="00537004"/>
    <w:rsid w:val="005372EC"/>
    <w:rsid w:val="0053748C"/>
    <w:rsid w:val="005374E6"/>
    <w:rsid w:val="00537B86"/>
    <w:rsid w:val="00537E0A"/>
    <w:rsid w:val="00537E3B"/>
    <w:rsid w:val="00537EB9"/>
    <w:rsid w:val="005403E4"/>
    <w:rsid w:val="0054079D"/>
    <w:rsid w:val="0054082F"/>
    <w:rsid w:val="0054084C"/>
    <w:rsid w:val="0054085F"/>
    <w:rsid w:val="00540A16"/>
    <w:rsid w:val="00540ACA"/>
    <w:rsid w:val="00540D7A"/>
    <w:rsid w:val="00540EAE"/>
    <w:rsid w:val="00540F05"/>
    <w:rsid w:val="005411F3"/>
    <w:rsid w:val="00541388"/>
    <w:rsid w:val="00541819"/>
    <w:rsid w:val="00541D5A"/>
    <w:rsid w:val="00541E51"/>
    <w:rsid w:val="0054241F"/>
    <w:rsid w:val="005426F0"/>
    <w:rsid w:val="005427E5"/>
    <w:rsid w:val="00542945"/>
    <w:rsid w:val="005429D3"/>
    <w:rsid w:val="005429E6"/>
    <w:rsid w:val="00542C80"/>
    <w:rsid w:val="00542DAF"/>
    <w:rsid w:val="00542DB8"/>
    <w:rsid w:val="005431D6"/>
    <w:rsid w:val="00543359"/>
    <w:rsid w:val="00543406"/>
    <w:rsid w:val="005435DC"/>
    <w:rsid w:val="0054364D"/>
    <w:rsid w:val="005438F2"/>
    <w:rsid w:val="00543AB8"/>
    <w:rsid w:val="00543DD2"/>
    <w:rsid w:val="00544262"/>
    <w:rsid w:val="005442FB"/>
    <w:rsid w:val="00544971"/>
    <w:rsid w:val="00544E12"/>
    <w:rsid w:val="00544F4F"/>
    <w:rsid w:val="00545082"/>
    <w:rsid w:val="005451DC"/>
    <w:rsid w:val="00545259"/>
    <w:rsid w:val="00545796"/>
    <w:rsid w:val="005458A7"/>
    <w:rsid w:val="00545A30"/>
    <w:rsid w:val="00545BBC"/>
    <w:rsid w:val="00545E8E"/>
    <w:rsid w:val="00546050"/>
    <w:rsid w:val="005460F3"/>
    <w:rsid w:val="00546350"/>
    <w:rsid w:val="0054658B"/>
    <w:rsid w:val="00546841"/>
    <w:rsid w:val="0054685E"/>
    <w:rsid w:val="0054720C"/>
    <w:rsid w:val="0054724E"/>
    <w:rsid w:val="00547458"/>
    <w:rsid w:val="0054758A"/>
    <w:rsid w:val="0054769A"/>
    <w:rsid w:val="00547942"/>
    <w:rsid w:val="00547D34"/>
    <w:rsid w:val="00550034"/>
    <w:rsid w:val="00550055"/>
    <w:rsid w:val="0055005F"/>
    <w:rsid w:val="0055026A"/>
    <w:rsid w:val="00550293"/>
    <w:rsid w:val="00550571"/>
    <w:rsid w:val="005506AD"/>
    <w:rsid w:val="005506F9"/>
    <w:rsid w:val="00550A8D"/>
    <w:rsid w:val="00550D7C"/>
    <w:rsid w:val="0055105A"/>
    <w:rsid w:val="00551214"/>
    <w:rsid w:val="00551247"/>
    <w:rsid w:val="005512B2"/>
    <w:rsid w:val="00551736"/>
    <w:rsid w:val="00551871"/>
    <w:rsid w:val="00551ADF"/>
    <w:rsid w:val="00551CCB"/>
    <w:rsid w:val="00551CE2"/>
    <w:rsid w:val="00552124"/>
    <w:rsid w:val="005522CD"/>
    <w:rsid w:val="00552425"/>
    <w:rsid w:val="0055248F"/>
    <w:rsid w:val="005524BF"/>
    <w:rsid w:val="0055280A"/>
    <w:rsid w:val="00552A0C"/>
    <w:rsid w:val="00552B53"/>
    <w:rsid w:val="00552DD9"/>
    <w:rsid w:val="0055362B"/>
    <w:rsid w:val="0055376B"/>
    <w:rsid w:val="00553F16"/>
    <w:rsid w:val="00554013"/>
    <w:rsid w:val="005545E0"/>
    <w:rsid w:val="00554866"/>
    <w:rsid w:val="00554903"/>
    <w:rsid w:val="00554B05"/>
    <w:rsid w:val="00554C5A"/>
    <w:rsid w:val="00554C9C"/>
    <w:rsid w:val="00554E6F"/>
    <w:rsid w:val="00554EB2"/>
    <w:rsid w:val="005550E4"/>
    <w:rsid w:val="00555343"/>
    <w:rsid w:val="005554E3"/>
    <w:rsid w:val="0055550C"/>
    <w:rsid w:val="00555665"/>
    <w:rsid w:val="005556AC"/>
    <w:rsid w:val="005559AC"/>
    <w:rsid w:val="00555D18"/>
    <w:rsid w:val="00555E5A"/>
    <w:rsid w:val="00555EF6"/>
    <w:rsid w:val="00555F0B"/>
    <w:rsid w:val="00555F58"/>
    <w:rsid w:val="005561AF"/>
    <w:rsid w:val="005563BB"/>
    <w:rsid w:val="00556655"/>
    <w:rsid w:val="005568AA"/>
    <w:rsid w:val="005568AD"/>
    <w:rsid w:val="00556EF7"/>
    <w:rsid w:val="00556F59"/>
    <w:rsid w:val="005572C0"/>
    <w:rsid w:val="0055746F"/>
    <w:rsid w:val="005577A2"/>
    <w:rsid w:val="00557B94"/>
    <w:rsid w:val="00557D7B"/>
    <w:rsid w:val="00557F3E"/>
    <w:rsid w:val="0056087F"/>
    <w:rsid w:val="00560DC7"/>
    <w:rsid w:val="00560EE1"/>
    <w:rsid w:val="005611C9"/>
    <w:rsid w:val="005612B1"/>
    <w:rsid w:val="00561301"/>
    <w:rsid w:val="00561766"/>
    <w:rsid w:val="005619CB"/>
    <w:rsid w:val="00561B11"/>
    <w:rsid w:val="00561BD5"/>
    <w:rsid w:val="00562232"/>
    <w:rsid w:val="0056235E"/>
    <w:rsid w:val="005625DB"/>
    <w:rsid w:val="00562697"/>
    <w:rsid w:val="00562712"/>
    <w:rsid w:val="005627BC"/>
    <w:rsid w:val="00562893"/>
    <w:rsid w:val="00562D9E"/>
    <w:rsid w:val="00562FE4"/>
    <w:rsid w:val="00563022"/>
    <w:rsid w:val="005630A5"/>
    <w:rsid w:val="0056311E"/>
    <w:rsid w:val="005632CB"/>
    <w:rsid w:val="00563AEE"/>
    <w:rsid w:val="00563F1B"/>
    <w:rsid w:val="00564383"/>
    <w:rsid w:val="00564393"/>
    <w:rsid w:val="0056469E"/>
    <w:rsid w:val="00564821"/>
    <w:rsid w:val="00564993"/>
    <w:rsid w:val="00564A54"/>
    <w:rsid w:val="00564A71"/>
    <w:rsid w:val="00564ED0"/>
    <w:rsid w:val="00565083"/>
    <w:rsid w:val="005650EF"/>
    <w:rsid w:val="0056550A"/>
    <w:rsid w:val="005655DA"/>
    <w:rsid w:val="0056581A"/>
    <w:rsid w:val="005658E7"/>
    <w:rsid w:val="00565A2A"/>
    <w:rsid w:val="00565B92"/>
    <w:rsid w:val="00565D8F"/>
    <w:rsid w:val="00565D97"/>
    <w:rsid w:val="00565F5B"/>
    <w:rsid w:val="0056614B"/>
    <w:rsid w:val="005661DB"/>
    <w:rsid w:val="005664FA"/>
    <w:rsid w:val="0056699B"/>
    <w:rsid w:val="005669C7"/>
    <w:rsid w:val="00566AE4"/>
    <w:rsid w:val="00566F48"/>
    <w:rsid w:val="00567555"/>
    <w:rsid w:val="005676B2"/>
    <w:rsid w:val="005676E6"/>
    <w:rsid w:val="005676EE"/>
    <w:rsid w:val="00567755"/>
    <w:rsid w:val="00567854"/>
    <w:rsid w:val="005678F6"/>
    <w:rsid w:val="0056793E"/>
    <w:rsid w:val="00567CFF"/>
    <w:rsid w:val="00567EDA"/>
    <w:rsid w:val="005706DF"/>
    <w:rsid w:val="00570704"/>
    <w:rsid w:val="0057074C"/>
    <w:rsid w:val="0057091C"/>
    <w:rsid w:val="00570A73"/>
    <w:rsid w:val="00570B45"/>
    <w:rsid w:val="00570D9C"/>
    <w:rsid w:val="00570EA2"/>
    <w:rsid w:val="00570F9C"/>
    <w:rsid w:val="0057135B"/>
    <w:rsid w:val="005716F7"/>
    <w:rsid w:val="00571818"/>
    <w:rsid w:val="00571B3C"/>
    <w:rsid w:val="00571B98"/>
    <w:rsid w:val="00571CC3"/>
    <w:rsid w:val="00572064"/>
    <w:rsid w:val="0057207B"/>
    <w:rsid w:val="00572579"/>
    <w:rsid w:val="0057261D"/>
    <w:rsid w:val="00572758"/>
    <w:rsid w:val="005729DC"/>
    <w:rsid w:val="00572AED"/>
    <w:rsid w:val="005734B9"/>
    <w:rsid w:val="00573651"/>
    <w:rsid w:val="00573AD3"/>
    <w:rsid w:val="00573D37"/>
    <w:rsid w:val="00573DC1"/>
    <w:rsid w:val="00573EDE"/>
    <w:rsid w:val="0057403B"/>
    <w:rsid w:val="005742D0"/>
    <w:rsid w:val="00574595"/>
    <w:rsid w:val="005749A6"/>
    <w:rsid w:val="00574A20"/>
    <w:rsid w:val="00574A96"/>
    <w:rsid w:val="00574B15"/>
    <w:rsid w:val="00574BFC"/>
    <w:rsid w:val="00574F31"/>
    <w:rsid w:val="00574FCA"/>
    <w:rsid w:val="005750AF"/>
    <w:rsid w:val="005751BD"/>
    <w:rsid w:val="005751EB"/>
    <w:rsid w:val="005754D7"/>
    <w:rsid w:val="005755DD"/>
    <w:rsid w:val="005755ED"/>
    <w:rsid w:val="005758C2"/>
    <w:rsid w:val="00575A65"/>
    <w:rsid w:val="0057659F"/>
    <w:rsid w:val="00576A00"/>
    <w:rsid w:val="00576B49"/>
    <w:rsid w:val="00576D5A"/>
    <w:rsid w:val="00577100"/>
    <w:rsid w:val="00577163"/>
    <w:rsid w:val="00577354"/>
    <w:rsid w:val="005774AA"/>
    <w:rsid w:val="00577505"/>
    <w:rsid w:val="0057778F"/>
    <w:rsid w:val="00577B49"/>
    <w:rsid w:val="00577B8B"/>
    <w:rsid w:val="00580915"/>
    <w:rsid w:val="00580A0C"/>
    <w:rsid w:val="00580D22"/>
    <w:rsid w:val="005813D3"/>
    <w:rsid w:val="0058186E"/>
    <w:rsid w:val="00581ABB"/>
    <w:rsid w:val="00581AE4"/>
    <w:rsid w:val="00581AFC"/>
    <w:rsid w:val="00581DC2"/>
    <w:rsid w:val="00581E28"/>
    <w:rsid w:val="00582312"/>
    <w:rsid w:val="00582504"/>
    <w:rsid w:val="00582669"/>
    <w:rsid w:val="005828F5"/>
    <w:rsid w:val="00582982"/>
    <w:rsid w:val="00582A27"/>
    <w:rsid w:val="00582F61"/>
    <w:rsid w:val="005831A1"/>
    <w:rsid w:val="00583771"/>
    <w:rsid w:val="00583954"/>
    <w:rsid w:val="00583EBC"/>
    <w:rsid w:val="00584140"/>
    <w:rsid w:val="0058431C"/>
    <w:rsid w:val="00584546"/>
    <w:rsid w:val="0058454F"/>
    <w:rsid w:val="005845BC"/>
    <w:rsid w:val="0058464E"/>
    <w:rsid w:val="00584D5A"/>
    <w:rsid w:val="00584DF9"/>
    <w:rsid w:val="00585099"/>
    <w:rsid w:val="005854F1"/>
    <w:rsid w:val="00585734"/>
    <w:rsid w:val="00585A6B"/>
    <w:rsid w:val="00585A97"/>
    <w:rsid w:val="00585D4F"/>
    <w:rsid w:val="00585DC0"/>
    <w:rsid w:val="00585E9F"/>
    <w:rsid w:val="00585F31"/>
    <w:rsid w:val="005862A7"/>
    <w:rsid w:val="005862EE"/>
    <w:rsid w:val="0058647A"/>
    <w:rsid w:val="005864A0"/>
    <w:rsid w:val="0058650D"/>
    <w:rsid w:val="0058661E"/>
    <w:rsid w:val="005868B2"/>
    <w:rsid w:val="0058690D"/>
    <w:rsid w:val="00586AD1"/>
    <w:rsid w:val="00586AEB"/>
    <w:rsid w:val="00586DDF"/>
    <w:rsid w:val="0058710C"/>
    <w:rsid w:val="00587419"/>
    <w:rsid w:val="0058748C"/>
    <w:rsid w:val="005874DC"/>
    <w:rsid w:val="00587856"/>
    <w:rsid w:val="00587A91"/>
    <w:rsid w:val="00587C48"/>
    <w:rsid w:val="0059007F"/>
    <w:rsid w:val="0059034E"/>
    <w:rsid w:val="0059039B"/>
    <w:rsid w:val="0059046D"/>
    <w:rsid w:val="00590683"/>
    <w:rsid w:val="00590955"/>
    <w:rsid w:val="00590B91"/>
    <w:rsid w:val="00590CB6"/>
    <w:rsid w:val="005910DD"/>
    <w:rsid w:val="005913E8"/>
    <w:rsid w:val="00591D81"/>
    <w:rsid w:val="00591E65"/>
    <w:rsid w:val="005921F3"/>
    <w:rsid w:val="00592340"/>
    <w:rsid w:val="00592562"/>
    <w:rsid w:val="00592B1F"/>
    <w:rsid w:val="00592B8C"/>
    <w:rsid w:val="00593135"/>
    <w:rsid w:val="0059315D"/>
    <w:rsid w:val="00593281"/>
    <w:rsid w:val="00593D16"/>
    <w:rsid w:val="00594087"/>
    <w:rsid w:val="005944BB"/>
    <w:rsid w:val="00594D79"/>
    <w:rsid w:val="005950B3"/>
    <w:rsid w:val="0059544D"/>
    <w:rsid w:val="0059554E"/>
    <w:rsid w:val="00595CFE"/>
    <w:rsid w:val="00595FC0"/>
    <w:rsid w:val="00595FDF"/>
    <w:rsid w:val="00595FE3"/>
    <w:rsid w:val="00596290"/>
    <w:rsid w:val="005964B2"/>
    <w:rsid w:val="00596695"/>
    <w:rsid w:val="005969C9"/>
    <w:rsid w:val="0059747F"/>
    <w:rsid w:val="005975D2"/>
    <w:rsid w:val="005975F9"/>
    <w:rsid w:val="00597648"/>
    <w:rsid w:val="005977B7"/>
    <w:rsid w:val="00597813"/>
    <w:rsid w:val="00597995"/>
    <w:rsid w:val="00597AA5"/>
    <w:rsid w:val="00597E5A"/>
    <w:rsid w:val="00597E79"/>
    <w:rsid w:val="00597F4D"/>
    <w:rsid w:val="00597FC5"/>
    <w:rsid w:val="005A0085"/>
    <w:rsid w:val="005A04D7"/>
    <w:rsid w:val="005A0857"/>
    <w:rsid w:val="005A08A4"/>
    <w:rsid w:val="005A0B77"/>
    <w:rsid w:val="005A0BCC"/>
    <w:rsid w:val="005A0D49"/>
    <w:rsid w:val="005A0E79"/>
    <w:rsid w:val="005A1082"/>
    <w:rsid w:val="005A1599"/>
    <w:rsid w:val="005A15B1"/>
    <w:rsid w:val="005A17E5"/>
    <w:rsid w:val="005A194A"/>
    <w:rsid w:val="005A1C77"/>
    <w:rsid w:val="005A1D17"/>
    <w:rsid w:val="005A1D51"/>
    <w:rsid w:val="005A1E8F"/>
    <w:rsid w:val="005A1EA0"/>
    <w:rsid w:val="005A1F90"/>
    <w:rsid w:val="005A205F"/>
    <w:rsid w:val="005A2151"/>
    <w:rsid w:val="005A2289"/>
    <w:rsid w:val="005A22AB"/>
    <w:rsid w:val="005A2520"/>
    <w:rsid w:val="005A2700"/>
    <w:rsid w:val="005A2CD4"/>
    <w:rsid w:val="005A2D9D"/>
    <w:rsid w:val="005A308C"/>
    <w:rsid w:val="005A3320"/>
    <w:rsid w:val="005A3537"/>
    <w:rsid w:val="005A369D"/>
    <w:rsid w:val="005A36AD"/>
    <w:rsid w:val="005A38BC"/>
    <w:rsid w:val="005A3B33"/>
    <w:rsid w:val="005A3C90"/>
    <w:rsid w:val="005A3E5F"/>
    <w:rsid w:val="005A4148"/>
    <w:rsid w:val="005A4703"/>
    <w:rsid w:val="005A4725"/>
    <w:rsid w:val="005A47DD"/>
    <w:rsid w:val="005A4801"/>
    <w:rsid w:val="005A49E3"/>
    <w:rsid w:val="005A4D19"/>
    <w:rsid w:val="005A53AD"/>
    <w:rsid w:val="005A5675"/>
    <w:rsid w:val="005A5A7F"/>
    <w:rsid w:val="005A5E70"/>
    <w:rsid w:val="005A5F7C"/>
    <w:rsid w:val="005A5F88"/>
    <w:rsid w:val="005A6024"/>
    <w:rsid w:val="005A6095"/>
    <w:rsid w:val="005A62A9"/>
    <w:rsid w:val="005A6799"/>
    <w:rsid w:val="005A6B13"/>
    <w:rsid w:val="005A6B4C"/>
    <w:rsid w:val="005A6D04"/>
    <w:rsid w:val="005A6D46"/>
    <w:rsid w:val="005A6DDB"/>
    <w:rsid w:val="005A6FA4"/>
    <w:rsid w:val="005A7405"/>
    <w:rsid w:val="005A77A9"/>
    <w:rsid w:val="005A7AE6"/>
    <w:rsid w:val="005A7B93"/>
    <w:rsid w:val="005B009C"/>
    <w:rsid w:val="005B0280"/>
    <w:rsid w:val="005B0332"/>
    <w:rsid w:val="005B0392"/>
    <w:rsid w:val="005B0474"/>
    <w:rsid w:val="005B0491"/>
    <w:rsid w:val="005B04F9"/>
    <w:rsid w:val="005B09E7"/>
    <w:rsid w:val="005B0C8D"/>
    <w:rsid w:val="005B0F7A"/>
    <w:rsid w:val="005B0FCA"/>
    <w:rsid w:val="005B1061"/>
    <w:rsid w:val="005B1303"/>
    <w:rsid w:val="005B1382"/>
    <w:rsid w:val="005B1442"/>
    <w:rsid w:val="005B1509"/>
    <w:rsid w:val="005B1720"/>
    <w:rsid w:val="005B1762"/>
    <w:rsid w:val="005B218C"/>
    <w:rsid w:val="005B235C"/>
    <w:rsid w:val="005B2574"/>
    <w:rsid w:val="005B2726"/>
    <w:rsid w:val="005B2A82"/>
    <w:rsid w:val="005B2D0C"/>
    <w:rsid w:val="005B2D6F"/>
    <w:rsid w:val="005B2D9B"/>
    <w:rsid w:val="005B2E86"/>
    <w:rsid w:val="005B2F01"/>
    <w:rsid w:val="005B3188"/>
    <w:rsid w:val="005B357B"/>
    <w:rsid w:val="005B37D4"/>
    <w:rsid w:val="005B37D7"/>
    <w:rsid w:val="005B39ED"/>
    <w:rsid w:val="005B3A64"/>
    <w:rsid w:val="005B3B49"/>
    <w:rsid w:val="005B4266"/>
    <w:rsid w:val="005B4394"/>
    <w:rsid w:val="005B4434"/>
    <w:rsid w:val="005B488D"/>
    <w:rsid w:val="005B4A49"/>
    <w:rsid w:val="005B4A63"/>
    <w:rsid w:val="005B4A6F"/>
    <w:rsid w:val="005B54DF"/>
    <w:rsid w:val="005B5555"/>
    <w:rsid w:val="005B5750"/>
    <w:rsid w:val="005B5833"/>
    <w:rsid w:val="005B5869"/>
    <w:rsid w:val="005B5B28"/>
    <w:rsid w:val="005B613B"/>
    <w:rsid w:val="005B61BE"/>
    <w:rsid w:val="005B639B"/>
    <w:rsid w:val="005B641B"/>
    <w:rsid w:val="005B656C"/>
    <w:rsid w:val="005B66C6"/>
    <w:rsid w:val="005B67DB"/>
    <w:rsid w:val="005B6A33"/>
    <w:rsid w:val="005B6C4F"/>
    <w:rsid w:val="005B7249"/>
    <w:rsid w:val="005B731C"/>
    <w:rsid w:val="005B749B"/>
    <w:rsid w:val="005B75B8"/>
    <w:rsid w:val="005B7994"/>
    <w:rsid w:val="005B7A49"/>
    <w:rsid w:val="005B7CEE"/>
    <w:rsid w:val="005C0153"/>
    <w:rsid w:val="005C020F"/>
    <w:rsid w:val="005C0593"/>
    <w:rsid w:val="005C05B8"/>
    <w:rsid w:val="005C123B"/>
    <w:rsid w:val="005C147E"/>
    <w:rsid w:val="005C1711"/>
    <w:rsid w:val="005C1D76"/>
    <w:rsid w:val="005C21FD"/>
    <w:rsid w:val="005C241C"/>
    <w:rsid w:val="005C28A4"/>
    <w:rsid w:val="005C2F25"/>
    <w:rsid w:val="005C336C"/>
    <w:rsid w:val="005C3533"/>
    <w:rsid w:val="005C358F"/>
    <w:rsid w:val="005C3826"/>
    <w:rsid w:val="005C39B7"/>
    <w:rsid w:val="005C3BDE"/>
    <w:rsid w:val="005C3BF1"/>
    <w:rsid w:val="005C3CE2"/>
    <w:rsid w:val="005C4199"/>
    <w:rsid w:val="005C46DF"/>
    <w:rsid w:val="005C4C93"/>
    <w:rsid w:val="005C4D0C"/>
    <w:rsid w:val="005C5198"/>
    <w:rsid w:val="005C5420"/>
    <w:rsid w:val="005C5582"/>
    <w:rsid w:val="005C5599"/>
    <w:rsid w:val="005C58A0"/>
    <w:rsid w:val="005C59C6"/>
    <w:rsid w:val="005C6344"/>
    <w:rsid w:val="005C6E9C"/>
    <w:rsid w:val="005C6F92"/>
    <w:rsid w:val="005C7005"/>
    <w:rsid w:val="005C7238"/>
    <w:rsid w:val="005C7400"/>
    <w:rsid w:val="005C7803"/>
    <w:rsid w:val="005C7843"/>
    <w:rsid w:val="005C7A66"/>
    <w:rsid w:val="005C7BF6"/>
    <w:rsid w:val="005C7CBF"/>
    <w:rsid w:val="005D000A"/>
    <w:rsid w:val="005D0055"/>
    <w:rsid w:val="005D0285"/>
    <w:rsid w:val="005D02FA"/>
    <w:rsid w:val="005D0491"/>
    <w:rsid w:val="005D0535"/>
    <w:rsid w:val="005D05B6"/>
    <w:rsid w:val="005D06B1"/>
    <w:rsid w:val="005D07FF"/>
    <w:rsid w:val="005D0937"/>
    <w:rsid w:val="005D0B01"/>
    <w:rsid w:val="005D0B85"/>
    <w:rsid w:val="005D114B"/>
    <w:rsid w:val="005D13A9"/>
    <w:rsid w:val="005D1761"/>
    <w:rsid w:val="005D1935"/>
    <w:rsid w:val="005D2225"/>
    <w:rsid w:val="005D22DA"/>
    <w:rsid w:val="005D257B"/>
    <w:rsid w:val="005D2592"/>
    <w:rsid w:val="005D277C"/>
    <w:rsid w:val="005D27DC"/>
    <w:rsid w:val="005D2B51"/>
    <w:rsid w:val="005D36D5"/>
    <w:rsid w:val="005D3A35"/>
    <w:rsid w:val="005D3BB5"/>
    <w:rsid w:val="005D3EE5"/>
    <w:rsid w:val="005D3F92"/>
    <w:rsid w:val="005D42A1"/>
    <w:rsid w:val="005D4517"/>
    <w:rsid w:val="005D46BD"/>
    <w:rsid w:val="005D47A8"/>
    <w:rsid w:val="005D495E"/>
    <w:rsid w:val="005D512B"/>
    <w:rsid w:val="005D523A"/>
    <w:rsid w:val="005D57AF"/>
    <w:rsid w:val="005D5896"/>
    <w:rsid w:val="005D5B74"/>
    <w:rsid w:val="005D5BAE"/>
    <w:rsid w:val="005D620C"/>
    <w:rsid w:val="005D6229"/>
    <w:rsid w:val="005D66A3"/>
    <w:rsid w:val="005D69FF"/>
    <w:rsid w:val="005D6B8A"/>
    <w:rsid w:val="005D6EED"/>
    <w:rsid w:val="005D7069"/>
    <w:rsid w:val="005D70E3"/>
    <w:rsid w:val="005D7BB8"/>
    <w:rsid w:val="005D7C37"/>
    <w:rsid w:val="005D7CDF"/>
    <w:rsid w:val="005E036B"/>
    <w:rsid w:val="005E0454"/>
    <w:rsid w:val="005E081F"/>
    <w:rsid w:val="005E107D"/>
    <w:rsid w:val="005E1329"/>
    <w:rsid w:val="005E18A5"/>
    <w:rsid w:val="005E1D1D"/>
    <w:rsid w:val="005E2175"/>
    <w:rsid w:val="005E21E5"/>
    <w:rsid w:val="005E2568"/>
    <w:rsid w:val="005E2597"/>
    <w:rsid w:val="005E26AE"/>
    <w:rsid w:val="005E26D6"/>
    <w:rsid w:val="005E2A17"/>
    <w:rsid w:val="005E2A76"/>
    <w:rsid w:val="005E2ACC"/>
    <w:rsid w:val="005E2FF8"/>
    <w:rsid w:val="005E3122"/>
    <w:rsid w:val="005E3ADA"/>
    <w:rsid w:val="005E3AE7"/>
    <w:rsid w:val="005E3C3C"/>
    <w:rsid w:val="005E3CB5"/>
    <w:rsid w:val="005E405E"/>
    <w:rsid w:val="005E40CC"/>
    <w:rsid w:val="005E45A9"/>
    <w:rsid w:val="005E4B99"/>
    <w:rsid w:val="005E4C85"/>
    <w:rsid w:val="005E4C8A"/>
    <w:rsid w:val="005E5484"/>
    <w:rsid w:val="005E5485"/>
    <w:rsid w:val="005E57DC"/>
    <w:rsid w:val="005E62DD"/>
    <w:rsid w:val="005E65D0"/>
    <w:rsid w:val="005E673A"/>
    <w:rsid w:val="005E6904"/>
    <w:rsid w:val="005E69A2"/>
    <w:rsid w:val="005E6D9B"/>
    <w:rsid w:val="005E73C1"/>
    <w:rsid w:val="005E7682"/>
    <w:rsid w:val="005E7FA5"/>
    <w:rsid w:val="005F0000"/>
    <w:rsid w:val="005F0187"/>
    <w:rsid w:val="005F0336"/>
    <w:rsid w:val="005F0661"/>
    <w:rsid w:val="005F08DA"/>
    <w:rsid w:val="005F09D4"/>
    <w:rsid w:val="005F0BC5"/>
    <w:rsid w:val="005F0C14"/>
    <w:rsid w:val="005F0EC9"/>
    <w:rsid w:val="005F17C2"/>
    <w:rsid w:val="005F1C27"/>
    <w:rsid w:val="005F2170"/>
    <w:rsid w:val="005F22A5"/>
    <w:rsid w:val="005F23E8"/>
    <w:rsid w:val="005F282C"/>
    <w:rsid w:val="005F2A8F"/>
    <w:rsid w:val="005F2C47"/>
    <w:rsid w:val="005F2CE4"/>
    <w:rsid w:val="005F2FA9"/>
    <w:rsid w:val="005F321C"/>
    <w:rsid w:val="005F3259"/>
    <w:rsid w:val="005F32D7"/>
    <w:rsid w:val="005F3623"/>
    <w:rsid w:val="005F383B"/>
    <w:rsid w:val="005F38F0"/>
    <w:rsid w:val="005F3A5C"/>
    <w:rsid w:val="005F3E46"/>
    <w:rsid w:val="005F4141"/>
    <w:rsid w:val="005F4273"/>
    <w:rsid w:val="005F4284"/>
    <w:rsid w:val="005F4578"/>
    <w:rsid w:val="005F4727"/>
    <w:rsid w:val="005F4872"/>
    <w:rsid w:val="005F4CAD"/>
    <w:rsid w:val="005F4FE3"/>
    <w:rsid w:val="005F5230"/>
    <w:rsid w:val="005F5E1F"/>
    <w:rsid w:val="005F5F0C"/>
    <w:rsid w:val="005F6062"/>
    <w:rsid w:val="005F6244"/>
    <w:rsid w:val="005F6669"/>
    <w:rsid w:val="005F66DA"/>
    <w:rsid w:val="005F6742"/>
    <w:rsid w:val="005F6ED5"/>
    <w:rsid w:val="005F740B"/>
    <w:rsid w:val="005F7445"/>
    <w:rsid w:val="005F7815"/>
    <w:rsid w:val="005F7886"/>
    <w:rsid w:val="005F7AD9"/>
    <w:rsid w:val="005F7F22"/>
    <w:rsid w:val="00600182"/>
    <w:rsid w:val="00600204"/>
    <w:rsid w:val="006003BA"/>
    <w:rsid w:val="0060068A"/>
    <w:rsid w:val="00600859"/>
    <w:rsid w:val="00600AC7"/>
    <w:rsid w:val="00600C06"/>
    <w:rsid w:val="00600E21"/>
    <w:rsid w:val="00600E2D"/>
    <w:rsid w:val="00601017"/>
    <w:rsid w:val="0060110A"/>
    <w:rsid w:val="006011D4"/>
    <w:rsid w:val="00601654"/>
    <w:rsid w:val="0060181F"/>
    <w:rsid w:val="00601902"/>
    <w:rsid w:val="006019B9"/>
    <w:rsid w:val="00601B3F"/>
    <w:rsid w:val="00601E26"/>
    <w:rsid w:val="00601F83"/>
    <w:rsid w:val="00602624"/>
    <w:rsid w:val="00602751"/>
    <w:rsid w:val="00602A03"/>
    <w:rsid w:val="00603022"/>
    <w:rsid w:val="006033A6"/>
    <w:rsid w:val="006033D4"/>
    <w:rsid w:val="00603616"/>
    <w:rsid w:val="00603B45"/>
    <w:rsid w:val="00603C74"/>
    <w:rsid w:val="0060465D"/>
    <w:rsid w:val="0060469D"/>
    <w:rsid w:val="00604A6F"/>
    <w:rsid w:val="00604CE8"/>
    <w:rsid w:val="00604D0C"/>
    <w:rsid w:val="00604E71"/>
    <w:rsid w:val="006052A8"/>
    <w:rsid w:val="006056F7"/>
    <w:rsid w:val="006058CD"/>
    <w:rsid w:val="0060599D"/>
    <w:rsid w:val="006062EA"/>
    <w:rsid w:val="00606338"/>
    <w:rsid w:val="006065DB"/>
    <w:rsid w:val="0060697D"/>
    <w:rsid w:val="00606B0C"/>
    <w:rsid w:val="00606E62"/>
    <w:rsid w:val="0060718C"/>
    <w:rsid w:val="006072C8"/>
    <w:rsid w:val="00607741"/>
    <w:rsid w:val="00607CED"/>
    <w:rsid w:val="00607DCD"/>
    <w:rsid w:val="00607FA3"/>
    <w:rsid w:val="00610004"/>
    <w:rsid w:val="006102D1"/>
    <w:rsid w:val="006102D2"/>
    <w:rsid w:val="00610726"/>
    <w:rsid w:val="00610CE3"/>
    <w:rsid w:val="00610DB7"/>
    <w:rsid w:val="00610F1C"/>
    <w:rsid w:val="00610FE3"/>
    <w:rsid w:val="006112C8"/>
    <w:rsid w:val="00611329"/>
    <w:rsid w:val="006115EC"/>
    <w:rsid w:val="0061183A"/>
    <w:rsid w:val="00611BA8"/>
    <w:rsid w:val="00611D27"/>
    <w:rsid w:val="00611F33"/>
    <w:rsid w:val="00612541"/>
    <w:rsid w:val="006125DB"/>
    <w:rsid w:val="00612625"/>
    <w:rsid w:val="0061267B"/>
    <w:rsid w:val="00612845"/>
    <w:rsid w:val="00612846"/>
    <w:rsid w:val="00612A72"/>
    <w:rsid w:val="00612A79"/>
    <w:rsid w:val="00612FB1"/>
    <w:rsid w:val="006133F8"/>
    <w:rsid w:val="00613511"/>
    <w:rsid w:val="00613605"/>
    <w:rsid w:val="006136FD"/>
    <w:rsid w:val="006138D8"/>
    <w:rsid w:val="006139CB"/>
    <w:rsid w:val="00613A34"/>
    <w:rsid w:val="00613B9A"/>
    <w:rsid w:val="00613EBA"/>
    <w:rsid w:val="00613EDE"/>
    <w:rsid w:val="0061409D"/>
    <w:rsid w:val="0061446D"/>
    <w:rsid w:val="0061451E"/>
    <w:rsid w:val="006146E4"/>
    <w:rsid w:val="00614A75"/>
    <w:rsid w:val="00614B7D"/>
    <w:rsid w:val="00614D0B"/>
    <w:rsid w:val="00614DAF"/>
    <w:rsid w:val="00614F36"/>
    <w:rsid w:val="00614FE1"/>
    <w:rsid w:val="0061539C"/>
    <w:rsid w:val="00615424"/>
    <w:rsid w:val="0061547F"/>
    <w:rsid w:val="0061588C"/>
    <w:rsid w:val="00615C10"/>
    <w:rsid w:val="00615C74"/>
    <w:rsid w:val="00615F48"/>
    <w:rsid w:val="00616038"/>
    <w:rsid w:val="0061641B"/>
    <w:rsid w:val="006164CE"/>
    <w:rsid w:val="00616732"/>
    <w:rsid w:val="006169BB"/>
    <w:rsid w:val="00616BE1"/>
    <w:rsid w:val="00617197"/>
    <w:rsid w:val="0061750E"/>
    <w:rsid w:val="006176E8"/>
    <w:rsid w:val="00617B81"/>
    <w:rsid w:val="00617C2D"/>
    <w:rsid w:val="00617C63"/>
    <w:rsid w:val="00617D5C"/>
    <w:rsid w:val="00617E24"/>
    <w:rsid w:val="00617E6F"/>
    <w:rsid w:val="00617EC4"/>
    <w:rsid w:val="0062011F"/>
    <w:rsid w:val="0062045E"/>
    <w:rsid w:val="006205A9"/>
    <w:rsid w:val="006207E2"/>
    <w:rsid w:val="00620CFE"/>
    <w:rsid w:val="00620F55"/>
    <w:rsid w:val="00621549"/>
    <w:rsid w:val="006216E0"/>
    <w:rsid w:val="006218B7"/>
    <w:rsid w:val="00621A74"/>
    <w:rsid w:val="00621D04"/>
    <w:rsid w:val="00622013"/>
    <w:rsid w:val="006220DB"/>
    <w:rsid w:val="00622301"/>
    <w:rsid w:val="00622543"/>
    <w:rsid w:val="006227D6"/>
    <w:rsid w:val="0062281C"/>
    <w:rsid w:val="0062281E"/>
    <w:rsid w:val="00622901"/>
    <w:rsid w:val="00622985"/>
    <w:rsid w:val="00622B3E"/>
    <w:rsid w:val="00622D03"/>
    <w:rsid w:val="00622DC5"/>
    <w:rsid w:val="00622FEC"/>
    <w:rsid w:val="0062328B"/>
    <w:rsid w:val="006233AB"/>
    <w:rsid w:val="0062349F"/>
    <w:rsid w:val="00623503"/>
    <w:rsid w:val="006235D2"/>
    <w:rsid w:val="00623B40"/>
    <w:rsid w:val="00623BAB"/>
    <w:rsid w:val="00623E54"/>
    <w:rsid w:val="00624084"/>
    <w:rsid w:val="00624846"/>
    <w:rsid w:val="006251FB"/>
    <w:rsid w:val="006252A5"/>
    <w:rsid w:val="0062548D"/>
    <w:rsid w:val="00625684"/>
    <w:rsid w:val="006259D6"/>
    <w:rsid w:val="00625DEB"/>
    <w:rsid w:val="00625E69"/>
    <w:rsid w:val="00626025"/>
    <w:rsid w:val="00626943"/>
    <w:rsid w:val="00626A62"/>
    <w:rsid w:val="00626CA9"/>
    <w:rsid w:val="00626D7C"/>
    <w:rsid w:val="00626DF6"/>
    <w:rsid w:val="006273B7"/>
    <w:rsid w:val="006274D8"/>
    <w:rsid w:val="00627803"/>
    <w:rsid w:val="00627853"/>
    <w:rsid w:val="006278AC"/>
    <w:rsid w:val="006279B3"/>
    <w:rsid w:val="00627C62"/>
    <w:rsid w:val="00627C6B"/>
    <w:rsid w:val="006303CD"/>
    <w:rsid w:val="006305CE"/>
    <w:rsid w:val="006307FF"/>
    <w:rsid w:val="0063088C"/>
    <w:rsid w:val="00630DE6"/>
    <w:rsid w:val="00630E28"/>
    <w:rsid w:val="00631258"/>
    <w:rsid w:val="0063161E"/>
    <w:rsid w:val="0063170A"/>
    <w:rsid w:val="0063173B"/>
    <w:rsid w:val="00631766"/>
    <w:rsid w:val="006318CB"/>
    <w:rsid w:val="00631A5F"/>
    <w:rsid w:val="00631E8B"/>
    <w:rsid w:val="00631F14"/>
    <w:rsid w:val="00632087"/>
    <w:rsid w:val="00632509"/>
    <w:rsid w:val="00632904"/>
    <w:rsid w:val="00632CCB"/>
    <w:rsid w:val="00633076"/>
    <w:rsid w:val="0063309F"/>
    <w:rsid w:val="00633388"/>
    <w:rsid w:val="006337DA"/>
    <w:rsid w:val="00633A82"/>
    <w:rsid w:val="00633B74"/>
    <w:rsid w:val="00633BB2"/>
    <w:rsid w:val="00633CC6"/>
    <w:rsid w:val="00634053"/>
    <w:rsid w:val="006342B4"/>
    <w:rsid w:val="00634672"/>
    <w:rsid w:val="006347D0"/>
    <w:rsid w:val="00634EE7"/>
    <w:rsid w:val="00634FF0"/>
    <w:rsid w:val="00635136"/>
    <w:rsid w:val="00635965"/>
    <w:rsid w:val="00635A32"/>
    <w:rsid w:val="00635C04"/>
    <w:rsid w:val="00635D8E"/>
    <w:rsid w:val="00635FB0"/>
    <w:rsid w:val="0063609E"/>
    <w:rsid w:val="00636144"/>
    <w:rsid w:val="0063641D"/>
    <w:rsid w:val="006365CE"/>
    <w:rsid w:val="006367FF"/>
    <w:rsid w:val="00636857"/>
    <w:rsid w:val="006368B6"/>
    <w:rsid w:val="00636A9C"/>
    <w:rsid w:val="00636C88"/>
    <w:rsid w:val="00636F00"/>
    <w:rsid w:val="006371F6"/>
    <w:rsid w:val="0063760D"/>
    <w:rsid w:val="006376FE"/>
    <w:rsid w:val="006378E8"/>
    <w:rsid w:val="00637F39"/>
    <w:rsid w:val="00637F5A"/>
    <w:rsid w:val="00640186"/>
    <w:rsid w:val="006401ED"/>
    <w:rsid w:val="006402EF"/>
    <w:rsid w:val="006402F4"/>
    <w:rsid w:val="006404CA"/>
    <w:rsid w:val="00640BAC"/>
    <w:rsid w:val="006411E4"/>
    <w:rsid w:val="00641527"/>
    <w:rsid w:val="00641714"/>
    <w:rsid w:val="006418D4"/>
    <w:rsid w:val="006418FD"/>
    <w:rsid w:val="00641A77"/>
    <w:rsid w:val="0064204D"/>
    <w:rsid w:val="0064219A"/>
    <w:rsid w:val="006421B7"/>
    <w:rsid w:val="006421CA"/>
    <w:rsid w:val="00642381"/>
    <w:rsid w:val="00642475"/>
    <w:rsid w:val="006428C0"/>
    <w:rsid w:val="006429E1"/>
    <w:rsid w:val="00642EDF"/>
    <w:rsid w:val="00643244"/>
    <w:rsid w:val="006432D1"/>
    <w:rsid w:val="006433F6"/>
    <w:rsid w:val="006434BB"/>
    <w:rsid w:val="006435BF"/>
    <w:rsid w:val="006436BD"/>
    <w:rsid w:val="00643AC9"/>
    <w:rsid w:val="00643F26"/>
    <w:rsid w:val="00643FFD"/>
    <w:rsid w:val="00644251"/>
    <w:rsid w:val="00644519"/>
    <w:rsid w:val="00644D01"/>
    <w:rsid w:val="00644E14"/>
    <w:rsid w:val="00644EA2"/>
    <w:rsid w:val="006455E9"/>
    <w:rsid w:val="00645682"/>
    <w:rsid w:val="006456E7"/>
    <w:rsid w:val="00645C7B"/>
    <w:rsid w:val="00645C91"/>
    <w:rsid w:val="00645CCB"/>
    <w:rsid w:val="00646109"/>
    <w:rsid w:val="006462EF"/>
    <w:rsid w:val="0064687F"/>
    <w:rsid w:val="00646AE1"/>
    <w:rsid w:val="00646D98"/>
    <w:rsid w:val="00646F0E"/>
    <w:rsid w:val="006472FE"/>
    <w:rsid w:val="006473B6"/>
    <w:rsid w:val="006478CD"/>
    <w:rsid w:val="006479FA"/>
    <w:rsid w:val="00647A31"/>
    <w:rsid w:val="00647E1D"/>
    <w:rsid w:val="00650011"/>
    <w:rsid w:val="00650362"/>
    <w:rsid w:val="00650464"/>
    <w:rsid w:val="006504D5"/>
    <w:rsid w:val="0065056E"/>
    <w:rsid w:val="00650C3E"/>
    <w:rsid w:val="00650D40"/>
    <w:rsid w:val="0065125B"/>
    <w:rsid w:val="0065171F"/>
    <w:rsid w:val="00651A60"/>
    <w:rsid w:val="00651BAB"/>
    <w:rsid w:val="00651DF1"/>
    <w:rsid w:val="00651EE0"/>
    <w:rsid w:val="006523B4"/>
    <w:rsid w:val="00652495"/>
    <w:rsid w:val="006524A3"/>
    <w:rsid w:val="006525B5"/>
    <w:rsid w:val="0065265C"/>
    <w:rsid w:val="006528CF"/>
    <w:rsid w:val="00652A5B"/>
    <w:rsid w:val="00652B94"/>
    <w:rsid w:val="00652DB6"/>
    <w:rsid w:val="0065319D"/>
    <w:rsid w:val="0065331C"/>
    <w:rsid w:val="0065362E"/>
    <w:rsid w:val="00653864"/>
    <w:rsid w:val="00653A06"/>
    <w:rsid w:val="00653CDE"/>
    <w:rsid w:val="00653EFF"/>
    <w:rsid w:val="00653FE2"/>
    <w:rsid w:val="006541E7"/>
    <w:rsid w:val="00654203"/>
    <w:rsid w:val="00654354"/>
    <w:rsid w:val="00654424"/>
    <w:rsid w:val="006544A3"/>
    <w:rsid w:val="0065456A"/>
    <w:rsid w:val="006545BF"/>
    <w:rsid w:val="0065476F"/>
    <w:rsid w:val="00654894"/>
    <w:rsid w:val="00654B19"/>
    <w:rsid w:val="00654EB5"/>
    <w:rsid w:val="00655179"/>
    <w:rsid w:val="00655593"/>
    <w:rsid w:val="00655641"/>
    <w:rsid w:val="00655714"/>
    <w:rsid w:val="00655D8B"/>
    <w:rsid w:val="00655E5C"/>
    <w:rsid w:val="006561D6"/>
    <w:rsid w:val="006564F1"/>
    <w:rsid w:val="0065687A"/>
    <w:rsid w:val="00656B3A"/>
    <w:rsid w:val="00656CB5"/>
    <w:rsid w:val="00656F5D"/>
    <w:rsid w:val="0065770A"/>
    <w:rsid w:val="00657804"/>
    <w:rsid w:val="00657838"/>
    <w:rsid w:val="00657969"/>
    <w:rsid w:val="00657A75"/>
    <w:rsid w:val="00657B44"/>
    <w:rsid w:val="00657E30"/>
    <w:rsid w:val="0066018F"/>
    <w:rsid w:val="006602AB"/>
    <w:rsid w:val="006605CB"/>
    <w:rsid w:val="00660866"/>
    <w:rsid w:val="00660995"/>
    <w:rsid w:val="00660A80"/>
    <w:rsid w:val="00660BD9"/>
    <w:rsid w:val="00660F94"/>
    <w:rsid w:val="00660FF4"/>
    <w:rsid w:val="006615A3"/>
    <w:rsid w:val="006616B7"/>
    <w:rsid w:val="00661747"/>
    <w:rsid w:val="006617A0"/>
    <w:rsid w:val="00661893"/>
    <w:rsid w:val="00661BB3"/>
    <w:rsid w:val="00661D27"/>
    <w:rsid w:val="00661D36"/>
    <w:rsid w:val="00661E8A"/>
    <w:rsid w:val="00662065"/>
    <w:rsid w:val="00662FD8"/>
    <w:rsid w:val="006635CB"/>
    <w:rsid w:val="00663702"/>
    <w:rsid w:val="00663D26"/>
    <w:rsid w:val="00664095"/>
    <w:rsid w:val="006640BD"/>
    <w:rsid w:val="006643FA"/>
    <w:rsid w:val="006644CB"/>
    <w:rsid w:val="0066460C"/>
    <w:rsid w:val="006646BE"/>
    <w:rsid w:val="0066498D"/>
    <w:rsid w:val="00664CA4"/>
    <w:rsid w:val="00664EE4"/>
    <w:rsid w:val="0066502B"/>
    <w:rsid w:val="00665062"/>
    <w:rsid w:val="00665356"/>
    <w:rsid w:val="0066567B"/>
    <w:rsid w:val="00665772"/>
    <w:rsid w:val="00665D57"/>
    <w:rsid w:val="00665F7D"/>
    <w:rsid w:val="00666069"/>
    <w:rsid w:val="00666187"/>
    <w:rsid w:val="006663FF"/>
    <w:rsid w:val="00666735"/>
    <w:rsid w:val="00666919"/>
    <w:rsid w:val="00666CC6"/>
    <w:rsid w:val="00666F67"/>
    <w:rsid w:val="00667070"/>
    <w:rsid w:val="006670EE"/>
    <w:rsid w:val="0066717D"/>
    <w:rsid w:val="006673F8"/>
    <w:rsid w:val="00667746"/>
    <w:rsid w:val="0066774D"/>
    <w:rsid w:val="00667856"/>
    <w:rsid w:val="006678C1"/>
    <w:rsid w:val="0066798C"/>
    <w:rsid w:val="006679D6"/>
    <w:rsid w:val="00667A43"/>
    <w:rsid w:val="00667B24"/>
    <w:rsid w:val="00667B97"/>
    <w:rsid w:val="00667B9D"/>
    <w:rsid w:val="0067007F"/>
    <w:rsid w:val="00670146"/>
    <w:rsid w:val="00670272"/>
    <w:rsid w:val="00670280"/>
    <w:rsid w:val="006709DD"/>
    <w:rsid w:val="00670C6A"/>
    <w:rsid w:val="00670F62"/>
    <w:rsid w:val="006713D3"/>
    <w:rsid w:val="006714CD"/>
    <w:rsid w:val="00671684"/>
    <w:rsid w:val="0067193D"/>
    <w:rsid w:val="006719BE"/>
    <w:rsid w:val="00671A85"/>
    <w:rsid w:val="00671AF7"/>
    <w:rsid w:val="00671C8B"/>
    <w:rsid w:val="00672241"/>
    <w:rsid w:val="0067233E"/>
    <w:rsid w:val="006723BF"/>
    <w:rsid w:val="00672415"/>
    <w:rsid w:val="0067245D"/>
    <w:rsid w:val="0067255B"/>
    <w:rsid w:val="0067257E"/>
    <w:rsid w:val="00672A24"/>
    <w:rsid w:val="00672A32"/>
    <w:rsid w:val="00672CA5"/>
    <w:rsid w:val="00673AC7"/>
    <w:rsid w:val="00673C66"/>
    <w:rsid w:val="00673EF2"/>
    <w:rsid w:val="00674185"/>
    <w:rsid w:val="006741CE"/>
    <w:rsid w:val="0067420D"/>
    <w:rsid w:val="006743ED"/>
    <w:rsid w:val="00674448"/>
    <w:rsid w:val="006747C1"/>
    <w:rsid w:val="00674F8B"/>
    <w:rsid w:val="00675030"/>
    <w:rsid w:val="00675138"/>
    <w:rsid w:val="006752C9"/>
    <w:rsid w:val="006752E4"/>
    <w:rsid w:val="0067551A"/>
    <w:rsid w:val="006757DF"/>
    <w:rsid w:val="00675B70"/>
    <w:rsid w:val="00675EF9"/>
    <w:rsid w:val="00675FAC"/>
    <w:rsid w:val="0067602A"/>
    <w:rsid w:val="006760EE"/>
    <w:rsid w:val="006762DC"/>
    <w:rsid w:val="006763D4"/>
    <w:rsid w:val="006764DD"/>
    <w:rsid w:val="0067695F"/>
    <w:rsid w:val="006769C0"/>
    <w:rsid w:val="006769D2"/>
    <w:rsid w:val="00676C0B"/>
    <w:rsid w:val="00676E69"/>
    <w:rsid w:val="00677436"/>
    <w:rsid w:val="00677469"/>
    <w:rsid w:val="0067771B"/>
    <w:rsid w:val="006777A9"/>
    <w:rsid w:val="006779F5"/>
    <w:rsid w:val="00677DAE"/>
    <w:rsid w:val="00680262"/>
    <w:rsid w:val="00680404"/>
    <w:rsid w:val="006804C3"/>
    <w:rsid w:val="006810FA"/>
    <w:rsid w:val="00681BCE"/>
    <w:rsid w:val="006821DB"/>
    <w:rsid w:val="00682430"/>
    <w:rsid w:val="00682715"/>
    <w:rsid w:val="00682895"/>
    <w:rsid w:val="00682960"/>
    <w:rsid w:val="0068298F"/>
    <w:rsid w:val="00682CAD"/>
    <w:rsid w:val="00682DCD"/>
    <w:rsid w:val="00682FCF"/>
    <w:rsid w:val="006832AC"/>
    <w:rsid w:val="0068339D"/>
    <w:rsid w:val="0068348C"/>
    <w:rsid w:val="0068361F"/>
    <w:rsid w:val="006836CD"/>
    <w:rsid w:val="00683C2F"/>
    <w:rsid w:val="00683C90"/>
    <w:rsid w:val="00683D18"/>
    <w:rsid w:val="00683E11"/>
    <w:rsid w:val="0068429B"/>
    <w:rsid w:val="006842CB"/>
    <w:rsid w:val="006844A0"/>
    <w:rsid w:val="006845AF"/>
    <w:rsid w:val="0068477C"/>
    <w:rsid w:val="00684B25"/>
    <w:rsid w:val="00684FCC"/>
    <w:rsid w:val="00685092"/>
    <w:rsid w:val="00685241"/>
    <w:rsid w:val="0068541F"/>
    <w:rsid w:val="006855E3"/>
    <w:rsid w:val="00685669"/>
    <w:rsid w:val="006856B1"/>
    <w:rsid w:val="00685A13"/>
    <w:rsid w:val="00685B49"/>
    <w:rsid w:val="00685C0D"/>
    <w:rsid w:val="00685DB2"/>
    <w:rsid w:val="006861C4"/>
    <w:rsid w:val="0068687B"/>
    <w:rsid w:val="006868A8"/>
    <w:rsid w:val="006869B2"/>
    <w:rsid w:val="00686B06"/>
    <w:rsid w:val="00686D20"/>
    <w:rsid w:val="00686D30"/>
    <w:rsid w:val="00686FE2"/>
    <w:rsid w:val="006874CD"/>
    <w:rsid w:val="006876F6"/>
    <w:rsid w:val="00687A0D"/>
    <w:rsid w:val="00687A73"/>
    <w:rsid w:val="00690173"/>
    <w:rsid w:val="0069030B"/>
    <w:rsid w:val="0069039D"/>
    <w:rsid w:val="0069068A"/>
    <w:rsid w:val="006909EA"/>
    <w:rsid w:val="00690CE6"/>
    <w:rsid w:val="00690D24"/>
    <w:rsid w:val="00690DAF"/>
    <w:rsid w:val="00690E03"/>
    <w:rsid w:val="006911D6"/>
    <w:rsid w:val="006911EC"/>
    <w:rsid w:val="00691399"/>
    <w:rsid w:val="006913A0"/>
    <w:rsid w:val="006915CF"/>
    <w:rsid w:val="0069188B"/>
    <w:rsid w:val="006919A8"/>
    <w:rsid w:val="00691AB4"/>
    <w:rsid w:val="00691B6B"/>
    <w:rsid w:val="00692214"/>
    <w:rsid w:val="006922E9"/>
    <w:rsid w:val="00692407"/>
    <w:rsid w:val="00692867"/>
    <w:rsid w:val="0069286C"/>
    <w:rsid w:val="00692937"/>
    <w:rsid w:val="00692A05"/>
    <w:rsid w:val="00692AB6"/>
    <w:rsid w:val="00692C75"/>
    <w:rsid w:val="00692ECC"/>
    <w:rsid w:val="00692FB9"/>
    <w:rsid w:val="00693047"/>
    <w:rsid w:val="006931A6"/>
    <w:rsid w:val="006931EE"/>
    <w:rsid w:val="006933FA"/>
    <w:rsid w:val="006934C7"/>
    <w:rsid w:val="00693508"/>
    <w:rsid w:val="0069358E"/>
    <w:rsid w:val="00693752"/>
    <w:rsid w:val="006937BF"/>
    <w:rsid w:val="00694370"/>
    <w:rsid w:val="00694510"/>
    <w:rsid w:val="006946FF"/>
    <w:rsid w:val="00694B0E"/>
    <w:rsid w:val="00694C10"/>
    <w:rsid w:val="00695018"/>
    <w:rsid w:val="006951B2"/>
    <w:rsid w:val="006952FC"/>
    <w:rsid w:val="00695481"/>
    <w:rsid w:val="006957A6"/>
    <w:rsid w:val="0069600C"/>
    <w:rsid w:val="0069637C"/>
    <w:rsid w:val="0069664B"/>
    <w:rsid w:val="00696913"/>
    <w:rsid w:val="00696A9B"/>
    <w:rsid w:val="00696DB9"/>
    <w:rsid w:val="00696DEE"/>
    <w:rsid w:val="00696E53"/>
    <w:rsid w:val="006970F1"/>
    <w:rsid w:val="006971A0"/>
    <w:rsid w:val="006973C4"/>
    <w:rsid w:val="0069776F"/>
    <w:rsid w:val="0069786F"/>
    <w:rsid w:val="006A0119"/>
    <w:rsid w:val="006A022F"/>
    <w:rsid w:val="006A058E"/>
    <w:rsid w:val="006A0C40"/>
    <w:rsid w:val="006A1111"/>
    <w:rsid w:val="006A1684"/>
    <w:rsid w:val="006A17E4"/>
    <w:rsid w:val="006A17F2"/>
    <w:rsid w:val="006A17FD"/>
    <w:rsid w:val="006A196B"/>
    <w:rsid w:val="006A19CC"/>
    <w:rsid w:val="006A1B47"/>
    <w:rsid w:val="006A1B91"/>
    <w:rsid w:val="006A1C1C"/>
    <w:rsid w:val="006A1DD0"/>
    <w:rsid w:val="006A1E33"/>
    <w:rsid w:val="006A1FD2"/>
    <w:rsid w:val="006A20AB"/>
    <w:rsid w:val="006A20DA"/>
    <w:rsid w:val="006A2A21"/>
    <w:rsid w:val="006A2C90"/>
    <w:rsid w:val="006A2CF1"/>
    <w:rsid w:val="006A2D13"/>
    <w:rsid w:val="006A2E93"/>
    <w:rsid w:val="006A3043"/>
    <w:rsid w:val="006A3242"/>
    <w:rsid w:val="006A342A"/>
    <w:rsid w:val="006A391E"/>
    <w:rsid w:val="006A3933"/>
    <w:rsid w:val="006A39E1"/>
    <w:rsid w:val="006A3A0E"/>
    <w:rsid w:val="006A3AFB"/>
    <w:rsid w:val="006A3D46"/>
    <w:rsid w:val="006A3DB6"/>
    <w:rsid w:val="006A3E3D"/>
    <w:rsid w:val="006A3F47"/>
    <w:rsid w:val="006A3F80"/>
    <w:rsid w:val="006A4037"/>
    <w:rsid w:val="006A40C2"/>
    <w:rsid w:val="006A40D5"/>
    <w:rsid w:val="006A414D"/>
    <w:rsid w:val="006A4356"/>
    <w:rsid w:val="006A4A63"/>
    <w:rsid w:val="006A4BD1"/>
    <w:rsid w:val="006A4D5E"/>
    <w:rsid w:val="006A51C3"/>
    <w:rsid w:val="006A52F5"/>
    <w:rsid w:val="006A5341"/>
    <w:rsid w:val="006A55F1"/>
    <w:rsid w:val="006A55FE"/>
    <w:rsid w:val="006A570B"/>
    <w:rsid w:val="006A57DE"/>
    <w:rsid w:val="006A5CD4"/>
    <w:rsid w:val="006A5EC2"/>
    <w:rsid w:val="006A5FE2"/>
    <w:rsid w:val="006A60CA"/>
    <w:rsid w:val="006A613B"/>
    <w:rsid w:val="006A63DD"/>
    <w:rsid w:val="006A647E"/>
    <w:rsid w:val="006A689C"/>
    <w:rsid w:val="006A698F"/>
    <w:rsid w:val="006A6BCF"/>
    <w:rsid w:val="006A6C42"/>
    <w:rsid w:val="006A7056"/>
    <w:rsid w:val="006A759A"/>
    <w:rsid w:val="006A76E4"/>
    <w:rsid w:val="006A78AF"/>
    <w:rsid w:val="006A79BE"/>
    <w:rsid w:val="006A7B8A"/>
    <w:rsid w:val="006A7C39"/>
    <w:rsid w:val="006A7DAE"/>
    <w:rsid w:val="006A7EA5"/>
    <w:rsid w:val="006A7F5F"/>
    <w:rsid w:val="006B00FE"/>
    <w:rsid w:val="006B03C0"/>
    <w:rsid w:val="006B0554"/>
    <w:rsid w:val="006B06D9"/>
    <w:rsid w:val="006B0B00"/>
    <w:rsid w:val="006B0B21"/>
    <w:rsid w:val="006B0C0D"/>
    <w:rsid w:val="006B0C82"/>
    <w:rsid w:val="006B0C8B"/>
    <w:rsid w:val="006B0DC9"/>
    <w:rsid w:val="006B0DCC"/>
    <w:rsid w:val="006B0EE0"/>
    <w:rsid w:val="006B10CC"/>
    <w:rsid w:val="006B139B"/>
    <w:rsid w:val="006B15A9"/>
    <w:rsid w:val="006B163E"/>
    <w:rsid w:val="006B1A4A"/>
    <w:rsid w:val="006B1EDF"/>
    <w:rsid w:val="006B26B5"/>
    <w:rsid w:val="006B2A3A"/>
    <w:rsid w:val="006B2B9A"/>
    <w:rsid w:val="006B3178"/>
    <w:rsid w:val="006B36DD"/>
    <w:rsid w:val="006B3CA8"/>
    <w:rsid w:val="006B4310"/>
    <w:rsid w:val="006B43EF"/>
    <w:rsid w:val="006B4409"/>
    <w:rsid w:val="006B454A"/>
    <w:rsid w:val="006B47BA"/>
    <w:rsid w:val="006B4980"/>
    <w:rsid w:val="006B4B1C"/>
    <w:rsid w:val="006B4F12"/>
    <w:rsid w:val="006B4FAF"/>
    <w:rsid w:val="006B4FB1"/>
    <w:rsid w:val="006B52D1"/>
    <w:rsid w:val="006B540F"/>
    <w:rsid w:val="006B55EE"/>
    <w:rsid w:val="006B55FB"/>
    <w:rsid w:val="006B5BF4"/>
    <w:rsid w:val="006B61C0"/>
    <w:rsid w:val="006B6205"/>
    <w:rsid w:val="006B6527"/>
    <w:rsid w:val="006B67ED"/>
    <w:rsid w:val="006B68DE"/>
    <w:rsid w:val="006B6B6E"/>
    <w:rsid w:val="006B7579"/>
    <w:rsid w:val="006B7773"/>
    <w:rsid w:val="006B77CD"/>
    <w:rsid w:val="006B78EF"/>
    <w:rsid w:val="006B7A7A"/>
    <w:rsid w:val="006B7D3B"/>
    <w:rsid w:val="006C02B1"/>
    <w:rsid w:val="006C02EA"/>
    <w:rsid w:val="006C058F"/>
    <w:rsid w:val="006C0727"/>
    <w:rsid w:val="006C0859"/>
    <w:rsid w:val="006C0922"/>
    <w:rsid w:val="006C0D9C"/>
    <w:rsid w:val="006C0FC5"/>
    <w:rsid w:val="006C1263"/>
    <w:rsid w:val="006C1281"/>
    <w:rsid w:val="006C13AB"/>
    <w:rsid w:val="006C13CD"/>
    <w:rsid w:val="006C1752"/>
    <w:rsid w:val="006C178F"/>
    <w:rsid w:val="006C18B3"/>
    <w:rsid w:val="006C195A"/>
    <w:rsid w:val="006C1AB4"/>
    <w:rsid w:val="006C21CE"/>
    <w:rsid w:val="006C2645"/>
    <w:rsid w:val="006C28B8"/>
    <w:rsid w:val="006C2D2F"/>
    <w:rsid w:val="006C2F56"/>
    <w:rsid w:val="006C3351"/>
    <w:rsid w:val="006C3357"/>
    <w:rsid w:val="006C3566"/>
    <w:rsid w:val="006C388B"/>
    <w:rsid w:val="006C3BD3"/>
    <w:rsid w:val="006C3CCE"/>
    <w:rsid w:val="006C3CE3"/>
    <w:rsid w:val="006C3F03"/>
    <w:rsid w:val="006C430A"/>
    <w:rsid w:val="006C45FD"/>
    <w:rsid w:val="006C4B62"/>
    <w:rsid w:val="006C4CA8"/>
    <w:rsid w:val="006C4F73"/>
    <w:rsid w:val="006C52EC"/>
    <w:rsid w:val="006C5308"/>
    <w:rsid w:val="006C55CE"/>
    <w:rsid w:val="006C5C5D"/>
    <w:rsid w:val="006C5DE6"/>
    <w:rsid w:val="006C60B9"/>
    <w:rsid w:val="006C614F"/>
    <w:rsid w:val="006C627A"/>
    <w:rsid w:val="006C644D"/>
    <w:rsid w:val="006C64E7"/>
    <w:rsid w:val="006C662A"/>
    <w:rsid w:val="006C669D"/>
    <w:rsid w:val="006C6C32"/>
    <w:rsid w:val="006C6DA1"/>
    <w:rsid w:val="006C6EE4"/>
    <w:rsid w:val="006C70B3"/>
    <w:rsid w:val="006C7287"/>
    <w:rsid w:val="006C73C1"/>
    <w:rsid w:val="006C73E6"/>
    <w:rsid w:val="006C754B"/>
    <w:rsid w:val="006C768D"/>
    <w:rsid w:val="006C786F"/>
    <w:rsid w:val="006C79DB"/>
    <w:rsid w:val="006C7DAC"/>
    <w:rsid w:val="006D02FA"/>
    <w:rsid w:val="006D07C0"/>
    <w:rsid w:val="006D09D9"/>
    <w:rsid w:val="006D0B6B"/>
    <w:rsid w:val="006D0B8E"/>
    <w:rsid w:val="006D0CC6"/>
    <w:rsid w:val="006D0F81"/>
    <w:rsid w:val="006D1006"/>
    <w:rsid w:val="006D115B"/>
    <w:rsid w:val="006D16D5"/>
    <w:rsid w:val="006D1A0D"/>
    <w:rsid w:val="006D1D7C"/>
    <w:rsid w:val="006D21E1"/>
    <w:rsid w:val="006D22BC"/>
    <w:rsid w:val="006D22DB"/>
    <w:rsid w:val="006D25B3"/>
    <w:rsid w:val="006D289C"/>
    <w:rsid w:val="006D28DA"/>
    <w:rsid w:val="006D28F8"/>
    <w:rsid w:val="006D2AEA"/>
    <w:rsid w:val="006D2C51"/>
    <w:rsid w:val="006D2CAE"/>
    <w:rsid w:val="006D2DF5"/>
    <w:rsid w:val="006D2E34"/>
    <w:rsid w:val="006D3153"/>
    <w:rsid w:val="006D317E"/>
    <w:rsid w:val="006D33EE"/>
    <w:rsid w:val="006D34E8"/>
    <w:rsid w:val="006D35DD"/>
    <w:rsid w:val="006D36DF"/>
    <w:rsid w:val="006D381B"/>
    <w:rsid w:val="006D384B"/>
    <w:rsid w:val="006D3AF9"/>
    <w:rsid w:val="006D3D7E"/>
    <w:rsid w:val="006D3E83"/>
    <w:rsid w:val="006D442A"/>
    <w:rsid w:val="006D47CF"/>
    <w:rsid w:val="006D491E"/>
    <w:rsid w:val="006D4E4A"/>
    <w:rsid w:val="006D4E9B"/>
    <w:rsid w:val="006D5A28"/>
    <w:rsid w:val="006D5ABE"/>
    <w:rsid w:val="006D5ECF"/>
    <w:rsid w:val="006D609F"/>
    <w:rsid w:val="006D62ED"/>
    <w:rsid w:val="006D648F"/>
    <w:rsid w:val="006D663C"/>
    <w:rsid w:val="006D6F48"/>
    <w:rsid w:val="006D7190"/>
    <w:rsid w:val="006D73B3"/>
    <w:rsid w:val="006D747D"/>
    <w:rsid w:val="006D76AD"/>
    <w:rsid w:val="006D7878"/>
    <w:rsid w:val="006E0276"/>
    <w:rsid w:val="006E0916"/>
    <w:rsid w:val="006E09F2"/>
    <w:rsid w:val="006E0B7A"/>
    <w:rsid w:val="006E0EB8"/>
    <w:rsid w:val="006E0F55"/>
    <w:rsid w:val="006E122F"/>
    <w:rsid w:val="006E1486"/>
    <w:rsid w:val="006E1670"/>
    <w:rsid w:val="006E19C2"/>
    <w:rsid w:val="006E1C11"/>
    <w:rsid w:val="006E1D4F"/>
    <w:rsid w:val="006E21C8"/>
    <w:rsid w:val="006E227B"/>
    <w:rsid w:val="006E2450"/>
    <w:rsid w:val="006E2636"/>
    <w:rsid w:val="006E279B"/>
    <w:rsid w:val="006E2825"/>
    <w:rsid w:val="006E2833"/>
    <w:rsid w:val="006E290B"/>
    <w:rsid w:val="006E2BAA"/>
    <w:rsid w:val="006E2E3B"/>
    <w:rsid w:val="006E3102"/>
    <w:rsid w:val="006E33B6"/>
    <w:rsid w:val="006E3459"/>
    <w:rsid w:val="006E3771"/>
    <w:rsid w:val="006E3A32"/>
    <w:rsid w:val="006E3DDA"/>
    <w:rsid w:val="006E41D7"/>
    <w:rsid w:val="006E438B"/>
    <w:rsid w:val="006E452F"/>
    <w:rsid w:val="006E47EE"/>
    <w:rsid w:val="006E4855"/>
    <w:rsid w:val="006E48DE"/>
    <w:rsid w:val="006E5260"/>
    <w:rsid w:val="006E5645"/>
    <w:rsid w:val="006E574E"/>
    <w:rsid w:val="006E5A70"/>
    <w:rsid w:val="006E5F9D"/>
    <w:rsid w:val="006E61A6"/>
    <w:rsid w:val="006E6352"/>
    <w:rsid w:val="006E63AD"/>
    <w:rsid w:val="006E6833"/>
    <w:rsid w:val="006E688F"/>
    <w:rsid w:val="006E6A2E"/>
    <w:rsid w:val="006E6AAE"/>
    <w:rsid w:val="006E6C25"/>
    <w:rsid w:val="006E6C3C"/>
    <w:rsid w:val="006E7045"/>
    <w:rsid w:val="006E7341"/>
    <w:rsid w:val="006E7529"/>
    <w:rsid w:val="006E755C"/>
    <w:rsid w:val="006E75FD"/>
    <w:rsid w:val="006E76C7"/>
    <w:rsid w:val="006E7957"/>
    <w:rsid w:val="006E797C"/>
    <w:rsid w:val="006E7C7E"/>
    <w:rsid w:val="006F02CC"/>
    <w:rsid w:val="006F02E2"/>
    <w:rsid w:val="006F031B"/>
    <w:rsid w:val="006F0363"/>
    <w:rsid w:val="006F0495"/>
    <w:rsid w:val="006F0C27"/>
    <w:rsid w:val="006F0F08"/>
    <w:rsid w:val="006F0F9B"/>
    <w:rsid w:val="006F1265"/>
    <w:rsid w:val="006F12AB"/>
    <w:rsid w:val="006F1554"/>
    <w:rsid w:val="006F1854"/>
    <w:rsid w:val="006F186B"/>
    <w:rsid w:val="006F1DF7"/>
    <w:rsid w:val="006F1F09"/>
    <w:rsid w:val="006F2874"/>
    <w:rsid w:val="006F28A6"/>
    <w:rsid w:val="006F29A8"/>
    <w:rsid w:val="006F2A44"/>
    <w:rsid w:val="006F2DB1"/>
    <w:rsid w:val="006F2E21"/>
    <w:rsid w:val="006F2E7E"/>
    <w:rsid w:val="006F3324"/>
    <w:rsid w:val="006F3360"/>
    <w:rsid w:val="006F348B"/>
    <w:rsid w:val="006F350F"/>
    <w:rsid w:val="006F37D2"/>
    <w:rsid w:val="006F3809"/>
    <w:rsid w:val="006F385A"/>
    <w:rsid w:val="006F3B82"/>
    <w:rsid w:val="006F3E56"/>
    <w:rsid w:val="006F4533"/>
    <w:rsid w:val="006F4AC2"/>
    <w:rsid w:val="006F5524"/>
    <w:rsid w:val="006F5752"/>
    <w:rsid w:val="006F5832"/>
    <w:rsid w:val="006F59FC"/>
    <w:rsid w:val="006F5B35"/>
    <w:rsid w:val="006F5F0C"/>
    <w:rsid w:val="006F607D"/>
    <w:rsid w:val="006F6550"/>
    <w:rsid w:val="006F65F6"/>
    <w:rsid w:val="006F6A17"/>
    <w:rsid w:val="006F6BCD"/>
    <w:rsid w:val="006F6FD1"/>
    <w:rsid w:val="006F73AC"/>
    <w:rsid w:val="006F73EE"/>
    <w:rsid w:val="006F761D"/>
    <w:rsid w:val="006F7658"/>
    <w:rsid w:val="006F77B9"/>
    <w:rsid w:val="006F7ED5"/>
    <w:rsid w:val="007004E5"/>
    <w:rsid w:val="00700582"/>
    <w:rsid w:val="007006CC"/>
    <w:rsid w:val="007006E6"/>
    <w:rsid w:val="00700DE6"/>
    <w:rsid w:val="00701284"/>
    <w:rsid w:val="007012BA"/>
    <w:rsid w:val="00701789"/>
    <w:rsid w:val="00701856"/>
    <w:rsid w:val="00701BC6"/>
    <w:rsid w:val="00701C61"/>
    <w:rsid w:val="00701C80"/>
    <w:rsid w:val="00701DC4"/>
    <w:rsid w:val="0070201F"/>
    <w:rsid w:val="0070231F"/>
    <w:rsid w:val="00702501"/>
    <w:rsid w:val="00702587"/>
    <w:rsid w:val="007027A6"/>
    <w:rsid w:val="00702BA5"/>
    <w:rsid w:val="00702E3D"/>
    <w:rsid w:val="00702EA6"/>
    <w:rsid w:val="007031DD"/>
    <w:rsid w:val="00703268"/>
    <w:rsid w:val="007036E1"/>
    <w:rsid w:val="007037A9"/>
    <w:rsid w:val="00703DCA"/>
    <w:rsid w:val="00704271"/>
    <w:rsid w:val="0070436F"/>
    <w:rsid w:val="0070468C"/>
    <w:rsid w:val="00704851"/>
    <w:rsid w:val="00704AF0"/>
    <w:rsid w:val="00704B29"/>
    <w:rsid w:val="00704B77"/>
    <w:rsid w:val="00704C57"/>
    <w:rsid w:val="00704C67"/>
    <w:rsid w:val="00704D5C"/>
    <w:rsid w:val="007051DB"/>
    <w:rsid w:val="007055E9"/>
    <w:rsid w:val="00705888"/>
    <w:rsid w:val="00705939"/>
    <w:rsid w:val="00705A60"/>
    <w:rsid w:val="00705BDF"/>
    <w:rsid w:val="00705D2A"/>
    <w:rsid w:val="00705ECB"/>
    <w:rsid w:val="007066CC"/>
    <w:rsid w:val="0070699D"/>
    <w:rsid w:val="00706A1D"/>
    <w:rsid w:val="00706B29"/>
    <w:rsid w:val="00706C07"/>
    <w:rsid w:val="00706D0F"/>
    <w:rsid w:val="0070700F"/>
    <w:rsid w:val="007070FF"/>
    <w:rsid w:val="007074D5"/>
    <w:rsid w:val="00710071"/>
    <w:rsid w:val="007100DD"/>
    <w:rsid w:val="007101B7"/>
    <w:rsid w:val="007101D3"/>
    <w:rsid w:val="00710408"/>
    <w:rsid w:val="007107E4"/>
    <w:rsid w:val="0071087C"/>
    <w:rsid w:val="00710900"/>
    <w:rsid w:val="00710BFC"/>
    <w:rsid w:val="00710D67"/>
    <w:rsid w:val="00710FED"/>
    <w:rsid w:val="00711145"/>
    <w:rsid w:val="0071134F"/>
    <w:rsid w:val="00711A10"/>
    <w:rsid w:val="00711B8A"/>
    <w:rsid w:val="00711CCC"/>
    <w:rsid w:val="00711D1A"/>
    <w:rsid w:val="00711EBC"/>
    <w:rsid w:val="00712500"/>
    <w:rsid w:val="0071286E"/>
    <w:rsid w:val="00712D5E"/>
    <w:rsid w:val="00712F8F"/>
    <w:rsid w:val="00713065"/>
    <w:rsid w:val="00713132"/>
    <w:rsid w:val="0071329F"/>
    <w:rsid w:val="007136A1"/>
    <w:rsid w:val="007138D3"/>
    <w:rsid w:val="0071409D"/>
    <w:rsid w:val="0071446E"/>
    <w:rsid w:val="0071451D"/>
    <w:rsid w:val="0071487C"/>
    <w:rsid w:val="00714B3A"/>
    <w:rsid w:val="007150F1"/>
    <w:rsid w:val="0071528D"/>
    <w:rsid w:val="007152D0"/>
    <w:rsid w:val="00715468"/>
    <w:rsid w:val="007157D6"/>
    <w:rsid w:val="007158C9"/>
    <w:rsid w:val="00715E3F"/>
    <w:rsid w:val="00715E63"/>
    <w:rsid w:val="00716209"/>
    <w:rsid w:val="00716442"/>
    <w:rsid w:val="007166FA"/>
    <w:rsid w:val="00716E59"/>
    <w:rsid w:val="00716E8D"/>
    <w:rsid w:val="00716EDD"/>
    <w:rsid w:val="00716F14"/>
    <w:rsid w:val="00716F6B"/>
    <w:rsid w:val="00717579"/>
    <w:rsid w:val="00717636"/>
    <w:rsid w:val="00717805"/>
    <w:rsid w:val="00717C33"/>
    <w:rsid w:val="00717CF7"/>
    <w:rsid w:val="00717F20"/>
    <w:rsid w:val="00720024"/>
    <w:rsid w:val="007202AF"/>
    <w:rsid w:val="00720396"/>
    <w:rsid w:val="0072042E"/>
    <w:rsid w:val="00720B6F"/>
    <w:rsid w:val="0072102F"/>
    <w:rsid w:val="0072103D"/>
    <w:rsid w:val="007210C8"/>
    <w:rsid w:val="007211B7"/>
    <w:rsid w:val="00721527"/>
    <w:rsid w:val="00721675"/>
    <w:rsid w:val="00721AC7"/>
    <w:rsid w:val="00721E9F"/>
    <w:rsid w:val="0072248F"/>
    <w:rsid w:val="007225BF"/>
    <w:rsid w:val="00722839"/>
    <w:rsid w:val="00722D8F"/>
    <w:rsid w:val="00722F82"/>
    <w:rsid w:val="0072325C"/>
    <w:rsid w:val="0072355E"/>
    <w:rsid w:val="007236DF"/>
    <w:rsid w:val="007236E1"/>
    <w:rsid w:val="00723C4C"/>
    <w:rsid w:val="00723DC9"/>
    <w:rsid w:val="00723DD9"/>
    <w:rsid w:val="0072402E"/>
    <w:rsid w:val="00724154"/>
    <w:rsid w:val="00724459"/>
    <w:rsid w:val="0072469C"/>
    <w:rsid w:val="00724728"/>
    <w:rsid w:val="00724818"/>
    <w:rsid w:val="00724B8D"/>
    <w:rsid w:val="00724E76"/>
    <w:rsid w:val="00724FD3"/>
    <w:rsid w:val="0072512E"/>
    <w:rsid w:val="00725379"/>
    <w:rsid w:val="007254ED"/>
    <w:rsid w:val="0072578B"/>
    <w:rsid w:val="00725936"/>
    <w:rsid w:val="00725A83"/>
    <w:rsid w:val="00725BD3"/>
    <w:rsid w:val="00725D12"/>
    <w:rsid w:val="00725EF4"/>
    <w:rsid w:val="00725F48"/>
    <w:rsid w:val="0072661B"/>
    <w:rsid w:val="0072675D"/>
    <w:rsid w:val="0072677F"/>
    <w:rsid w:val="00726AD5"/>
    <w:rsid w:val="00726C91"/>
    <w:rsid w:val="00726DFD"/>
    <w:rsid w:val="00726E25"/>
    <w:rsid w:val="00727A05"/>
    <w:rsid w:val="00730054"/>
    <w:rsid w:val="007308F4"/>
    <w:rsid w:val="00730DCD"/>
    <w:rsid w:val="00730F49"/>
    <w:rsid w:val="007310A8"/>
    <w:rsid w:val="007311BE"/>
    <w:rsid w:val="0073174B"/>
    <w:rsid w:val="007317A0"/>
    <w:rsid w:val="007317AC"/>
    <w:rsid w:val="007318C5"/>
    <w:rsid w:val="00731BA6"/>
    <w:rsid w:val="00731C82"/>
    <w:rsid w:val="00731D13"/>
    <w:rsid w:val="00732227"/>
    <w:rsid w:val="007322F9"/>
    <w:rsid w:val="007328A9"/>
    <w:rsid w:val="007329AF"/>
    <w:rsid w:val="00732E8B"/>
    <w:rsid w:val="007330F8"/>
    <w:rsid w:val="00733352"/>
    <w:rsid w:val="007333D7"/>
    <w:rsid w:val="007333DA"/>
    <w:rsid w:val="00733849"/>
    <w:rsid w:val="00733BD4"/>
    <w:rsid w:val="00733CBA"/>
    <w:rsid w:val="00733F21"/>
    <w:rsid w:val="00733FD3"/>
    <w:rsid w:val="00734416"/>
    <w:rsid w:val="007346B7"/>
    <w:rsid w:val="00734C25"/>
    <w:rsid w:val="00735274"/>
    <w:rsid w:val="007353CE"/>
    <w:rsid w:val="00735455"/>
    <w:rsid w:val="007355E2"/>
    <w:rsid w:val="00735803"/>
    <w:rsid w:val="00735A75"/>
    <w:rsid w:val="00735B8A"/>
    <w:rsid w:val="00735F1E"/>
    <w:rsid w:val="0073607A"/>
    <w:rsid w:val="00736096"/>
    <w:rsid w:val="007366C1"/>
    <w:rsid w:val="007369FC"/>
    <w:rsid w:val="00736A7F"/>
    <w:rsid w:val="00736A90"/>
    <w:rsid w:val="007371C4"/>
    <w:rsid w:val="007373A7"/>
    <w:rsid w:val="007373C7"/>
    <w:rsid w:val="007373E7"/>
    <w:rsid w:val="0073758A"/>
    <w:rsid w:val="00737947"/>
    <w:rsid w:val="00737C74"/>
    <w:rsid w:val="00737D15"/>
    <w:rsid w:val="00737ED0"/>
    <w:rsid w:val="007400E9"/>
    <w:rsid w:val="007405C0"/>
    <w:rsid w:val="007407F4"/>
    <w:rsid w:val="00740823"/>
    <w:rsid w:val="00740CD5"/>
    <w:rsid w:val="00740CDB"/>
    <w:rsid w:val="00740E1E"/>
    <w:rsid w:val="00740FEA"/>
    <w:rsid w:val="0074115E"/>
    <w:rsid w:val="007412BE"/>
    <w:rsid w:val="0074141B"/>
    <w:rsid w:val="00741474"/>
    <w:rsid w:val="0074194F"/>
    <w:rsid w:val="00741B6A"/>
    <w:rsid w:val="00741C07"/>
    <w:rsid w:val="00741C45"/>
    <w:rsid w:val="00741FC0"/>
    <w:rsid w:val="007420EE"/>
    <w:rsid w:val="00742255"/>
    <w:rsid w:val="00742889"/>
    <w:rsid w:val="00742920"/>
    <w:rsid w:val="00742DFD"/>
    <w:rsid w:val="007430B4"/>
    <w:rsid w:val="00743597"/>
    <w:rsid w:val="00743AF4"/>
    <w:rsid w:val="00743FAE"/>
    <w:rsid w:val="00744121"/>
    <w:rsid w:val="0074414A"/>
    <w:rsid w:val="00744652"/>
    <w:rsid w:val="00744B6C"/>
    <w:rsid w:val="007456B2"/>
    <w:rsid w:val="0074580E"/>
    <w:rsid w:val="007466C1"/>
    <w:rsid w:val="007466EA"/>
    <w:rsid w:val="007466FD"/>
    <w:rsid w:val="00746A52"/>
    <w:rsid w:val="00746B0D"/>
    <w:rsid w:val="00746DE6"/>
    <w:rsid w:val="00746E14"/>
    <w:rsid w:val="007474FE"/>
    <w:rsid w:val="00747898"/>
    <w:rsid w:val="0074795B"/>
    <w:rsid w:val="00747C08"/>
    <w:rsid w:val="00747CC8"/>
    <w:rsid w:val="00747DBB"/>
    <w:rsid w:val="0075019E"/>
    <w:rsid w:val="007508AE"/>
    <w:rsid w:val="007508D8"/>
    <w:rsid w:val="00750B07"/>
    <w:rsid w:val="00751123"/>
    <w:rsid w:val="00751480"/>
    <w:rsid w:val="00751718"/>
    <w:rsid w:val="007518C9"/>
    <w:rsid w:val="00751949"/>
    <w:rsid w:val="00751AEC"/>
    <w:rsid w:val="00751E04"/>
    <w:rsid w:val="007521EA"/>
    <w:rsid w:val="00752238"/>
    <w:rsid w:val="00752770"/>
    <w:rsid w:val="007527E9"/>
    <w:rsid w:val="00752819"/>
    <w:rsid w:val="00752D01"/>
    <w:rsid w:val="00752D03"/>
    <w:rsid w:val="0075302C"/>
    <w:rsid w:val="00753059"/>
    <w:rsid w:val="0075337C"/>
    <w:rsid w:val="007533AB"/>
    <w:rsid w:val="00753442"/>
    <w:rsid w:val="0075368E"/>
    <w:rsid w:val="00753C07"/>
    <w:rsid w:val="00753CD9"/>
    <w:rsid w:val="00753CE7"/>
    <w:rsid w:val="00753DAA"/>
    <w:rsid w:val="00753DBE"/>
    <w:rsid w:val="00754044"/>
    <w:rsid w:val="0075404F"/>
    <w:rsid w:val="00754092"/>
    <w:rsid w:val="0075489F"/>
    <w:rsid w:val="007548B5"/>
    <w:rsid w:val="00754944"/>
    <w:rsid w:val="00754B79"/>
    <w:rsid w:val="00754BCE"/>
    <w:rsid w:val="00754EB7"/>
    <w:rsid w:val="00755173"/>
    <w:rsid w:val="0075520E"/>
    <w:rsid w:val="00755403"/>
    <w:rsid w:val="00755646"/>
    <w:rsid w:val="00755EF2"/>
    <w:rsid w:val="00756005"/>
    <w:rsid w:val="00756585"/>
    <w:rsid w:val="00756968"/>
    <w:rsid w:val="007569AF"/>
    <w:rsid w:val="00756C28"/>
    <w:rsid w:val="00756C3A"/>
    <w:rsid w:val="00756D92"/>
    <w:rsid w:val="00756FE1"/>
    <w:rsid w:val="00757211"/>
    <w:rsid w:val="0075775D"/>
    <w:rsid w:val="00757922"/>
    <w:rsid w:val="00757C6D"/>
    <w:rsid w:val="00760066"/>
    <w:rsid w:val="007600C3"/>
    <w:rsid w:val="00760255"/>
    <w:rsid w:val="00760F4A"/>
    <w:rsid w:val="00760FEF"/>
    <w:rsid w:val="007615F6"/>
    <w:rsid w:val="00761954"/>
    <w:rsid w:val="0076198C"/>
    <w:rsid w:val="00761C97"/>
    <w:rsid w:val="00761FEF"/>
    <w:rsid w:val="007621AD"/>
    <w:rsid w:val="007621EF"/>
    <w:rsid w:val="00762563"/>
    <w:rsid w:val="0076285A"/>
    <w:rsid w:val="007628FC"/>
    <w:rsid w:val="00762A42"/>
    <w:rsid w:val="00762A65"/>
    <w:rsid w:val="00762AF2"/>
    <w:rsid w:val="00763006"/>
    <w:rsid w:val="00763038"/>
    <w:rsid w:val="0076363B"/>
    <w:rsid w:val="0076374D"/>
    <w:rsid w:val="007637CD"/>
    <w:rsid w:val="00763911"/>
    <w:rsid w:val="007639DF"/>
    <w:rsid w:val="00763B7D"/>
    <w:rsid w:val="00764050"/>
    <w:rsid w:val="0076417B"/>
    <w:rsid w:val="00764470"/>
    <w:rsid w:val="0076449F"/>
    <w:rsid w:val="00764752"/>
    <w:rsid w:val="00764A86"/>
    <w:rsid w:val="00764B78"/>
    <w:rsid w:val="00764C60"/>
    <w:rsid w:val="00764C7A"/>
    <w:rsid w:val="0076503B"/>
    <w:rsid w:val="00765095"/>
    <w:rsid w:val="00765125"/>
    <w:rsid w:val="007652D4"/>
    <w:rsid w:val="007653A2"/>
    <w:rsid w:val="007653ED"/>
    <w:rsid w:val="0076548A"/>
    <w:rsid w:val="0076558C"/>
    <w:rsid w:val="00765875"/>
    <w:rsid w:val="007658FA"/>
    <w:rsid w:val="00765B4C"/>
    <w:rsid w:val="00765CE0"/>
    <w:rsid w:val="00765D17"/>
    <w:rsid w:val="00765FBC"/>
    <w:rsid w:val="007660E3"/>
    <w:rsid w:val="00766194"/>
    <w:rsid w:val="00766565"/>
    <w:rsid w:val="007665F8"/>
    <w:rsid w:val="00766A4D"/>
    <w:rsid w:val="00766A74"/>
    <w:rsid w:val="00766CC1"/>
    <w:rsid w:val="00766E04"/>
    <w:rsid w:val="007670F2"/>
    <w:rsid w:val="00767430"/>
    <w:rsid w:val="007677AD"/>
    <w:rsid w:val="00767983"/>
    <w:rsid w:val="00767CA2"/>
    <w:rsid w:val="007703FD"/>
    <w:rsid w:val="00770B2F"/>
    <w:rsid w:val="00770D63"/>
    <w:rsid w:val="00770D74"/>
    <w:rsid w:val="00771024"/>
    <w:rsid w:val="00771087"/>
    <w:rsid w:val="007712A2"/>
    <w:rsid w:val="00771354"/>
    <w:rsid w:val="007713B5"/>
    <w:rsid w:val="00771649"/>
    <w:rsid w:val="0077197B"/>
    <w:rsid w:val="00771AEE"/>
    <w:rsid w:val="00771D53"/>
    <w:rsid w:val="00771E3D"/>
    <w:rsid w:val="007720B5"/>
    <w:rsid w:val="00772B71"/>
    <w:rsid w:val="00773326"/>
    <w:rsid w:val="00773380"/>
    <w:rsid w:val="007733C9"/>
    <w:rsid w:val="00773688"/>
    <w:rsid w:val="007736AF"/>
    <w:rsid w:val="00773889"/>
    <w:rsid w:val="00773959"/>
    <w:rsid w:val="00773977"/>
    <w:rsid w:val="00773BBD"/>
    <w:rsid w:val="00773CDF"/>
    <w:rsid w:val="00773DAF"/>
    <w:rsid w:val="00773ECF"/>
    <w:rsid w:val="00774199"/>
    <w:rsid w:val="0077447B"/>
    <w:rsid w:val="00774482"/>
    <w:rsid w:val="0077456B"/>
    <w:rsid w:val="00774708"/>
    <w:rsid w:val="00774883"/>
    <w:rsid w:val="00774ACC"/>
    <w:rsid w:val="00774DA5"/>
    <w:rsid w:val="00774E9C"/>
    <w:rsid w:val="0077526D"/>
    <w:rsid w:val="0077549B"/>
    <w:rsid w:val="00775634"/>
    <w:rsid w:val="007757D2"/>
    <w:rsid w:val="00775A36"/>
    <w:rsid w:val="00775D1A"/>
    <w:rsid w:val="0077624D"/>
    <w:rsid w:val="007765F2"/>
    <w:rsid w:val="00776933"/>
    <w:rsid w:val="007769C0"/>
    <w:rsid w:val="00776B44"/>
    <w:rsid w:val="007771A0"/>
    <w:rsid w:val="0077733A"/>
    <w:rsid w:val="00777430"/>
    <w:rsid w:val="0077754A"/>
    <w:rsid w:val="00777A81"/>
    <w:rsid w:val="00777ED7"/>
    <w:rsid w:val="00780017"/>
    <w:rsid w:val="00780065"/>
    <w:rsid w:val="00780373"/>
    <w:rsid w:val="00780485"/>
    <w:rsid w:val="0078062B"/>
    <w:rsid w:val="00780AD6"/>
    <w:rsid w:val="00781029"/>
    <w:rsid w:val="007811D9"/>
    <w:rsid w:val="007812F8"/>
    <w:rsid w:val="00781703"/>
    <w:rsid w:val="00781879"/>
    <w:rsid w:val="00781989"/>
    <w:rsid w:val="00781E0D"/>
    <w:rsid w:val="0078221F"/>
    <w:rsid w:val="0078228F"/>
    <w:rsid w:val="0078257C"/>
    <w:rsid w:val="007827FD"/>
    <w:rsid w:val="00782A9B"/>
    <w:rsid w:val="00782B39"/>
    <w:rsid w:val="00782F83"/>
    <w:rsid w:val="007830FB"/>
    <w:rsid w:val="007832FE"/>
    <w:rsid w:val="007833DA"/>
    <w:rsid w:val="007835A6"/>
    <w:rsid w:val="00783C16"/>
    <w:rsid w:val="00783C3D"/>
    <w:rsid w:val="00783C81"/>
    <w:rsid w:val="007844AC"/>
    <w:rsid w:val="0078464C"/>
    <w:rsid w:val="00784943"/>
    <w:rsid w:val="00784AA8"/>
    <w:rsid w:val="00784C14"/>
    <w:rsid w:val="00784D16"/>
    <w:rsid w:val="00784D37"/>
    <w:rsid w:val="00784EEE"/>
    <w:rsid w:val="00784FFC"/>
    <w:rsid w:val="0078530B"/>
    <w:rsid w:val="007854B6"/>
    <w:rsid w:val="00785840"/>
    <w:rsid w:val="00785AF2"/>
    <w:rsid w:val="00785CE7"/>
    <w:rsid w:val="00786A01"/>
    <w:rsid w:val="00786C86"/>
    <w:rsid w:val="00786D53"/>
    <w:rsid w:val="00786E58"/>
    <w:rsid w:val="00786F3F"/>
    <w:rsid w:val="0078718F"/>
    <w:rsid w:val="00787374"/>
    <w:rsid w:val="007874C0"/>
    <w:rsid w:val="00787557"/>
    <w:rsid w:val="0078772D"/>
    <w:rsid w:val="007877FF"/>
    <w:rsid w:val="00787F94"/>
    <w:rsid w:val="0079000F"/>
    <w:rsid w:val="007900AD"/>
    <w:rsid w:val="007902F2"/>
    <w:rsid w:val="0079030C"/>
    <w:rsid w:val="007904A2"/>
    <w:rsid w:val="00790586"/>
    <w:rsid w:val="007905FB"/>
    <w:rsid w:val="007907DE"/>
    <w:rsid w:val="007907EA"/>
    <w:rsid w:val="00790867"/>
    <w:rsid w:val="00790A93"/>
    <w:rsid w:val="00790B43"/>
    <w:rsid w:val="00790BAF"/>
    <w:rsid w:val="007912B2"/>
    <w:rsid w:val="00791904"/>
    <w:rsid w:val="00791B1F"/>
    <w:rsid w:val="00791BEF"/>
    <w:rsid w:val="0079222C"/>
    <w:rsid w:val="0079290E"/>
    <w:rsid w:val="00792914"/>
    <w:rsid w:val="00792A7E"/>
    <w:rsid w:val="00792F8D"/>
    <w:rsid w:val="00792F93"/>
    <w:rsid w:val="00792FAB"/>
    <w:rsid w:val="00793334"/>
    <w:rsid w:val="007936E5"/>
    <w:rsid w:val="00793822"/>
    <w:rsid w:val="0079395A"/>
    <w:rsid w:val="00793987"/>
    <w:rsid w:val="00793A7A"/>
    <w:rsid w:val="00793C5F"/>
    <w:rsid w:val="00793D3B"/>
    <w:rsid w:val="00793E5D"/>
    <w:rsid w:val="00793EE2"/>
    <w:rsid w:val="007940B1"/>
    <w:rsid w:val="007940C7"/>
    <w:rsid w:val="007943CD"/>
    <w:rsid w:val="007945D2"/>
    <w:rsid w:val="00794751"/>
    <w:rsid w:val="00794892"/>
    <w:rsid w:val="00794A4F"/>
    <w:rsid w:val="00794F52"/>
    <w:rsid w:val="00795048"/>
    <w:rsid w:val="007950BA"/>
    <w:rsid w:val="007951EB"/>
    <w:rsid w:val="007952A4"/>
    <w:rsid w:val="007952CC"/>
    <w:rsid w:val="0079562A"/>
    <w:rsid w:val="007957BD"/>
    <w:rsid w:val="00795AD4"/>
    <w:rsid w:val="00795BCB"/>
    <w:rsid w:val="00795F51"/>
    <w:rsid w:val="007960BD"/>
    <w:rsid w:val="0079610F"/>
    <w:rsid w:val="007961B3"/>
    <w:rsid w:val="00796398"/>
    <w:rsid w:val="0079645E"/>
    <w:rsid w:val="00796926"/>
    <w:rsid w:val="00796B9D"/>
    <w:rsid w:val="00796C34"/>
    <w:rsid w:val="00796D14"/>
    <w:rsid w:val="00796DE2"/>
    <w:rsid w:val="0079717D"/>
    <w:rsid w:val="0079774E"/>
    <w:rsid w:val="00797837"/>
    <w:rsid w:val="00797883"/>
    <w:rsid w:val="0079797F"/>
    <w:rsid w:val="00797DAA"/>
    <w:rsid w:val="00797FEA"/>
    <w:rsid w:val="007A0124"/>
    <w:rsid w:val="007A0439"/>
    <w:rsid w:val="007A05FE"/>
    <w:rsid w:val="007A0704"/>
    <w:rsid w:val="007A08E5"/>
    <w:rsid w:val="007A096E"/>
    <w:rsid w:val="007A0BC2"/>
    <w:rsid w:val="007A1714"/>
    <w:rsid w:val="007A17D5"/>
    <w:rsid w:val="007A1A0B"/>
    <w:rsid w:val="007A1CDE"/>
    <w:rsid w:val="007A221B"/>
    <w:rsid w:val="007A2239"/>
    <w:rsid w:val="007A22D2"/>
    <w:rsid w:val="007A249F"/>
    <w:rsid w:val="007A269B"/>
    <w:rsid w:val="007A280E"/>
    <w:rsid w:val="007A281B"/>
    <w:rsid w:val="007A2873"/>
    <w:rsid w:val="007A290B"/>
    <w:rsid w:val="007A2A95"/>
    <w:rsid w:val="007A2AE1"/>
    <w:rsid w:val="007A2C37"/>
    <w:rsid w:val="007A2D22"/>
    <w:rsid w:val="007A2DF5"/>
    <w:rsid w:val="007A310F"/>
    <w:rsid w:val="007A31D2"/>
    <w:rsid w:val="007A36E1"/>
    <w:rsid w:val="007A3724"/>
    <w:rsid w:val="007A38FB"/>
    <w:rsid w:val="007A3AF0"/>
    <w:rsid w:val="007A4028"/>
    <w:rsid w:val="007A41B4"/>
    <w:rsid w:val="007A4272"/>
    <w:rsid w:val="007A4522"/>
    <w:rsid w:val="007A4876"/>
    <w:rsid w:val="007A4BC7"/>
    <w:rsid w:val="007A4F7C"/>
    <w:rsid w:val="007A52C5"/>
    <w:rsid w:val="007A5341"/>
    <w:rsid w:val="007A55A4"/>
    <w:rsid w:val="007A590A"/>
    <w:rsid w:val="007A59C6"/>
    <w:rsid w:val="007A5D05"/>
    <w:rsid w:val="007A5EE5"/>
    <w:rsid w:val="007A605F"/>
    <w:rsid w:val="007A611F"/>
    <w:rsid w:val="007A6148"/>
    <w:rsid w:val="007A62AB"/>
    <w:rsid w:val="007A642B"/>
    <w:rsid w:val="007A6719"/>
    <w:rsid w:val="007A68B5"/>
    <w:rsid w:val="007A69A5"/>
    <w:rsid w:val="007A6A94"/>
    <w:rsid w:val="007A6AD8"/>
    <w:rsid w:val="007A6AD9"/>
    <w:rsid w:val="007A6CC0"/>
    <w:rsid w:val="007A6CCF"/>
    <w:rsid w:val="007A7267"/>
    <w:rsid w:val="007A79CD"/>
    <w:rsid w:val="007A79F7"/>
    <w:rsid w:val="007A7A73"/>
    <w:rsid w:val="007A7BAC"/>
    <w:rsid w:val="007A7C42"/>
    <w:rsid w:val="007A7C68"/>
    <w:rsid w:val="007A7CBF"/>
    <w:rsid w:val="007A7EB2"/>
    <w:rsid w:val="007A7FB4"/>
    <w:rsid w:val="007B0025"/>
    <w:rsid w:val="007B00ED"/>
    <w:rsid w:val="007B07D9"/>
    <w:rsid w:val="007B0810"/>
    <w:rsid w:val="007B0D52"/>
    <w:rsid w:val="007B0E6D"/>
    <w:rsid w:val="007B10D1"/>
    <w:rsid w:val="007B11B1"/>
    <w:rsid w:val="007B124A"/>
    <w:rsid w:val="007B1743"/>
    <w:rsid w:val="007B1B33"/>
    <w:rsid w:val="007B1B5D"/>
    <w:rsid w:val="007B1FC7"/>
    <w:rsid w:val="007B2013"/>
    <w:rsid w:val="007B20DD"/>
    <w:rsid w:val="007B21E1"/>
    <w:rsid w:val="007B232D"/>
    <w:rsid w:val="007B24E1"/>
    <w:rsid w:val="007B29EC"/>
    <w:rsid w:val="007B2A36"/>
    <w:rsid w:val="007B2C79"/>
    <w:rsid w:val="007B301D"/>
    <w:rsid w:val="007B33C1"/>
    <w:rsid w:val="007B33D5"/>
    <w:rsid w:val="007B3598"/>
    <w:rsid w:val="007B3D44"/>
    <w:rsid w:val="007B3E56"/>
    <w:rsid w:val="007B3FDA"/>
    <w:rsid w:val="007B40D2"/>
    <w:rsid w:val="007B4192"/>
    <w:rsid w:val="007B42D8"/>
    <w:rsid w:val="007B4DF1"/>
    <w:rsid w:val="007B52DD"/>
    <w:rsid w:val="007B58CC"/>
    <w:rsid w:val="007B595E"/>
    <w:rsid w:val="007B5E6E"/>
    <w:rsid w:val="007B61D6"/>
    <w:rsid w:val="007B63E5"/>
    <w:rsid w:val="007B6A60"/>
    <w:rsid w:val="007B700B"/>
    <w:rsid w:val="007B75B6"/>
    <w:rsid w:val="007B7B4C"/>
    <w:rsid w:val="007B7BDA"/>
    <w:rsid w:val="007B7DB8"/>
    <w:rsid w:val="007B7EF3"/>
    <w:rsid w:val="007B7FB5"/>
    <w:rsid w:val="007C02D3"/>
    <w:rsid w:val="007C045C"/>
    <w:rsid w:val="007C061B"/>
    <w:rsid w:val="007C07D4"/>
    <w:rsid w:val="007C0950"/>
    <w:rsid w:val="007C0962"/>
    <w:rsid w:val="007C0A29"/>
    <w:rsid w:val="007C0C8C"/>
    <w:rsid w:val="007C14EC"/>
    <w:rsid w:val="007C16AA"/>
    <w:rsid w:val="007C1ACE"/>
    <w:rsid w:val="007C20B0"/>
    <w:rsid w:val="007C2295"/>
    <w:rsid w:val="007C27C7"/>
    <w:rsid w:val="007C27FB"/>
    <w:rsid w:val="007C290F"/>
    <w:rsid w:val="007C2C96"/>
    <w:rsid w:val="007C2DB1"/>
    <w:rsid w:val="007C2F7B"/>
    <w:rsid w:val="007C3280"/>
    <w:rsid w:val="007C329B"/>
    <w:rsid w:val="007C3DC7"/>
    <w:rsid w:val="007C3DF9"/>
    <w:rsid w:val="007C3EF2"/>
    <w:rsid w:val="007C4103"/>
    <w:rsid w:val="007C4300"/>
    <w:rsid w:val="007C450C"/>
    <w:rsid w:val="007C451F"/>
    <w:rsid w:val="007C47DB"/>
    <w:rsid w:val="007C4C9F"/>
    <w:rsid w:val="007C4D4B"/>
    <w:rsid w:val="007C50C3"/>
    <w:rsid w:val="007C5292"/>
    <w:rsid w:val="007C55CB"/>
    <w:rsid w:val="007C59BD"/>
    <w:rsid w:val="007C5BEB"/>
    <w:rsid w:val="007C5EB4"/>
    <w:rsid w:val="007C5F7F"/>
    <w:rsid w:val="007C5FDF"/>
    <w:rsid w:val="007C618D"/>
    <w:rsid w:val="007C6940"/>
    <w:rsid w:val="007C6998"/>
    <w:rsid w:val="007C6B42"/>
    <w:rsid w:val="007C708F"/>
    <w:rsid w:val="007C72C0"/>
    <w:rsid w:val="007C732B"/>
    <w:rsid w:val="007C7BF7"/>
    <w:rsid w:val="007C7E47"/>
    <w:rsid w:val="007D00EE"/>
    <w:rsid w:val="007D0428"/>
    <w:rsid w:val="007D0591"/>
    <w:rsid w:val="007D05C3"/>
    <w:rsid w:val="007D0612"/>
    <w:rsid w:val="007D0970"/>
    <w:rsid w:val="007D0999"/>
    <w:rsid w:val="007D0B70"/>
    <w:rsid w:val="007D0C39"/>
    <w:rsid w:val="007D1193"/>
    <w:rsid w:val="007D1196"/>
    <w:rsid w:val="007D1258"/>
    <w:rsid w:val="007D1511"/>
    <w:rsid w:val="007D1554"/>
    <w:rsid w:val="007D17A5"/>
    <w:rsid w:val="007D1847"/>
    <w:rsid w:val="007D1AC9"/>
    <w:rsid w:val="007D1B12"/>
    <w:rsid w:val="007D1B7F"/>
    <w:rsid w:val="007D1B9C"/>
    <w:rsid w:val="007D206A"/>
    <w:rsid w:val="007D20D6"/>
    <w:rsid w:val="007D21BF"/>
    <w:rsid w:val="007D21D7"/>
    <w:rsid w:val="007D234B"/>
    <w:rsid w:val="007D25C2"/>
    <w:rsid w:val="007D274E"/>
    <w:rsid w:val="007D2BF6"/>
    <w:rsid w:val="007D2C0D"/>
    <w:rsid w:val="007D2D55"/>
    <w:rsid w:val="007D2EDD"/>
    <w:rsid w:val="007D2F90"/>
    <w:rsid w:val="007D304B"/>
    <w:rsid w:val="007D3361"/>
    <w:rsid w:val="007D3612"/>
    <w:rsid w:val="007D38D2"/>
    <w:rsid w:val="007D3B46"/>
    <w:rsid w:val="007D3C6C"/>
    <w:rsid w:val="007D3DFE"/>
    <w:rsid w:val="007D416B"/>
    <w:rsid w:val="007D441A"/>
    <w:rsid w:val="007D443B"/>
    <w:rsid w:val="007D44E3"/>
    <w:rsid w:val="007D45B2"/>
    <w:rsid w:val="007D49A3"/>
    <w:rsid w:val="007D4D32"/>
    <w:rsid w:val="007D4E93"/>
    <w:rsid w:val="007D5017"/>
    <w:rsid w:val="007D5029"/>
    <w:rsid w:val="007D5121"/>
    <w:rsid w:val="007D5136"/>
    <w:rsid w:val="007D5331"/>
    <w:rsid w:val="007D53D4"/>
    <w:rsid w:val="007D54AC"/>
    <w:rsid w:val="007D5949"/>
    <w:rsid w:val="007D5B41"/>
    <w:rsid w:val="007D5C5B"/>
    <w:rsid w:val="007D6239"/>
    <w:rsid w:val="007D6360"/>
    <w:rsid w:val="007D6387"/>
    <w:rsid w:val="007D63AB"/>
    <w:rsid w:val="007D6550"/>
    <w:rsid w:val="007D661C"/>
    <w:rsid w:val="007D671F"/>
    <w:rsid w:val="007D6BB3"/>
    <w:rsid w:val="007D6DDA"/>
    <w:rsid w:val="007D707C"/>
    <w:rsid w:val="007D71CB"/>
    <w:rsid w:val="007D7510"/>
    <w:rsid w:val="007D76AD"/>
    <w:rsid w:val="007D7A21"/>
    <w:rsid w:val="007D7BDB"/>
    <w:rsid w:val="007D7CB4"/>
    <w:rsid w:val="007D7E35"/>
    <w:rsid w:val="007E0051"/>
    <w:rsid w:val="007E00EA"/>
    <w:rsid w:val="007E081C"/>
    <w:rsid w:val="007E0870"/>
    <w:rsid w:val="007E0C4E"/>
    <w:rsid w:val="007E0F03"/>
    <w:rsid w:val="007E0F58"/>
    <w:rsid w:val="007E0F6C"/>
    <w:rsid w:val="007E0FA3"/>
    <w:rsid w:val="007E14A6"/>
    <w:rsid w:val="007E14A8"/>
    <w:rsid w:val="007E160E"/>
    <w:rsid w:val="007E1A0F"/>
    <w:rsid w:val="007E1A5E"/>
    <w:rsid w:val="007E1A89"/>
    <w:rsid w:val="007E1DCA"/>
    <w:rsid w:val="007E1E2C"/>
    <w:rsid w:val="007E2060"/>
    <w:rsid w:val="007E2250"/>
    <w:rsid w:val="007E2564"/>
    <w:rsid w:val="007E264E"/>
    <w:rsid w:val="007E284F"/>
    <w:rsid w:val="007E291F"/>
    <w:rsid w:val="007E2A41"/>
    <w:rsid w:val="007E2B3E"/>
    <w:rsid w:val="007E2BB4"/>
    <w:rsid w:val="007E30F4"/>
    <w:rsid w:val="007E3322"/>
    <w:rsid w:val="007E34C3"/>
    <w:rsid w:val="007E3921"/>
    <w:rsid w:val="007E3C32"/>
    <w:rsid w:val="007E3CE7"/>
    <w:rsid w:val="007E4069"/>
    <w:rsid w:val="007E41D7"/>
    <w:rsid w:val="007E4441"/>
    <w:rsid w:val="007E44BE"/>
    <w:rsid w:val="007E4749"/>
    <w:rsid w:val="007E47DC"/>
    <w:rsid w:val="007E48BF"/>
    <w:rsid w:val="007E49F7"/>
    <w:rsid w:val="007E4CE8"/>
    <w:rsid w:val="007E4CEA"/>
    <w:rsid w:val="007E4E8D"/>
    <w:rsid w:val="007E4F86"/>
    <w:rsid w:val="007E5056"/>
    <w:rsid w:val="007E515A"/>
    <w:rsid w:val="007E51AE"/>
    <w:rsid w:val="007E5254"/>
    <w:rsid w:val="007E53C6"/>
    <w:rsid w:val="007E5694"/>
    <w:rsid w:val="007E574A"/>
    <w:rsid w:val="007E5828"/>
    <w:rsid w:val="007E587B"/>
    <w:rsid w:val="007E5A35"/>
    <w:rsid w:val="007E5C61"/>
    <w:rsid w:val="007E5E04"/>
    <w:rsid w:val="007E5EA8"/>
    <w:rsid w:val="007E5F83"/>
    <w:rsid w:val="007E6166"/>
    <w:rsid w:val="007E6178"/>
    <w:rsid w:val="007E67FE"/>
    <w:rsid w:val="007E6823"/>
    <w:rsid w:val="007E690E"/>
    <w:rsid w:val="007E6B8D"/>
    <w:rsid w:val="007E6D68"/>
    <w:rsid w:val="007E7382"/>
    <w:rsid w:val="007E7426"/>
    <w:rsid w:val="007E74D2"/>
    <w:rsid w:val="007E7542"/>
    <w:rsid w:val="007E7629"/>
    <w:rsid w:val="007E7D67"/>
    <w:rsid w:val="007E7D8D"/>
    <w:rsid w:val="007E7E33"/>
    <w:rsid w:val="007F0629"/>
    <w:rsid w:val="007F0644"/>
    <w:rsid w:val="007F07E5"/>
    <w:rsid w:val="007F083B"/>
    <w:rsid w:val="007F0E23"/>
    <w:rsid w:val="007F0FEB"/>
    <w:rsid w:val="007F14CA"/>
    <w:rsid w:val="007F1540"/>
    <w:rsid w:val="007F1714"/>
    <w:rsid w:val="007F1739"/>
    <w:rsid w:val="007F1BA1"/>
    <w:rsid w:val="007F1BE3"/>
    <w:rsid w:val="007F1E2C"/>
    <w:rsid w:val="007F1F35"/>
    <w:rsid w:val="007F20B8"/>
    <w:rsid w:val="007F23FA"/>
    <w:rsid w:val="007F29FB"/>
    <w:rsid w:val="007F30AE"/>
    <w:rsid w:val="007F3250"/>
    <w:rsid w:val="007F3C71"/>
    <w:rsid w:val="007F3D8A"/>
    <w:rsid w:val="007F3F18"/>
    <w:rsid w:val="007F3FF8"/>
    <w:rsid w:val="007F4075"/>
    <w:rsid w:val="007F41BD"/>
    <w:rsid w:val="007F44E8"/>
    <w:rsid w:val="007F46B8"/>
    <w:rsid w:val="007F485D"/>
    <w:rsid w:val="007F4A7F"/>
    <w:rsid w:val="007F5122"/>
    <w:rsid w:val="007F56C7"/>
    <w:rsid w:val="007F56E1"/>
    <w:rsid w:val="007F5931"/>
    <w:rsid w:val="007F5D6E"/>
    <w:rsid w:val="007F5EEA"/>
    <w:rsid w:val="007F5F8E"/>
    <w:rsid w:val="007F60AA"/>
    <w:rsid w:val="007F6251"/>
    <w:rsid w:val="007F639B"/>
    <w:rsid w:val="007F697C"/>
    <w:rsid w:val="007F6A11"/>
    <w:rsid w:val="007F714F"/>
    <w:rsid w:val="007F758D"/>
    <w:rsid w:val="007F78D2"/>
    <w:rsid w:val="007F79D9"/>
    <w:rsid w:val="007F7AD7"/>
    <w:rsid w:val="007F7B3F"/>
    <w:rsid w:val="007F7B62"/>
    <w:rsid w:val="0080002A"/>
    <w:rsid w:val="0080023B"/>
    <w:rsid w:val="008003BA"/>
    <w:rsid w:val="008007F4"/>
    <w:rsid w:val="008008C6"/>
    <w:rsid w:val="0080091B"/>
    <w:rsid w:val="00800D18"/>
    <w:rsid w:val="00800EEA"/>
    <w:rsid w:val="0080107C"/>
    <w:rsid w:val="00801714"/>
    <w:rsid w:val="00801781"/>
    <w:rsid w:val="008017A1"/>
    <w:rsid w:val="00801827"/>
    <w:rsid w:val="008018DF"/>
    <w:rsid w:val="00801E19"/>
    <w:rsid w:val="00801E29"/>
    <w:rsid w:val="00801FBB"/>
    <w:rsid w:val="00802328"/>
    <w:rsid w:val="0080241B"/>
    <w:rsid w:val="008024A4"/>
    <w:rsid w:val="00802C56"/>
    <w:rsid w:val="00802D43"/>
    <w:rsid w:val="00802F1B"/>
    <w:rsid w:val="00803490"/>
    <w:rsid w:val="008034D2"/>
    <w:rsid w:val="00803539"/>
    <w:rsid w:val="00803704"/>
    <w:rsid w:val="00803837"/>
    <w:rsid w:val="00803BF1"/>
    <w:rsid w:val="00803FAA"/>
    <w:rsid w:val="008041A0"/>
    <w:rsid w:val="00804634"/>
    <w:rsid w:val="008047AA"/>
    <w:rsid w:val="00804AE4"/>
    <w:rsid w:val="00805371"/>
    <w:rsid w:val="00805B01"/>
    <w:rsid w:val="00805F05"/>
    <w:rsid w:val="00805F41"/>
    <w:rsid w:val="0080605A"/>
    <w:rsid w:val="008062B0"/>
    <w:rsid w:val="008065B5"/>
    <w:rsid w:val="00806D44"/>
    <w:rsid w:val="00807227"/>
    <w:rsid w:val="008075B3"/>
    <w:rsid w:val="0080798A"/>
    <w:rsid w:val="00807A12"/>
    <w:rsid w:val="00807AC4"/>
    <w:rsid w:val="00807D6A"/>
    <w:rsid w:val="00807E52"/>
    <w:rsid w:val="0081039D"/>
    <w:rsid w:val="008103D3"/>
    <w:rsid w:val="00810804"/>
    <w:rsid w:val="00810856"/>
    <w:rsid w:val="00810C59"/>
    <w:rsid w:val="00810CE6"/>
    <w:rsid w:val="00811075"/>
    <w:rsid w:val="00811086"/>
    <w:rsid w:val="008110A0"/>
    <w:rsid w:val="008116CD"/>
    <w:rsid w:val="00811C14"/>
    <w:rsid w:val="00811D35"/>
    <w:rsid w:val="00811F37"/>
    <w:rsid w:val="008122E7"/>
    <w:rsid w:val="0081257F"/>
    <w:rsid w:val="00812AF4"/>
    <w:rsid w:val="00812BBA"/>
    <w:rsid w:val="00812EC0"/>
    <w:rsid w:val="00813141"/>
    <w:rsid w:val="00813162"/>
    <w:rsid w:val="00813167"/>
    <w:rsid w:val="008131A8"/>
    <w:rsid w:val="008133B8"/>
    <w:rsid w:val="008136D7"/>
    <w:rsid w:val="00813902"/>
    <w:rsid w:val="0081394E"/>
    <w:rsid w:val="008139A8"/>
    <w:rsid w:val="00814242"/>
    <w:rsid w:val="00814334"/>
    <w:rsid w:val="0081442B"/>
    <w:rsid w:val="008148B0"/>
    <w:rsid w:val="00814973"/>
    <w:rsid w:val="00814990"/>
    <w:rsid w:val="00814ACB"/>
    <w:rsid w:val="00814B7A"/>
    <w:rsid w:val="00814F98"/>
    <w:rsid w:val="008151B2"/>
    <w:rsid w:val="008152CC"/>
    <w:rsid w:val="00815617"/>
    <w:rsid w:val="00815680"/>
    <w:rsid w:val="00815C89"/>
    <w:rsid w:val="00815D6F"/>
    <w:rsid w:val="00815D92"/>
    <w:rsid w:val="00816228"/>
    <w:rsid w:val="0081626D"/>
    <w:rsid w:val="008168F3"/>
    <w:rsid w:val="00816C49"/>
    <w:rsid w:val="00816CB5"/>
    <w:rsid w:val="00816D91"/>
    <w:rsid w:val="00816E9A"/>
    <w:rsid w:val="008171C2"/>
    <w:rsid w:val="008171FC"/>
    <w:rsid w:val="0081739A"/>
    <w:rsid w:val="008174EF"/>
    <w:rsid w:val="008175A1"/>
    <w:rsid w:val="008178A5"/>
    <w:rsid w:val="00817929"/>
    <w:rsid w:val="00817A09"/>
    <w:rsid w:val="00817CD6"/>
    <w:rsid w:val="00817D03"/>
    <w:rsid w:val="00820071"/>
    <w:rsid w:val="0082008C"/>
    <w:rsid w:val="008202BE"/>
    <w:rsid w:val="0082032A"/>
    <w:rsid w:val="00820398"/>
    <w:rsid w:val="008203B2"/>
    <w:rsid w:val="008204A9"/>
    <w:rsid w:val="0082050B"/>
    <w:rsid w:val="00820538"/>
    <w:rsid w:val="00820628"/>
    <w:rsid w:val="00820FC7"/>
    <w:rsid w:val="00821096"/>
    <w:rsid w:val="008210BE"/>
    <w:rsid w:val="0082171E"/>
    <w:rsid w:val="0082174A"/>
    <w:rsid w:val="008218E9"/>
    <w:rsid w:val="008219E2"/>
    <w:rsid w:val="00821ABA"/>
    <w:rsid w:val="008222A8"/>
    <w:rsid w:val="008222F9"/>
    <w:rsid w:val="008224B2"/>
    <w:rsid w:val="0082261E"/>
    <w:rsid w:val="0082268C"/>
    <w:rsid w:val="00822723"/>
    <w:rsid w:val="008227C0"/>
    <w:rsid w:val="0082293E"/>
    <w:rsid w:val="00822F27"/>
    <w:rsid w:val="00822F88"/>
    <w:rsid w:val="008230B0"/>
    <w:rsid w:val="008235C0"/>
    <w:rsid w:val="008235C9"/>
    <w:rsid w:val="00823CA5"/>
    <w:rsid w:val="00823D03"/>
    <w:rsid w:val="00823E9D"/>
    <w:rsid w:val="00824034"/>
    <w:rsid w:val="008241FA"/>
    <w:rsid w:val="00824273"/>
    <w:rsid w:val="0082465B"/>
    <w:rsid w:val="00824676"/>
    <w:rsid w:val="008251AA"/>
    <w:rsid w:val="008251F0"/>
    <w:rsid w:val="00825591"/>
    <w:rsid w:val="0082585E"/>
    <w:rsid w:val="00825CFD"/>
    <w:rsid w:val="00825DF8"/>
    <w:rsid w:val="00826113"/>
    <w:rsid w:val="00826214"/>
    <w:rsid w:val="00826410"/>
    <w:rsid w:val="008265D7"/>
    <w:rsid w:val="008266BD"/>
    <w:rsid w:val="008266F8"/>
    <w:rsid w:val="00826AC5"/>
    <w:rsid w:val="00826E42"/>
    <w:rsid w:val="0082700F"/>
    <w:rsid w:val="008271DC"/>
    <w:rsid w:val="0082745B"/>
    <w:rsid w:val="00827863"/>
    <w:rsid w:val="0082788A"/>
    <w:rsid w:val="008278CB"/>
    <w:rsid w:val="00827A34"/>
    <w:rsid w:val="00827B76"/>
    <w:rsid w:val="00827F83"/>
    <w:rsid w:val="0083012A"/>
    <w:rsid w:val="008305CA"/>
    <w:rsid w:val="008306EB"/>
    <w:rsid w:val="008307CF"/>
    <w:rsid w:val="0083092F"/>
    <w:rsid w:val="00830CD9"/>
    <w:rsid w:val="00830D28"/>
    <w:rsid w:val="00830D49"/>
    <w:rsid w:val="00830D72"/>
    <w:rsid w:val="00830ED0"/>
    <w:rsid w:val="00830FBE"/>
    <w:rsid w:val="00830FEA"/>
    <w:rsid w:val="008316CB"/>
    <w:rsid w:val="008319F6"/>
    <w:rsid w:val="00831E1D"/>
    <w:rsid w:val="00831FA4"/>
    <w:rsid w:val="00831FE3"/>
    <w:rsid w:val="0083214D"/>
    <w:rsid w:val="0083223D"/>
    <w:rsid w:val="00832348"/>
    <w:rsid w:val="008323E3"/>
    <w:rsid w:val="00832799"/>
    <w:rsid w:val="008329B3"/>
    <w:rsid w:val="00832CA1"/>
    <w:rsid w:val="00832CFC"/>
    <w:rsid w:val="0083302A"/>
    <w:rsid w:val="0083303E"/>
    <w:rsid w:val="008330CC"/>
    <w:rsid w:val="0083320D"/>
    <w:rsid w:val="0083326D"/>
    <w:rsid w:val="008334A2"/>
    <w:rsid w:val="008334AE"/>
    <w:rsid w:val="008338EC"/>
    <w:rsid w:val="00833A09"/>
    <w:rsid w:val="00833BDA"/>
    <w:rsid w:val="00833BE4"/>
    <w:rsid w:val="00833CD5"/>
    <w:rsid w:val="00833DF8"/>
    <w:rsid w:val="00834121"/>
    <w:rsid w:val="008342E5"/>
    <w:rsid w:val="008343F4"/>
    <w:rsid w:val="00834699"/>
    <w:rsid w:val="008348F8"/>
    <w:rsid w:val="00834EBD"/>
    <w:rsid w:val="0083521A"/>
    <w:rsid w:val="00835796"/>
    <w:rsid w:val="008359F5"/>
    <w:rsid w:val="00835DFF"/>
    <w:rsid w:val="00835E08"/>
    <w:rsid w:val="00835FF6"/>
    <w:rsid w:val="008360B8"/>
    <w:rsid w:val="008360C0"/>
    <w:rsid w:val="00836231"/>
    <w:rsid w:val="008366A4"/>
    <w:rsid w:val="008369D0"/>
    <w:rsid w:val="00836AF2"/>
    <w:rsid w:val="00836B0B"/>
    <w:rsid w:val="008370BE"/>
    <w:rsid w:val="008370F7"/>
    <w:rsid w:val="008372AA"/>
    <w:rsid w:val="008374DD"/>
    <w:rsid w:val="008375F0"/>
    <w:rsid w:val="0083766C"/>
    <w:rsid w:val="00837960"/>
    <w:rsid w:val="00837ABB"/>
    <w:rsid w:val="00837AEC"/>
    <w:rsid w:val="00837C72"/>
    <w:rsid w:val="00837F2B"/>
    <w:rsid w:val="00840075"/>
    <w:rsid w:val="008403B7"/>
    <w:rsid w:val="00840534"/>
    <w:rsid w:val="00840683"/>
    <w:rsid w:val="00840C78"/>
    <w:rsid w:val="00840ED7"/>
    <w:rsid w:val="008414B5"/>
    <w:rsid w:val="00841701"/>
    <w:rsid w:val="00841A29"/>
    <w:rsid w:val="00841A72"/>
    <w:rsid w:val="00841AFC"/>
    <w:rsid w:val="00841DC2"/>
    <w:rsid w:val="00841F61"/>
    <w:rsid w:val="00842168"/>
    <w:rsid w:val="008423D5"/>
    <w:rsid w:val="0084242F"/>
    <w:rsid w:val="00842652"/>
    <w:rsid w:val="008426C0"/>
    <w:rsid w:val="00842C9F"/>
    <w:rsid w:val="00842F94"/>
    <w:rsid w:val="00843043"/>
    <w:rsid w:val="00843227"/>
    <w:rsid w:val="0084357A"/>
    <w:rsid w:val="00843623"/>
    <w:rsid w:val="00843D4C"/>
    <w:rsid w:val="00843F85"/>
    <w:rsid w:val="008440F8"/>
    <w:rsid w:val="00844122"/>
    <w:rsid w:val="00844522"/>
    <w:rsid w:val="00844D53"/>
    <w:rsid w:val="00844DF2"/>
    <w:rsid w:val="00844E76"/>
    <w:rsid w:val="00844FAF"/>
    <w:rsid w:val="0084531E"/>
    <w:rsid w:val="00845666"/>
    <w:rsid w:val="00845744"/>
    <w:rsid w:val="00845ADB"/>
    <w:rsid w:val="00845D44"/>
    <w:rsid w:val="00845F2E"/>
    <w:rsid w:val="00845F3F"/>
    <w:rsid w:val="0084607A"/>
    <w:rsid w:val="008460D9"/>
    <w:rsid w:val="0084612C"/>
    <w:rsid w:val="008461FE"/>
    <w:rsid w:val="0084681C"/>
    <w:rsid w:val="00846D2A"/>
    <w:rsid w:val="00846EB3"/>
    <w:rsid w:val="0084719D"/>
    <w:rsid w:val="008476DD"/>
    <w:rsid w:val="00847C79"/>
    <w:rsid w:val="00850105"/>
    <w:rsid w:val="0085023E"/>
    <w:rsid w:val="0085024F"/>
    <w:rsid w:val="008504DA"/>
    <w:rsid w:val="0085056E"/>
    <w:rsid w:val="008505F6"/>
    <w:rsid w:val="00850C43"/>
    <w:rsid w:val="008512D1"/>
    <w:rsid w:val="008512EF"/>
    <w:rsid w:val="00851778"/>
    <w:rsid w:val="00851887"/>
    <w:rsid w:val="00851AAD"/>
    <w:rsid w:val="00851C34"/>
    <w:rsid w:val="00851D6D"/>
    <w:rsid w:val="0085200C"/>
    <w:rsid w:val="008523C8"/>
    <w:rsid w:val="00852467"/>
    <w:rsid w:val="00852870"/>
    <w:rsid w:val="008529F8"/>
    <w:rsid w:val="00852A5D"/>
    <w:rsid w:val="00852B8B"/>
    <w:rsid w:val="00852E26"/>
    <w:rsid w:val="00852F64"/>
    <w:rsid w:val="00852F78"/>
    <w:rsid w:val="00853039"/>
    <w:rsid w:val="00853163"/>
    <w:rsid w:val="00853300"/>
    <w:rsid w:val="00853328"/>
    <w:rsid w:val="00853389"/>
    <w:rsid w:val="00853430"/>
    <w:rsid w:val="0085360B"/>
    <w:rsid w:val="0085374F"/>
    <w:rsid w:val="0085386C"/>
    <w:rsid w:val="00853927"/>
    <w:rsid w:val="00853998"/>
    <w:rsid w:val="00853B27"/>
    <w:rsid w:val="00853CFE"/>
    <w:rsid w:val="00854081"/>
    <w:rsid w:val="00854331"/>
    <w:rsid w:val="008547F6"/>
    <w:rsid w:val="00854923"/>
    <w:rsid w:val="00854A7D"/>
    <w:rsid w:val="00854AEE"/>
    <w:rsid w:val="00854AF1"/>
    <w:rsid w:val="00854C01"/>
    <w:rsid w:val="008551A6"/>
    <w:rsid w:val="00855B20"/>
    <w:rsid w:val="00855E19"/>
    <w:rsid w:val="00855F64"/>
    <w:rsid w:val="00856140"/>
    <w:rsid w:val="00856516"/>
    <w:rsid w:val="008565EA"/>
    <w:rsid w:val="008568BD"/>
    <w:rsid w:val="00856BA2"/>
    <w:rsid w:val="00856BA5"/>
    <w:rsid w:val="00856CE1"/>
    <w:rsid w:val="00856CE7"/>
    <w:rsid w:val="00857149"/>
    <w:rsid w:val="00857443"/>
    <w:rsid w:val="008575C7"/>
    <w:rsid w:val="008575F7"/>
    <w:rsid w:val="0085785E"/>
    <w:rsid w:val="00857ACB"/>
    <w:rsid w:val="00857B2B"/>
    <w:rsid w:val="00857C55"/>
    <w:rsid w:val="00857D08"/>
    <w:rsid w:val="00857E1E"/>
    <w:rsid w:val="008600CB"/>
    <w:rsid w:val="008605A9"/>
    <w:rsid w:val="00860886"/>
    <w:rsid w:val="00860915"/>
    <w:rsid w:val="00860C8F"/>
    <w:rsid w:val="00860DA5"/>
    <w:rsid w:val="0086129F"/>
    <w:rsid w:val="008613F1"/>
    <w:rsid w:val="00861736"/>
    <w:rsid w:val="00861807"/>
    <w:rsid w:val="00861F10"/>
    <w:rsid w:val="00862004"/>
    <w:rsid w:val="00862174"/>
    <w:rsid w:val="00862280"/>
    <w:rsid w:val="008623EF"/>
    <w:rsid w:val="00862490"/>
    <w:rsid w:val="0086254A"/>
    <w:rsid w:val="008627A4"/>
    <w:rsid w:val="0086282E"/>
    <w:rsid w:val="00862833"/>
    <w:rsid w:val="00862CE9"/>
    <w:rsid w:val="00862F48"/>
    <w:rsid w:val="00862F9A"/>
    <w:rsid w:val="008632D7"/>
    <w:rsid w:val="00863985"/>
    <w:rsid w:val="00863A9E"/>
    <w:rsid w:val="00863BA0"/>
    <w:rsid w:val="00863BDD"/>
    <w:rsid w:val="00863CE9"/>
    <w:rsid w:val="00863D9C"/>
    <w:rsid w:val="00863E2D"/>
    <w:rsid w:val="00864391"/>
    <w:rsid w:val="008646E2"/>
    <w:rsid w:val="00864918"/>
    <w:rsid w:val="00864936"/>
    <w:rsid w:val="00864DA4"/>
    <w:rsid w:val="0086517D"/>
    <w:rsid w:val="0086519F"/>
    <w:rsid w:val="008652F1"/>
    <w:rsid w:val="008654D2"/>
    <w:rsid w:val="008655B8"/>
    <w:rsid w:val="00865648"/>
    <w:rsid w:val="00865685"/>
    <w:rsid w:val="00865838"/>
    <w:rsid w:val="00865A6A"/>
    <w:rsid w:val="00865CBB"/>
    <w:rsid w:val="00865CED"/>
    <w:rsid w:val="00866362"/>
    <w:rsid w:val="00866375"/>
    <w:rsid w:val="0086673F"/>
    <w:rsid w:val="00866B2A"/>
    <w:rsid w:val="00866D5B"/>
    <w:rsid w:val="00866E2F"/>
    <w:rsid w:val="0086726A"/>
    <w:rsid w:val="00867642"/>
    <w:rsid w:val="008677E4"/>
    <w:rsid w:val="008678BE"/>
    <w:rsid w:val="00867B4D"/>
    <w:rsid w:val="00867BAF"/>
    <w:rsid w:val="00867EF4"/>
    <w:rsid w:val="00867F7E"/>
    <w:rsid w:val="00867FF6"/>
    <w:rsid w:val="00870203"/>
    <w:rsid w:val="00870402"/>
    <w:rsid w:val="00870AEA"/>
    <w:rsid w:val="00870D1C"/>
    <w:rsid w:val="00870D52"/>
    <w:rsid w:val="00870DCC"/>
    <w:rsid w:val="00870F19"/>
    <w:rsid w:val="00871071"/>
    <w:rsid w:val="00871544"/>
    <w:rsid w:val="00871577"/>
    <w:rsid w:val="0087158E"/>
    <w:rsid w:val="00871ADC"/>
    <w:rsid w:val="00871AE4"/>
    <w:rsid w:val="00871BF1"/>
    <w:rsid w:val="00871CB7"/>
    <w:rsid w:val="00871E8A"/>
    <w:rsid w:val="00872208"/>
    <w:rsid w:val="00872418"/>
    <w:rsid w:val="00872575"/>
    <w:rsid w:val="008726AF"/>
    <w:rsid w:val="008726B1"/>
    <w:rsid w:val="00872D07"/>
    <w:rsid w:val="00872DBF"/>
    <w:rsid w:val="00872F39"/>
    <w:rsid w:val="00872FE0"/>
    <w:rsid w:val="008733FA"/>
    <w:rsid w:val="0087361F"/>
    <w:rsid w:val="00873664"/>
    <w:rsid w:val="008737F9"/>
    <w:rsid w:val="00873CCB"/>
    <w:rsid w:val="00873D59"/>
    <w:rsid w:val="00873E4B"/>
    <w:rsid w:val="0087409C"/>
    <w:rsid w:val="008740A8"/>
    <w:rsid w:val="00874197"/>
    <w:rsid w:val="00874198"/>
    <w:rsid w:val="0087452A"/>
    <w:rsid w:val="008745A8"/>
    <w:rsid w:val="008745C5"/>
    <w:rsid w:val="00874AC8"/>
    <w:rsid w:val="00874B0A"/>
    <w:rsid w:val="00874B96"/>
    <w:rsid w:val="00874DED"/>
    <w:rsid w:val="00874F4C"/>
    <w:rsid w:val="00874FA0"/>
    <w:rsid w:val="00875576"/>
    <w:rsid w:val="00875701"/>
    <w:rsid w:val="00875974"/>
    <w:rsid w:val="00875D1B"/>
    <w:rsid w:val="00876600"/>
    <w:rsid w:val="008767B7"/>
    <w:rsid w:val="00876B01"/>
    <w:rsid w:val="00876CAD"/>
    <w:rsid w:val="00877039"/>
    <w:rsid w:val="00877136"/>
    <w:rsid w:val="008772F9"/>
    <w:rsid w:val="008775ED"/>
    <w:rsid w:val="008779CD"/>
    <w:rsid w:val="00877B48"/>
    <w:rsid w:val="00877C61"/>
    <w:rsid w:val="00877DC3"/>
    <w:rsid w:val="00877F4F"/>
    <w:rsid w:val="0088028A"/>
    <w:rsid w:val="0088091F"/>
    <w:rsid w:val="00880A8E"/>
    <w:rsid w:val="00880AB4"/>
    <w:rsid w:val="00880D3E"/>
    <w:rsid w:val="00880E06"/>
    <w:rsid w:val="00880EFE"/>
    <w:rsid w:val="00880F5C"/>
    <w:rsid w:val="00881095"/>
    <w:rsid w:val="0088136D"/>
    <w:rsid w:val="008815E7"/>
    <w:rsid w:val="00881638"/>
    <w:rsid w:val="008816C9"/>
    <w:rsid w:val="00881752"/>
    <w:rsid w:val="0088180D"/>
    <w:rsid w:val="00881947"/>
    <w:rsid w:val="00881AF2"/>
    <w:rsid w:val="00881B19"/>
    <w:rsid w:val="00881BEE"/>
    <w:rsid w:val="00881BF3"/>
    <w:rsid w:val="00881CB8"/>
    <w:rsid w:val="00881CE4"/>
    <w:rsid w:val="00881D1A"/>
    <w:rsid w:val="008820B2"/>
    <w:rsid w:val="008821AD"/>
    <w:rsid w:val="00882274"/>
    <w:rsid w:val="008823C3"/>
    <w:rsid w:val="008825B3"/>
    <w:rsid w:val="008826C9"/>
    <w:rsid w:val="008826F6"/>
    <w:rsid w:val="00882BFA"/>
    <w:rsid w:val="00882DC1"/>
    <w:rsid w:val="00883419"/>
    <w:rsid w:val="0088395C"/>
    <w:rsid w:val="0088491F"/>
    <w:rsid w:val="00884AE7"/>
    <w:rsid w:val="00885261"/>
    <w:rsid w:val="00885496"/>
    <w:rsid w:val="008855A4"/>
    <w:rsid w:val="008856B9"/>
    <w:rsid w:val="008859BA"/>
    <w:rsid w:val="00885EB2"/>
    <w:rsid w:val="00886388"/>
    <w:rsid w:val="008866B6"/>
    <w:rsid w:val="008868F8"/>
    <w:rsid w:val="00886A2F"/>
    <w:rsid w:val="008871D2"/>
    <w:rsid w:val="00887742"/>
    <w:rsid w:val="0088774C"/>
    <w:rsid w:val="008879FF"/>
    <w:rsid w:val="00887BD6"/>
    <w:rsid w:val="00887C73"/>
    <w:rsid w:val="00887D3F"/>
    <w:rsid w:val="00887E3F"/>
    <w:rsid w:val="00887F15"/>
    <w:rsid w:val="00890372"/>
    <w:rsid w:val="00890391"/>
    <w:rsid w:val="00890533"/>
    <w:rsid w:val="0089081E"/>
    <w:rsid w:val="00890CD6"/>
    <w:rsid w:val="00891192"/>
    <w:rsid w:val="008912AB"/>
    <w:rsid w:val="008912F5"/>
    <w:rsid w:val="00891464"/>
    <w:rsid w:val="008916BF"/>
    <w:rsid w:val="0089197C"/>
    <w:rsid w:val="008919F8"/>
    <w:rsid w:val="00891C6F"/>
    <w:rsid w:val="00891D23"/>
    <w:rsid w:val="00891DBD"/>
    <w:rsid w:val="00891EE0"/>
    <w:rsid w:val="00891F09"/>
    <w:rsid w:val="00892096"/>
    <w:rsid w:val="00892635"/>
    <w:rsid w:val="00892BD0"/>
    <w:rsid w:val="00892C67"/>
    <w:rsid w:val="00893246"/>
    <w:rsid w:val="00893487"/>
    <w:rsid w:val="0089348C"/>
    <w:rsid w:val="00893619"/>
    <w:rsid w:val="008936D6"/>
    <w:rsid w:val="008937EE"/>
    <w:rsid w:val="00893AD6"/>
    <w:rsid w:val="00894141"/>
    <w:rsid w:val="00894240"/>
    <w:rsid w:val="00894405"/>
    <w:rsid w:val="00894462"/>
    <w:rsid w:val="008947A7"/>
    <w:rsid w:val="00894AE6"/>
    <w:rsid w:val="00894F98"/>
    <w:rsid w:val="00895075"/>
    <w:rsid w:val="008951EA"/>
    <w:rsid w:val="008955D5"/>
    <w:rsid w:val="008956C7"/>
    <w:rsid w:val="00895A07"/>
    <w:rsid w:val="00895B6F"/>
    <w:rsid w:val="00895CD8"/>
    <w:rsid w:val="00895FA5"/>
    <w:rsid w:val="00896111"/>
    <w:rsid w:val="0089671B"/>
    <w:rsid w:val="0089693B"/>
    <w:rsid w:val="0089695E"/>
    <w:rsid w:val="00896E9C"/>
    <w:rsid w:val="00896F18"/>
    <w:rsid w:val="0089742A"/>
    <w:rsid w:val="00897D73"/>
    <w:rsid w:val="00897F9C"/>
    <w:rsid w:val="008A023B"/>
    <w:rsid w:val="008A07DA"/>
    <w:rsid w:val="008A0914"/>
    <w:rsid w:val="008A09A1"/>
    <w:rsid w:val="008A0C83"/>
    <w:rsid w:val="008A0D4B"/>
    <w:rsid w:val="008A0D9D"/>
    <w:rsid w:val="008A0DCF"/>
    <w:rsid w:val="008A11DA"/>
    <w:rsid w:val="008A12CE"/>
    <w:rsid w:val="008A1646"/>
    <w:rsid w:val="008A182E"/>
    <w:rsid w:val="008A1BED"/>
    <w:rsid w:val="008A1D16"/>
    <w:rsid w:val="008A201E"/>
    <w:rsid w:val="008A2292"/>
    <w:rsid w:val="008A2505"/>
    <w:rsid w:val="008A278B"/>
    <w:rsid w:val="008A27D4"/>
    <w:rsid w:val="008A302F"/>
    <w:rsid w:val="008A31FB"/>
    <w:rsid w:val="008A3610"/>
    <w:rsid w:val="008A376A"/>
    <w:rsid w:val="008A388B"/>
    <w:rsid w:val="008A3CF6"/>
    <w:rsid w:val="008A3ED9"/>
    <w:rsid w:val="008A482E"/>
    <w:rsid w:val="008A4C6F"/>
    <w:rsid w:val="008A4CE3"/>
    <w:rsid w:val="008A4D55"/>
    <w:rsid w:val="008A4F6E"/>
    <w:rsid w:val="008A5154"/>
    <w:rsid w:val="008A531B"/>
    <w:rsid w:val="008A5396"/>
    <w:rsid w:val="008A5426"/>
    <w:rsid w:val="008A585F"/>
    <w:rsid w:val="008A5A4A"/>
    <w:rsid w:val="008A5B07"/>
    <w:rsid w:val="008A5F95"/>
    <w:rsid w:val="008A630C"/>
    <w:rsid w:val="008A6574"/>
    <w:rsid w:val="008A6796"/>
    <w:rsid w:val="008A681E"/>
    <w:rsid w:val="008A6FA4"/>
    <w:rsid w:val="008A7563"/>
    <w:rsid w:val="008A760A"/>
    <w:rsid w:val="008A787E"/>
    <w:rsid w:val="008A7B54"/>
    <w:rsid w:val="008A7BE1"/>
    <w:rsid w:val="008A7EDB"/>
    <w:rsid w:val="008A7F54"/>
    <w:rsid w:val="008B006C"/>
    <w:rsid w:val="008B00F3"/>
    <w:rsid w:val="008B0464"/>
    <w:rsid w:val="008B0896"/>
    <w:rsid w:val="008B0C67"/>
    <w:rsid w:val="008B1314"/>
    <w:rsid w:val="008B13B3"/>
    <w:rsid w:val="008B1528"/>
    <w:rsid w:val="008B17AB"/>
    <w:rsid w:val="008B18DB"/>
    <w:rsid w:val="008B1AEC"/>
    <w:rsid w:val="008B1C30"/>
    <w:rsid w:val="008B21BB"/>
    <w:rsid w:val="008B2309"/>
    <w:rsid w:val="008B233F"/>
    <w:rsid w:val="008B2371"/>
    <w:rsid w:val="008B2478"/>
    <w:rsid w:val="008B271D"/>
    <w:rsid w:val="008B2960"/>
    <w:rsid w:val="008B29D0"/>
    <w:rsid w:val="008B2F8A"/>
    <w:rsid w:val="008B305F"/>
    <w:rsid w:val="008B3324"/>
    <w:rsid w:val="008B38C8"/>
    <w:rsid w:val="008B3AFF"/>
    <w:rsid w:val="008B3E19"/>
    <w:rsid w:val="008B451C"/>
    <w:rsid w:val="008B458E"/>
    <w:rsid w:val="008B459A"/>
    <w:rsid w:val="008B4A7D"/>
    <w:rsid w:val="008B4A89"/>
    <w:rsid w:val="008B515F"/>
    <w:rsid w:val="008B523B"/>
    <w:rsid w:val="008B584B"/>
    <w:rsid w:val="008B664B"/>
    <w:rsid w:val="008B690A"/>
    <w:rsid w:val="008B6D3C"/>
    <w:rsid w:val="008B6EEB"/>
    <w:rsid w:val="008B6F7F"/>
    <w:rsid w:val="008B70CB"/>
    <w:rsid w:val="008B7476"/>
    <w:rsid w:val="008B76AB"/>
    <w:rsid w:val="008B7843"/>
    <w:rsid w:val="008B79CD"/>
    <w:rsid w:val="008B7E79"/>
    <w:rsid w:val="008B7F4B"/>
    <w:rsid w:val="008C0188"/>
    <w:rsid w:val="008C0283"/>
    <w:rsid w:val="008C09A6"/>
    <w:rsid w:val="008C0BB0"/>
    <w:rsid w:val="008C0DC5"/>
    <w:rsid w:val="008C0F86"/>
    <w:rsid w:val="008C1011"/>
    <w:rsid w:val="008C12F6"/>
    <w:rsid w:val="008C13EA"/>
    <w:rsid w:val="008C1560"/>
    <w:rsid w:val="008C15AE"/>
    <w:rsid w:val="008C1754"/>
    <w:rsid w:val="008C1A47"/>
    <w:rsid w:val="008C1AAF"/>
    <w:rsid w:val="008C1DC4"/>
    <w:rsid w:val="008C1DD2"/>
    <w:rsid w:val="008C26AE"/>
    <w:rsid w:val="008C26CA"/>
    <w:rsid w:val="008C283F"/>
    <w:rsid w:val="008C28B2"/>
    <w:rsid w:val="008C2E18"/>
    <w:rsid w:val="008C3188"/>
    <w:rsid w:val="008C3454"/>
    <w:rsid w:val="008C3699"/>
    <w:rsid w:val="008C37F9"/>
    <w:rsid w:val="008C38D4"/>
    <w:rsid w:val="008C3939"/>
    <w:rsid w:val="008C3ADA"/>
    <w:rsid w:val="008C3D85"/>
    <w:rsid w:val="008C3F00"/>
    <w:rsid w:val="008C3F22"/>
    <w:rsid w:val="008C3F4C"/>
    <w:rsid w:val="008C4077"/>
    <w:rsid w:val="008C4145"/>
    <w:rsid w:val="008C4307"/>
    <w:rsid w:val="008C45B1"/>
    <w:rsid w:val="008C4650"/>
    <w:rsid w:val="008C4B76"/>
    <w:rsid w:val="008C4F71"/>
    <w:rsid w:val="008C4F81"/>
    <w:rsid w:val="008C504B"/>
    <w:rsid w:val="008C5151"/>
    <w:rsid w:val="008C51EC"/>
    <w:rsid w:val="008C533F"/>
    <w:rsid w:val="008C54BB"/>
    <w:rsid w:val="008C567C"/>
    <w:rsid w:val="008C57F1"/>
    <w:rsid w:val="008C5C28"/>
    <w:rsid w:val="008C5C39"/>
    <w:rsid w:val="008C6567"/>
    <w:rsid w:val="008C67D3"/>
    <w:rsid w:val="008C6CAD"/>
    <w:rsid w:val="008C70B6"/>
    <w:rsid w:val="008C7AB9"/>
    <w:rsid w:val="008C7F8F"/>
    <w:rsid w:val="008C7FB3"/>
    <w:rsid w:val="008D1167"/>
    <w:rsid w:val="008D151A"/>
    <w:rsid w:val="008D1690"/>
    <w:rsid w:val="008D19C9"/>
    <w:rsid w:val="008D1DFF"/>
    <w:rsid w:val="008D1F4B"/>
    <w:rsid w:val="008D24A3"/>
    <w:rsid w:val="008D254E"/>
    <w:rsid w:val="008D2677"/>
    <w:rsid w:val="008D26C2"/>
    <w:rsid w:val="008D277D"/>
    <w:rsid w:val="008D291E"/>
    <w:rsid w:val="008D2C62"/>
    <w:rsid w:val="008D2EA6"/>
    <w:rsid w:val="008D2F50"/>
    <w:rsid w:val="008D2FB8"/>
    <w:rsid w:val="008D303B"/>
    <w:rsid w:val="008D32B0"/>
    <w:rsid w:val="008D32EA"/>
    <w:rsid w:val="008D344B"/>
    <w:rsid w:val="008D34B1"/>
    <w:rsid w:val="008D3D27"/>
    <w:rsid w:val="008D3D57"/>
    <w:rsid w:val="008D430B"/>
    <w:rsid w:val="008D4365"/>
    <w:rsid w:val="008D44E0"/>
    <w:rsid w:val="008D481C"/>
    <w:rsid w:val="008D4B1B"/>
    <w:rsid w:val="008D4F5A"/>
    <w:rsid w:val="008D5076"/>
    <w:rsid w:val="008D5484"/>
    <w:rsid w:val="008D548F"/>
    <w:rsid w:val="008D5543"/>
    <w:rsid w:val="008D5615"/>
    <w:rsid w:val="008D5645"/>
    <w:rsid w:val="008D564D"/>
    <w:rsid w:val="008D5810"/>
    <w:rsid w:val="008D5E06"/>
    <w:rsid w:val="008D5F2B"/>
    <w:rsid w:val="008D6035"/>
    <w:rsid w:val="008D6109"/>
    <w:rsid w:val="008D642F"/>
    <w:rsid w:val="008D651B"/>
    <w:rsid w:val="008D6793"/>
    <w:rsid w:val="008D67C9"/>
    <w:rsid w:val="008D68D0"/>
    <w:rsid w:val="008D69B3"/>
    <w:rsid w:val="008D6AAD"/>
    <w:rsid w:val="008D6BD9"/>
    <w:rsid w:val="008D6FE5"/>
    <w:rsid w:val="008D703F"/>
    <w:rsid w:val="008D71D1"/>
    <w:rsid w:val="008D723C"/>
    <w:rsid w:val="008D7517"/>
    <w:rsid w:val="008D7C11"/>
    <w:rsid w:val="008D7C6E"/>
    <w:rsid w:val="008D7DC1"/>
    <w:rsid w:val="008D7EC7"/>
    <w:rsid w:val="008E03D7"/>
    <w:rsid w:val="008E05A3"/>
    <w:rsid w:val="008E063F"/>
    <w:rsid w:val="008E09F0"/>
    <w:rsid w:val="008E0A01"/>
    <w:rsid w:val="008E0C15"/>
    <w:rsid w:val="008E0DF7"/>
    <w:rsid w:val="008E0EA8"/>
    <w:rsid w:val="008E1307"/>
    <w:rsid w:val="008E13C0"/>
    <w:rsid w:val="008E15AD"/>
    <w:rsid w:val="008E15FA"/>
    <w:rsid w:val="008E1776"/>
    <w:rsid w:val="008E1BF3"/>
    <w:rsid w:val="008E21CE"/>
    <w:rsid w:val="008E243E"/>
    <w:rsid w:val="008E2621"/>
    <w:rsid w:val="008E303A"/>
    <w:rsid w:val="008E374E"/>
    <w:rsid w:val="008E3797"/>
    <w:rsid w:val="008E3A5E"/>
    <w:rsid w:val="008E3E1B"/>
    <w:rsid w:val="008E3F31"/>
    <w:rsid w:val="008E4176"/>
    <w:rsid w:val="008E4357"/>
    <w:rsid w:val="008E4874"/>
    <w:rsid w:val="008E490F"/>
    <w:rsid w:val="008E4A74"/>
    <w:rsid w:val="008E4DF1"/>
    <w:rsid w:val="008E50A9"/>
    <w:rsid w:val="008E55B7"/>
    <w:rsid w:val="008E581A"/>
    <w:rsid w:val="008E58A5"/>
    <w:rsid w:val="008E5A3D"/>
    <w:rsid w:val="008E5B50"/>
    <w:rsid w:val="008E5CE9"/>
    <w:rsid w:val="008E5D5F"/>
    <w:rsid w:val="008E5F3B"/>
    <w:rsid w:val="008E620B"/>
    <w:rsid w:val="008E647A"/>
    <w:rsid w:val="008E6653"/>
    <w:rsid w:val="008E69F1"/>
    <w:rsid w:val="008E6C87"/>
    <w:rsid w:val="008E6D6D"/>
    <w:rsid w:val="008E6FCC"/>
    <w:rsid w:val="008E7275"/>
    <w:rsid w:val="008E77AB"/>
    <w:rsid w:val="008E7B19"/>
    <w:rsid w:val="008E7DDD"/>
    <w:rsid w:val="008F05A9"/>
    <w:rsid w:val="008F06C0"/>
    <w:rsid w:val="008F0879"/>
    <w:rsid w:val="008F095D"/>
    <w:rsid w:val="008F0A0B"/>
    <w:rsid w:val="008F0AF9"/>
    <w:rsid w:val="008F0B0B"/>
    <w:rsid w:val="008F0BFB"/>
    <w:rsid w:val="008F0CED"/>
    <w:rsid w:val="008F0E0B"/>
    <w:rsid w:val="008F10B0"/>
    <w:rsid w:val="008F12AC"/>
    <w:rsid w:val="008F12E2"/>
    <w:rsid w:val="008F169F"/>
    <w:rsid w:val="008F176C"/>
    <w:rsid w:val="008F1CC1"/>
    <w:rsid w:val="008F22CE"/>
    <w:rsid w:val="008F2425"/>
    <w:rsid w:val="008F2466"/>
    <w:rsid w:val="008F2876"/>
    <w:rsid w:val="008F2E05"/>
    <w:rsid w:val="008F2F94"/>
    <w:rsid w:val="008F2FAB"/>
    <w:rsid w:val="008F31E1"/>
    <w:rsid w:val="008F32C3"/>
    <w:rsid w:val="008F348D"/>
    <w:rsid w:val="008F3886"/>
    <w:rsid w:val="008F38AC"/>
    <w:rsid w:val="008F38CD"/>
    <w:rsid w:val="008F3B65"/>
    <w:rsid w:val="008F3F9C"/>
    <w:rsid w:val="008F406B"/>
    <w:rsid w:val="008F41E1"/>
    <w:rsid w:val="008F43CE"/>
    <w:rsid w:val="008F485B"/>
    <w:rsid w:val="008F490E"/>
    <w:rsid w:val="008F501F"/>
    <w:rsid w:val="008F50F6"/>
    <w:rsid w:val="008F5208"/>
    <w:rsid w:val="008F537D"/>
    <w:rsid w:val="008F5460"/>
    <w:rsid w:val="008F5644"/>
    <w:rsid w:val="008F575F"/>
    <w:rsid w:val="008F587B"/>
    <w:rsid w:val="008F59D7"/>
    <w:rsid w:val="008F5CB7"/>
    <w:rsid w:val="008F5DD7"/>
    <w:rsid w:val="008F5F03"/>
    <w:rsid w:val="008F5F11"/>
    <w:rsid w:val="008F5F9E"/>
    <w:rsid w:val="008F6007"/>
    <w:rsid w:val="008F62B9"/>
    <w:rsid w:val="008F6C5C"/>
    <w:rsid w:val="008F6E20"/>
    <w:rsid w:val="008F7204"/>
    <w:rsid w:val="008F72AB"/>
    <w:rsid w:val="008F7505"/>
    <w:rsid w:val="008F7615"/>
    <w:rsid w:val="008F76A1"/>
    <w:rsid w:val="008F77EF"/>
    <w:rsid w:val="008F7942"/>
    <w:rsid w:val="008F7F1C"/>
    <w:rsid w:val="008F7FC3"/>
    <w:rsid w:val="009000C4"/>
    <w:rsid w:val="00900816"/>
    <w:rsid w:val="00900B46"/>
    <w:rsid w:val="00900EAD"/>
    <w:rsid w:val="00901224"/>
    <w:rsid w:val="0090141D"/>
    <w:rsid w:val="0090149F"/>
    <w:rsid w:val="009014DD"/>
    <w:rsid w:val="00901CFE"/>
    <w:rsid w:val="00901D9B"/>
    <w:rsid w:val="00901E68"/>
    <w:rsid w:val="00902312"/>
    <w:rsid w:val="00902393"/>
    <w:rsid w:val="009023FD"/>
    <w:rsid w:val="009025C7"/>
    <w:rsid w:val="00902643"/>
    <w:rsid w:val="00902850"/>
    <w:rsid w:val="009028A3"/>
    <w:rsid w:val="00902FD0"/>
    <w:rsid w:val="00903251"/>
    <w:rsid w:val="0090338D"/>
    <w:rsid w:val="00903864"/>
    <w:rsid w:val="00903C5C"/>
    <w:rsid w:val="00904078"/>
    <w:rsid w:val="00904E12"/>
    <w:rsid w:val="009051ED"/>
    <w:rsid w:val="00905346"/>
    <w:rsid w:val="009053FD"/>
    <w:rsid w:val="00905691"/>
    <w:rsid w:val="00905FE1"/>
    <w:rsid w:val="00906021"/>
    <w:rsid w:val="00906065"/>
    <w:rsid w:val="009060BB"/>
    <w:rsid w:val="00906141"/>
    <w:rsid w:val="00906144"/>
    <w:rsid w:val="0090627F"/>
    <w:rsid w:val="0090657B"/>
    <w:rsid w:val="00906676"/>
    <w:rsid w:val="00906CFD"/>
    <w:rsid w:val="00906D60"/>
    <w:rsid w:val="009072B8"/>
    <w:rsid w:val="009074EB"/>
    <w:rsid w:val="0090781B"/>
    <w:rsid w:val="00907839"/>
    <w:rsid w:val="00907B41"/>
    <w:rsid w:val="00907E39"/>
    <w:rsid w:val="00907E48"/>
    <w:rsid w:val="00907F48"/>
    <w:rsid w:val="009102D8"/>
    <w:rsid w:val="0091072F"/>
    <w:rsid w:val="009107C1"/>
    <w:rsid w:val="009108BF"/>
    <w:rsid w:val="00910A1F"/>
    <w:rsid w:val="00910D08"/>
    <w:rsid w:val="00911023"/>
    <w:rsid w:val="009113A8"/>
    <w:rsid w:val="0091184E"/>
    <w:rsid w:val="00911877"/>
    <w:rsid w:val="00911997"/>
    <w:rsid w:val="00911EE4"/>
    <w:rsid w:val="00911EF4"/>
    <w:rsid w:val="009120D1"/>
    <w:rsid w:val="00912196"/>
    <w:rsid w:val="0091226F"/>
    <w:rsid w:val="0091228A"/>
    <w:rsid w:val="0091249E"/>
    <w:rsid w:val="009126CE"/>
    <w:rsid w:val="009128E5"/>
    <w:rsid w:val="009133F1"/>
    <w:rsid w:val="009138A5"/>
    <w:rsid w:val="00913B26"/>
    <w:rsid w:val="00913BD2"/>
    <w:rsid w:val="00913DBF"/>
    <w:rsid w:val="00913F1E"/>
    <w:rsid w:val="00913F65"/>
    <w:rsid w:val="0091418B"/>
    <w:rsid w:val="00914682"/>
    <w:rsid w:val="00914886"/>
    <w:rsid w:val="00914A2D"/>
    <w:rsid w:val="00914A54"/>
    <w:rsid w:val="00914BF2"/>
    <w:rsid w:val="00914C10"/>
    <w:rsid w:val="00914C2E"/>
    <w:rsid w:val="00914DB2"/>
    <w:rsid w:val="00914E5C"/>
    <w:rsid w:val="00914EF8"/>
    <w:rsid w:val="00914F22"/>
    <w:rsid w:val="00914FD5"/>
    <w:rsid w:val="00915097"/>
    <w:rsid w:val="009150F4"/>
    <w:rsid w:val="00915139"/>
    <w:rsid w:val="0091518B"/>
    <w:rsid w:val="009153E7"/>
    <w:rsid w:val="00915611"/>
    <w:rsid w:val="00915747"/>
    <w:rsid w:val="009157EF"/>
    <w:rsid w:val="0091589A"/>
    <w:rsid w:val="009158A9"/>
    <w:rsid w:val="00915B4B"/>
    <w:rsid w:val="00915E54"/>
    <w:rsid w:val="009163DB"/>
    <w:rsid w:val="009164C9"/>
    <w:rsid w:val="009164DE"/>
    <w:rsid w:val="0091667C"/>
    <w:rsid w:val="009167F8"/>
    <w:rsid w:val="00916AB0"/>
    <w:rsid w:val="00916FE3"/>
    <w:rsid w:val="00917451"/>
    <w:rsid w:val="009176FE"/>
    <w:rsid w:val="00917899"/>
    <w:rsid w:val="009178D8"/>
    <w:rsid w:val="00917B5D"/>
    <w:rsid w:val="00917D4C"/>
    <w:rsid w:val="00917FB8"/>
    <w:rsid w:val="00920159"/>
    <w:rsid w:val="00920437"/>
    <w:rsid w:val="009204DD"/>
    <w:rsid w:val="009205B4"/>
    <w:rsid w:val="0092079A"/>
    <w:rsid w:val="00920B7B"/>
    <w:rsid w:val="00920C1C"/>
    <w:rsid w:val="00921072"/>
    <w:rsid w:val="00921122"/>
    <w:rsid w:val="0092137F"/>
    <w:rsid w:val="009216A0"/>
    <w:rsid w:val="009216CB"/>
    <w:rsid w:val="009216F2"/>
    <w:rsid w:val="00921978"/>
    <w:rsid w:val="00921AE2"/>
    <w:rsid w:val="00921B8C"/>
    <w:rsid w:val="00921BD4"/>
    <w:rsid w:val="00921E06"/>
    <w:rsid w:val="00922031"/>
    <w:rsid w:val="00922068"/>
    <w:rsid w:val="00922249"/>
    <w:rsid w:val="0092237E"/>
    <w:rsid w:val="009224B9"/>
    <w:rsid w:val="00922622"/>
    <w:rsid w:val="00922843"/>
    <w:rsid w:val="009229D6"/>
    <w:rsid w:val="00922ED3"/>
    <w:rsid w:val="00923573"/>
    <w:rsid w:val="00923904"/>
    <w:rsid w:val="00923CA2"/>
    <w:rsid w:val="00923DD3"/>
    <w:rsid w:val="00923F66"/>
    <w:rsid w:val="00924261"/>
    <w:rsid w:val="00924281"/>
    <w:rsid w:val="00924398"/>
    <w:rsid w:val="0092448B"/>
    <w:rsid w:val="0092484E"/>
    <w:rsid w:val="00924DF7"/>
    <w:rsid w:val="00925092"/>
    <w:rsid w:val="009250E9"/>
    <w:rsid w:val="009253D2"/>
    <w:rsid w:val="009256CE"/>
    <w:rsid w:val="00926399"/>
    <w:rsid w:val="00926BE7"/>
    <w:rsid w:val="00926D45"/>
    <w:rsid w:val="0092704A"/>
    <w:rsid w:val="0092709A"/>
    <w:rsid w:val="009278D1"/>
    <w:rsid w:val="009279DD"/>
    <w:rsid w:val="00927AF1"/>
    <w:rsid w:val="00927C0E"/>
    <w:rsid w:val="00927F08"/>
    <w:rsid w:val="00930005"/>
    <w:rsid w:val="0093000C"/>
    <w:rsid w:val="009303CE"/>
    <w:rsid w:val="00930400"/>
    <w:rsid w:val="0093067B"/>
    <w:rsid w:val="009314E6"/>
    <w:rsid w:val="0093158B"/>
    <w:rsid w:val="00931D8E"/>
    <w:rsid w:val="00931EA1"/>
    <w:rsid w:val="00931FFE"/>
    <w:rsid w:val="0093202A"/>
    <w:rsid w:val="00932136"/>
    <w:rsid w:val="00932199"/>
    <w:rsid w:val="009324FF"/>
    <w:rsid w:val="00932568"/>
    <w:rsid w:val="009329E4"/>
    <w:rsid w:val="00932ABB"/>
    <w:rsid w:val="00932F87"/>
    <w:rsid w:val="0093362A"/>
    <w:rsid w:val="00933679"/>
    <w:rsid w:val="0093378E"/>
    <w:rsid w:val="0093379A"/>
    <w:rsid w:val="00933C9C"/>
    <w:rsid w:val="00933DF3"/>
    <w:rsid w:val="00933E6A"/>
    <w:rsid w:val="009340E9"/>
    <w:rsid w:val="0093435C"/>
    <w:rsid w:val="00934551"/>
    <w:rsid w:val="009346CA"/>
    <w:rsid w:val="009348CD"/>
    <w:rsid w:val="00934D82"/>
    <w:rsid w:val="00934E91"/>
    <w:rsid w:val="00934F9F"/>
    <w:rsid w:val="00935006"/>
    <w:rsid w:val="00935228"/>
    <w:rsid w:val="009355B0"/>
    <w:rsid w:val="009357CE"/>
    <w:rsid w:val="00935939"/>
    <w:rsid w:val="00935B59"/>
    <w:rsid w:val="00935C9A"/>
    <w:rsid w:val="00935D3E"/>
    <w:rsid w:val="00935F45"/>
    <w:rsid w:val="00936035"/>
    <w:rsid w:val="009361A8"/>
    <w:rsid w:val="00936439"/>
    <w:rsid w:val="00936692"/>
    <w:rsid w:val="00936A9A"/>
    <w:rsid w:val="00936AA2"/>
    <w:rsid w:val="00936B01"/>
    <w:rsid w:val="00936BE7"/>
    <w:rsid w:val="00936C46"/>
    <w:rsid w:val="00936DEC"/>
    <w:rsid w:val="00936EAD"/>
    <w:rsid w:val="00936F0C"/>
    <w:rsid w:val="0093721B"/>
    <w:rsid w:val="009373DA"/>
    <w:rsid w:val="0093740C"/>
    <w:rsid w:val="00937741"/>
    <w:rsid w:val="009377F5"/>
    <w:rsid w:val="0093795B"/>
    <w:rsid w:val="00937DD2"/>
    <w:rsid w:val="009402CF"/>
    <w:rsid w:val="009403F6"/>
    <w:rsid w:val="00940472"/>
    <w:rsid w:val="009405E2"/>
    <w:rsid w:val="00940867"/>
    <w:rsid w:val="00940A3E"/>
    <w:rsid w:val="00940C04"/>
    <w:rsid w:val="00941370"/>
    <w:rsid w:val="009413D9"/>
    <w:rsid w:val="0094155F"/>
    <w:rsid w:val="009418ED"/>
    <w:rsid w:val="00941FF7"/>
    <w:rsid w:val="009421B7"/>
    <w:rsid w:val="00942318"/>
    <w:rsid w:val="009425B2"/>
    <w:rsid w:val="0094266F"/>
    <w:rsid w:val="00942CF9"/>
    <w:rsid w:val="00943505"/>
    <w:rsid w:val="00944055"/>
    <w:rsid w:val="0094406A"/>
    <w:rsid w:val="009440BE"/>
    <w:rsid w:val="0094443B"/>
    <w:rsid w:val="0094492A"/>
    <w:rsid w:val="009449DA"/>
    <w:rsid w:val="00944A85"/>
    <w:rsid w:val="00944AC5"/>
    <w:rsid w:val="00944EF1"/>
    <w:rsid w:val="00944F8A"/>
    <w:rsid w:val="00944FB4"/>
    <w:rsid w:val="00945346"/>
    <w:rsid w:val="009454F0"/>
    <w:rsid w:val="00945895"/>
    <w:rsid w:val="00945B08"/>
    <w:rsid w:val="00945B8C"/>
    <w:rsid w:val="00945EA2"/>
    <w:rsid w:val="00946110"/>
    <w:rsid w:val="00946212"/>
    <w:rsid w:val="009464D1"/>
    <w:rsid w:val="0094672C"/>
    <w:rsid w:val="00946A3E"/>
    <w:rsid w:val="00946B2B"/>
    <w:rsid w:val="00946B92"/>
    <w:rsid w:val="00946CBB"/>
    <w:rsid w:val="00946D61"/>
    <w:rsid w:val="00946DDE"/>
    <w:rsid w:val="00947029"/>
    <w:rsid w:val="00947050"/>
    <w:rsid w:val="00947133"/>
    <w:rsid w:val="00947145"/>
    <w:rsid w:val="00947479"/>
    <w:rsid w:val="0094750B"/>
    <w:rsid w:val="00947534"/>
    <w:rsid w:val="00947746"/>
    <w:rsid w:val="00947787"/>
    <w:rsid w:val="00947937"/>
    <w:rsid w:val="00947D2F"/>
    <w:rsid w:val="00947D56"/>
    <w:rsid w:val="00947EDC"/>
    <w:rsid w:val="00950026"/>
    <w:rsid w:val="009501D8"/>
    <w:rsid w:val="009501DE"/>
    <w:rsid w:val="0095069E"/>
    <w:rsid w:val="0095077C"/>
    <w:rsid w:val="00950845"/>
    <w:rsid w:val="009508FA"/>
    <w:rsid w:val="00950C03"/>
    <w:rsid w:val="00950FF5"/>
    <w:rsid w:val="0095129F"/>
    <w:rsid w:val="009513D4"/>
    <w:rsid w:val="00951831"/>
    <w:rsid w:val="009518E2"/>
    <w:rsid w:val="00951B9D"/>
    <w:rsid w:val="00951FFB"/>
    <w:rsid w:val="009522D3"/>
    <w:rsid w:val="009523B9"/>
    <w:rsid w:val="009525C7"/>
    <w:rsid w:val="009525ED"/>
    <w:rsid w:val="0095273F"/>
    <w:rsid w:val="0095278F"/>
    <w:rsid w:val="00952B06"/>
    <w:rsid w:val="00952C7C"/>
    <w:rsid w:val="00952ECD"/>
    <w:rsid w:val="0095320E"/>
    <w:rsid w:val="0095329A"/>
    <w:rsid w:val="009533A6"/>
    <w:rsid w:val="009538D4"/>
    <w:rsid w:val="00953910"/>
    <w:rsid w:val="0095396B"/>
    <w:rsid w:val="00953B1E"/>
    <w:rsid w:val="00953F88"/>
    <w:rsid w:val="009540F7"/>
    <w:rsid w:val="009541F6"/>
    <w:rsid w:val="00954328"/>
    <w:rsid w:val="00954374"/>
    <w:rsid w:val="009543CB"/>
    <w:rsid w:val="009544C1"/>
    <w:rsid w:val="009544E1"/>
    <w:rsid w:val="00954583"/>
    <w:rsid w:val="009545B2"/>
    <w:rsid w:val="00954713"/>
    <w:rsid w:val="00954776"/>
    <w:rsid w:val="00955272"/>
    <w:rsid w:val="009559A6"/>
    <w:rsid w:val="00955B73"/>
    <w:rsid w:val="00955C69"/>
    <w:rsid w:val="00955CC1"/>
    <w:rsid w:val="00956227"/>
    <w:rsid w:val="00956496"/>
    <w:rsid w:val="009564C0"/>
    <w:rsid w:val="00956504"/>
    <w:rsid w:val="00956530"/>
    <w:rsid w:val="00956536"/>
    <w:rsid w:val="009566CC"/>
    <w:rsid w:val="009567BD"/>
    <w:rsid w:val="0095700B"/>
    <w:rsid w:val="00957158"/>
    <w:rsid w:val="00957241"/>
    <w:rsid w:val="009573BE"/>
    <w:rsid w:val="00957586"/>
    <w:rsid w:val="00957A0B"/>
    <w:rsid w:val="00957A71"/>
    <w:rsid w:val="00957AEA"/>
    <w:rsid w:val="00957FE6"/>
    <w:rsid w:val="00960571"/>
    <w:rsid w:val="00960950"/>
    <w:rsid w:val="00960B6D"/>
    <w:rsid w:val="00960BBE"/>
    <w:rsid w:val="00960C63"/>
    <w:rsid w:val="00960F0D"/>
    <w:rsid w:val="0096107A"/>
    <w:rsid w:val="0096128A"/>
    <w:rsid w:val="00961384"/>
    <w:rsid w:val="00961637"/>
    <w:rsid w:val="00961749"/>
    <w:rsid w:val="0096177F"/>
    <w:rsid w:val="0096192C"/>
    <w:rsid w:val="00961934"/>
    <w:rsid w:val="00961F0C"/>
    <w:rsid w:val="00962254"/>
    <w:rsid w:val="0096269E"/>
    <w:rsid w:val="0096283F"/>
    <w:rsid w:val="00962A10"/>
    <w:rsid w:val="009632FD"/>
    <w:rsid w:val="00963305"/>
    <w:rsid w:val="0096342F"/>
    <w:rsid w:val="00963666"/>
    <w:rsid w:val="00963BA2"/>
    <w:rsid w:val="00963E53"/>
    <w:rsid w:val="009644BF"/>
    <w:rsid w:val="009645C8"/>
    <w:rsid w:val="00964A86"/>
    <w:rsid w:val="00964BD7"/>
    <w:rsid w:val="00964E15"/>
    <w:rsid w:val="009650B7"/>
    <w:rsid w:val="00965181"/>
    <w:rsid w:val="009657CA"/>
    <w:rsid w:val="00965A40"/>
    <w:rsid w:val="00965CF5"/>
    <w:rsid w:val="00966104"/>
    <w:rsid w:val="00966195"/>
    <w:rsid w:val="009667D3"/>
    <w:rsid w:val="00966893"/>
    <w:rsid w:val="009669F9"/>
    <w:rsid w:val="00966C23"/>
    <w:rsid w:val="00966C85"/>
    <w:rsid w:val="00966D40"/>
    <w:rsid w:val="009671A5"/>
    <w:rsid w:val="009679D0"/>
    <w:rsid w:val="009701F0"/>
    <w:rsid w:val="00970247"/>
    <w:rsid w:val="00970259"/>
    <w:rsid w:val="009706AC"/>
    <w:rsid w:val="009708FC"/>
    <w:rsid w:val="00970D0A"/>
    <w:rsid w:val="00970D85"/>
    <w:rsid w:val="00971020"/>
    <w:rsid w:val="00971133"/>
    <w:rsid w:val="00971387"/>
    <w:rsid w:val="009713DA"/>
    <w:rsid w:val="0097159C"/>
    <w:rsid w:val="00971644"/>
    <w:rsid w:val="009718A7"/>
    <w:rsid w:val="00971939"/>
    <w:rsid w:val="00971986"/>
    <w:rsid w:val="009719D7"/>
    <w:rsid w:val="00971BC1"/>
    <w:rsid w:val="00971DDB"/>
    <w:rsid w:val="00972385"/>
    <w:rsid w:val="00972469"/>
    <w:rsid w:val="00972A35"/>
    <w:rsid w:val="00972B0B"/>
    <w:rsid w:val="00972BC4"/>
    <w:rsid w:val="0097305D"/>
    <w:rsid w:val="00973098"/>
    <w:rsid w:val="00973568"/>
    <w:rsid w:val="00973A8D"/>
    <w:rsid w:val="00973DEE"/>
    <w:rsid w:val="009740A0"/>
    <w:rsid w:val="00974880"/>
    <w:rsid w:val="00974A54"/>
    <w:rsid w:val="00974BE0"/>
    <w:rsid w:val="0097505F"/>
    <w:rsid w:val="00975410"/>
    <w:rsid w:val="009755E3"/>
    <w:rsid w:val="0097568E"/>
    <w:rsid w:val="00975717"/>
    <w:rsid w:val="009757FA"/>
    <w:rsid w:val="00975E3B"/>
    <w:rsid w:val="00975FC8"/>
    <w:rsid w:val="009760F3"/>
    <w:rsid w:val="009761D0"/>
    <w:rsid w:val="00976294"/>
    <w:rsid w:val="009765E2"/>
    <w:rsid w:val="00976634"/>
    <w:rsid w:val="009766F8"/>
    <w:rsid w:val="009767C1"/>
    <w:rsid w:val="00976A70"/>
    <w:rsid w:val="00976BAD"/>
    <w:rsid w:val="00976DA7"/>
    <w:rsid w:val="00976F95"/>
    <w:rsid w:val="009770DA"/>
    <w:rsid w:val="009774D6"/>
    <w:rsid w:val="00977A87"/>
    <w:rsid w:val="00977A98"/>
    <w:rsid w:val="00977D6B"/>
    <w:rsid w:val="00980233"/>
    <w:rsid w:val="00980383"/>
    <w:rsid w:val="009806ED"/>
    <w:rsid w:val="0098070B"/>
    <w:rsid w:val="00980774"/>
    <w:rsid w:val="00980AEF"/>
    <w:rsid w:val="00980C67"/>
    <w:rsid w:val="00980C78"/>
    <w:rsid w:val="00980EB6"/>
    <w:rsid w:val="00981103"/>
    <w:rsid w:val="0098119C"/>
    <w:rsid w:val="009811F9"/>
    <w:rsid w:val="0098126F"/>
    <w:rsid w:val="009815B7"/>
    <w:rsid w:val="00981DDD"/>
    <w:rsid w:val="00981DF2"/>
    <w:rsid w:val="0098272E"/>
    <w:rsid w:val="00982764"/>
    <w:rsid w:val="00982B43"/>
    <w:rsid w:val="00982CE9"/>
    <w:rsid w:val="00982E06"/>
    <w:rsid w:val="00982E98"/>
    <w:rsid w:val="0098307A"/>
    <w:rsid w:val="0098309D"/>
    <w:rsid w:val="00983997"/>
    <w:rsid w:val="00983CA1"/>
    <w:rsid w:val="00984122"/>
    <w:rsid w:val="00984A25"/>
    <w:rsid w:val="00984D5A"/>
    <w:rsid w:val="00985095"/>
    <w:rsid w:val="00985184"/>
    <w:rsid w:val="009854B7"/>
    <w:rsid w:val="00985A19"/>
    <w:rsid w:val="00985D14"/>
    <w:rsid w:val="00985D60"/>
    <w:rsid w:val="009862C2"/>
    <w:rsid w:val="009862D7"/>
    <w:rsid w:val="009865ED"/>
    <w:rsid w:val="009868D8"/>
    <w:rsid w:val="009869ED"/>
    <w:rsid w:val="00986C02"/>
    <w:rsid w:val="00987539"/>
    <w:rsid w:val="00987548"/>
    <w:rsid w:val="00987651"/>
    <w:rsid w:val="00987907"/>
    <w:rsid w:val="00987C8C"/>
    <w:rsid w:val="00987FD2"/>
    <w:rsid w:val="0099007D"/>
    <w:rsid w:val="00990164"/>
    <w:rsid w:val="0099077E"/>
    <w:rsid w:val="00990918"/>
    <w:rsid w:val="009909AA"/>
    <w:rsid w:val="009909C7"/>
    <w:rsid w:val="00990BEA"/>
    <w:rsid w:val="00990F2E"/>
    <w:rsid w:val="00991139"/>
    <w:rsid w:val="0099121E"/>
    <w:rsid w:val="0099126B"/>
    <w:rsid w:val="00991371"/>
    <w:rsid w:val="009916D1"/>
    <w:rsid w:val="009917AB"/>
    <w:rsid w:val="00991AC6"/>
    <w:rsid w:val="00992579"/>
    <w:rsid w:val="0099271D"/>
    <w:rsid w:val="00992B3F"/>
    <w:rsid w:val="00992C56"/>
    <w:rsid w:val="00992E2C"/>
    <w:rsid w:val="0099308F"/>
    <w:rsid w:val="00993353"/>
    <w:rsid w:val="009935CC"/>
    <w:rsid w:val="009938B0"/>
    <w:rsid w:val="00993B5D"/>
    <w:rsid w:val="00993CE9"/>
    <w:rsid w:val="00993DD6"/>
    <w:rsid w:val="00993DF7"/>
    <w:rsid w:val="00993EF6"/>
    <w:rsid w:val="00993FF2"/>
    <w:rsid w:val="009940EE"/>
    <w:rsid w:val="0099469F"/>
    <w:rsid w:val="00994713"/>
    <w:rsid w:val="00994948"/>
    <w:rsid w:val="0099495F"/>
    <w:rsid w:val="00994ECB"/>
    <w:rsid w:val="0099530C"/>
    <w:rsid w:val="009954E9"/>
    <w:rsid w:val="0099569A"/>
    <w:rsid w:val="009956C0"/>
    <w:rsid w:val="009956FB"/>
    <w:rsid w:val="00995808"/>
    <w:rsid w:val="00995A2B"/>
    <w:rsid w:val="00995A83"/>
    <w:rsid w:val="00995B00"/>
    <w:rsid w:val="00995E06"/>
    <w:rsid w:val="00995EB5"/>
    <w:rsid w:val="0099630A"/>
    <w:rsid w:val="009963BB"/>
    <w:rsid w:val="009966CF"/>
    <w:rsid w:val="0099690F"/>
    <w:rsid w:val="00996938"/>
    <w:rsid w:val="00996AA3"/>
    <w:rsid w:val="00996D1A"/>
    <w:rsid w:val="00996D1E"/>
    <w:rsid w:val="00996E78"/>
    <w:rsid w:val="00996FA1"/>
    <w:rsid w:val="00996FCC"/>
    <w:rsid w:val="00997BE7"/>
    <w:rsid w:val="00997C09"/>
    <w:rsid w:val="00997D81"/>
    <w:rsid w:val="00997FDD"/>
    <w:rsid w:val="009A020C"/>
    <w:rsid w:val="009A0278"/>
    <w:rsid w:val="009A03B3"/>
    <w:rsid w:val="009A0483"/>
    <w:rsid w:val="009A0D6B"/>
    <w:rsid w:val="009A0E15"/>
    <w:rsid w:val="009A1585"/>
    <w:rsid w:val="009A1795"/>
    <w:rsid w:val="009A1CA4"/>
    <w:rsid w:val="009A1EAB"/>
    <w:rsid w:val="009A1F89"/>
    <w:rsid w:val="009A20F0"/>
    <w:rsid w:val="009A221A"/>
    <w:rsid w:val="009A26A3"/>
    <w:rsid w:val="009A27B0"/>
    <w:rsid w:val="009A27D8"/>
    <w:rsid w:val="009A2874"/>
    <w:rsid w:val="009A2F9C"/>
    <w:rsid w:val="009A3251"/>
    <w:rsid w:val="009A34B5"/>
    <w:rsid w:val="009A38A3"/>
    <w:rsid w:val="009A3ABC"/>
    <w:rsid w:val="009A3CF1"/>
    <w:rsid w:val="009A3E0D"/>
    <w:rsid w:val="009A417B"/>
    <w:rsid w:val="009A444B"/>
    <w:rsid w:val="009A4609"/>
    <w:rsid w:val="009A476F"/>
    <w:rsid w:val="009A47C5"/>
    <w:rsid w:val="009A486C"/>
    <w:rsid w:val="009A4A60"/>
    <w:rsid w:val="009A4A7E"/>
    <w:rsid w:val="009A4B1C"/>
    <w:rsid w:val="009A4FAD"/>
    <w:rsid w:val="009A54E8"/>
    <w:rsid w:val="009A553B"/>
    <w:rsid w:val="009A56A1"/>
    <w:rsid w:val="009A56D6"/>
    <w:rsid w:val="009A574A"/>
    <w:rsid w:val="009A577A"/>
    <w:rsid w:val="009A5A96"/>
    <w:rsid w:val="009A5B36"/>
    <w:rsid w:val="009A5E3F"/>
    <w:rsid w:val="009A5FF1"/>
    <w:rsid w:val="009A5FF9"/>
    <w:rsid w:val="009A60D9"/>
    <w:rsid w:val="009A6306"/>
    <w:rsid w:val="009A6375"/>
    <w:rsid w:val="009A6C3A"/>
    <w:rsid w:val="009A7533"/>
    <w:rsid w:val="009A763D"/>
    <w:rsid w:val="009A7B2C"/>
    <w:rsid w:val="009A7BD4"/>
    <w:rsid w:val="009A7CA0"/>
    <w:rsid w:val="009A7D6E"/>
    <w:rsid w:val="009A7F52"/>
    <w:rsid w:val="009B00F7"/>
    <w:rsid w:val="009B0300"/>
    <w:rsid w:val="009B0363"/>
    <w:rsid w:val="009B05CE"/>
    <w:rsid w:val="009B0778"/>
    <w:rsid w:val="009B0834"/>
    <w:rsid w:val="009B0903"/>
    <w:rsid w:val="009B1284"/>
    <w:rsid w:val="009B12E8"/>
    <w:rsid w:val="009B133F"/>
    <w:rsid w:val="009B13C4"/>
    <w:rsid w:val="009B152B"/>
    <w:rsid w:val="009B166E"/>
    <w:rsid w:val="009B173F"/>
    <w:rsid w:val="009B185A"/>
    <w:rsid w:val="009B18B1"/>
    <w:rsid w:val="009B1935"/>
    <w:rsid w:val="009B1AAF"/>
    <w:rsid w:val="009B1D40"/>
    <w:rsid w:val="009B203B"/>
    <w:rsid w:val="009B2062"/>
    <w:rsid w:val="009B2257"/>
    <w:rsid w:val="009B2375"/>
    <w:rsid w:val="009B24D6"/>
    <w:rsid w:val="009B2668"/>
    <w:rsid w:val="009B27BB"/>
    <w:rsid w:val="009B28BF"/>
    <w:rsid w:val="009B28F8"/>
    <w:rsid w:val="009B2937"/>
    <w:rsid w:val="009B2FDD"/>
    <w:rsid w:val="009B330F"/>
    <w:rsid w:val="009B332B"/>
    <w:rsid w:val="009B348E"/>
    <w:rsid w:val="009B36D4"/>
    <w:rsid w:val="009B3740"/>
    <w:rsid w:val="009B378C"/>
    <w:rsid w:val="009B391C"/>
    <w:rsid w:val="009B3ADF"/>
    <w:rsid w:val="009B3B0F"/>
    <w:rsid w:val="009B3DC0"/>
    <w:rsid w:val="009B3E66"/>
    <w:rsid w:val="009B4037"/>
    <w:rsid w:val="009B42AD"/>
    <w:rsid w:val="009B4301"/>
    <w:rsid w:val="009B4ED5"/>
    <w:rsid w:val="009B5018"/>
    <w:rsid w:val="009B51D0"/>
    <w:rsid w:val="009B5223"/>
    <w:rsid w:val="009B5343"/>
    <w:rsid w:val="009B5495"/>
    <w:rsid w:val="009B54B8"/>
    <w:rsid w:val="009B583B"/>
    <w:rsid w:val="009B5DAB"/>
    <w:rsid w:val="009B5DF9"/>
    <w:rsid w:val="009B5EED"/>
    <w:rsid w:val="009B688B"/>
    <w:rsid w:val="009B6946"/>
    <w:rsid w:val="009B6A8A"/>
    <w:rsid w:val="009B6AC8"/>
    <w:rsid w:val="009B6CDB"/>
    <w:rsid w:val="009B6D6A"/>
    <w:rsid w:val="009B6F1A"/>
    <w:rsid w:val="009B7105"/>
    <w:rsid w:val="009B74A2"/>
    <w:rsid w:val="009B793C"/>
    <w:rsid w:val="009B7B03"/>
    <w:rsid w:val="009C0487"/>
    <w:rsid w:val="009C076F"/>
    <w:rsid w:val="009C1204"/>
    <w:rsid w:val="009C1460"/>
    <w:rsid w:val="009C1529"/>
    <w:rsid w:val="009C15B6"/>
    <w:rsid w:val="009C17C3"/>
    <w:rsid w:val="009C1B90"/>
    <w:rsid w:val="009C1CC5"/>
    <w:rsid w:val="009C1E1D"/>
    <w:rsid w:val="009C20D4"/>
    <w:rsid w:val="009C214E"/>
    <w:rsid w:val="009C2347"/>
    <w:rsid w:val="009C26C0"/>
    <w:rsid w:val="009C2C4E"/>
    <w:rsid w:val="009C3016"/>
    <w:rsid w:val="009C30C8"/>
    <w:rsid w:val="009C31E2"/>
    <w:rsid w:val="009C3438"/>
    <w:rsid w:val="009C34C1"/>
    <w:rsid w:val="009C3B1E"/>
    <w:rsid w:val="009C3C0A"/>
    <w:rsid w:val="009C40E6"/>
    <w:rsid w:val="009C4607"/>
    <w:rsid w:val="009C4682"/>
    <w:rsid w:val="009C46FD"/>
    <w:rsid w:val="009C4740"/>
    <w:rsid w:val="009C4798"/>
    <w:rsid w:val="009C485E"/>
    <w:rsid w:val="009C48AE"/>
    <w:rsid w:val="009C497B"/>
    <w:rsid w:val="009C49E6"/>
    <w:rsid w:val="009C4AE7"/>
    <w:rsid w:val="009C4C7C"/>
    <w:rsid w:val="009C4D0E"/>
    <w:rsid w:val="009C4F20"/>
    <w:rsid w:val="009C4F36"/>
    <w:rsid w:val="009C5073"/>
    <w:rsid w:val="009C534B"/>
    <w:rsid w:val="009C5423"/>
    <w:rsid w:val="009C54F2"/>
    <w:rsid w:val="009C558A"/>
    <w:rsid w:val="009C5677"/>
    <w:rsid w:val="009C5BCF"/>
    <w:rsid w:val="009C5D4A"/>
    <w:rsid w:val="009C6043"/>
    <w:rsid w:val="009C60D3"/>
    <w:rsid w:val="009C615C"/>
    <w:rsid w:val="009C6276"/>
    <w:rsid w:val="009C679D"/>
    <w:rsid w:val="009C68E3"/>
    <w:rsid w:val="009C6944"/>
    <w:rsid w:val="009C6CC1"/>
    <w:rsid w:val="009C6D72"/>
    <w:rsid w:val="009C6F39"/>
    <w:rsid w:val="009C7024"/>
    <w:rsid w:val="009C71F6"/>
    <w:rsid w:val="009C765F"/>
    <w:rsid w:val="009C77BD"/>
    <w:rsid w:val="009C7FAC"/>
    <w:rsid w:val="009D023A"/>
    <w:rsid w:val="009D03C6"/>
    <w:rsid w:val="009D06BA"/>
    <w:rsid w:val="009D0927"/>
    <w:rsid w:val="009D0A19"/>
    <w:rsid w:val="009D0D0B"/>
    <w:rsid w:val="009D0EBB"/>
    <w:rsid w:val="009D1492"/>
    <w:rsid w:val="009D1733"/>
    <w:rsid w:val="009D177E"/>
    <w:rsid w:val="009D1A19"/>
    <w:rsid w:val="009D1AC1"/>
    <w:rsid w:val="009D1AC6"/>
    <w:rsid w:val="009D1D07"/>
    <w:rsid w:val="009D21A7"/>
    <w:rsid w:val="009D23FC"/>
    <w:rsid w:val="009D258F"/>
    <w:rsid w:val="009D2747"/>
    <w:rsid w:val="009D2B03"/>
    <w:rsid w:val="009D2E23"/>
    <w:rsid w:val="009D2E5E"/>
    <w:rsid w:val="009D32E6"/>
    <w:rsid w:val="009D362E"/>
    <w:rsid w:val="009D38C6"/>
    <w:rsid w:val="009D3A01"/>
    <w:rsid w:val="009D3A6F"/>
    <w:rsid w:val="009D3AD2"/>
    <w:rsid w:val="009D3CD2"/>
    <w:rsid w:val="009D3DF8"/>
    <w:rsid w:val="009D3FAD"/>
    <w:rsid w:val="009D4139"/>
    <w:rsid w:val="009D4416"/>
    <w:rsid w:val="009D44AF"/>
    <w:rsid w:val="009D4709"/>
    <w:rsid w:val="009D4CFA"/>
    <w:rsid w:val="009D4E2E"/>
    <w:rsid w:val="009D5060"/>
    <w:rsid w:val="009D5128"/>
    <w:rsid w:val="009D522A"/>
    <w:rsid w:val="009D534C"/>
    <w:rsid w:val="009D5925"/>
    <w:rsid w:val="009D5A69"/>
    <w:rsid w:val="009D5C79"/>
    <w:rsid w:val="009D5CE7"/>
    <w:rsid w:val="009D60E5"/>
    <w:rsid w:val="009D6173"/>
    <w:rsid w:val="009D61B3"/>
    <w:rsid w:val="009D6730"/>
    <w:rsid w:val="009D673F"/>
    <w:rsid w:val="009D67E8"/>
    <w:rsid w:val="009D6AD9"/>
    <w:rsid w:val="009D6EA9"/>
    <w:rsid w:val="009D71FA"/>
    <w:rsid w:val="009D75B4"/>
    <w:rsid w:val="009D76AF"/>
    <w:rsid w:val="009D7D39"/>
    <w:rsid w:val="009D7D60"/>
    <w:rsid w:val="009E0199"/>
    <w:rsid w:val="009E04CF"/>
    <w:rsid w:val="009E052E"/>
    <w:rsid w:val="009E07EE"/>
    <w:rsid w:val="009E0810"/>
    <w:rsid w:val="009E0827"/>
    <w:rsid w:val="009E096D"/>
    <w:rsid w:val="009E097B"/>
    <w:rsid w:val="009E0D85"/>
    <w:rsid w:val="009E0D97"/>
    <w:rsid w:val="009E11CD"/>
    <w:rsid w:val="009E162F"/>
    <w:rsid w:val="009E164A"/>
    <w:rsid w:val="009E17B0"/>
    <w:rsid w:val="009E1A8E"/>
    <w:rsid w:val="009E1D56"/>
    <w:rsid w:val="009E1E55"/>
    <w:rsid w:val="009E1ED7"/>
    <w:rsid w:val="009E1F96"/>
    <w:rsid w:val="009E2928"/>
    <w:rsid w:val="009E29F9"/>
    <w:rsid w:val="009E2AF7"/>
    <w:rsid w:val="009E2B21"/>
    <w:rsid w:val="009E2DDC"/>
    <w:rsid w:val="009E30B6"/>
    <w:rsid w:val="009E3344"/>
    <w:rsid w:val="009E358E"/>
    <w:rsid w:val="009E3A2F"/>
    <w:rsid w:val="009E3D80"/>
    <w:rsid w:val="009E3E1B"/>
    <w:rsid w:val="009E3F53"/>
    <w:rsid w:val="009E41BA"/>
    <w:rsid w:val="009E41D8"/>
    <w:rsid w:val="009E4424"/>
    <w:rsid w:val="009E4A72"/>
    <w:rsid w:val="009E4B63"/>
    <w:rsid w:val="009E4CBD"/>
    <w:rsid w:val="009E4D65"/>
    <w:rsid w:val="009E4F1C"/>
    <w:rsid w:val="009E508D"/>
    <w:rsid w:val="009E526D"/>
    <w:rsid w:val="009E52E3"/>
    <w:rsid w:val="009E55FE"/>
    <w:rsid w:val="009E5628"/>
    <w:rsid w:val="009E58B1"/>
    <w:rsid w:val="009E5A29"/>
    <w:rsid w:val="009E5FEA"/>
    <w:rsid w:val="009E6048"/>
    <w:rsid w:val="009E6070"/>
    <w:rsid w:val="009E616B"/>
    <w:rsid w:val="009E6283"/>
    <w:rsid w:val="009E6363"/>
    <w:rsid w:val="009E6611"/>
    <w:rsid w:val="009E6A2E"/>
    <w:rsid w:val="009E6C2E"/>
    <w:rsid w:val="009E6D18"/>
    <w:rsid w:val="009E6D5F"/>
    <w:rsid w:val="009E72ED"/>
    <w:rsid w:val="009E7496"/>
    <w:rsid w:val="009E7672"/>
    <w:rsid w:val="009E77C8"/>
    <w:rsid w:val="009E7A85"/>
    <w:rsid w:val="009E7AA6"/>
    <w:rsid w:val="009E7C80"/>
    <w:rsid w:val="009E7D7C"/>
    <w:rsid w:val="009F0617"/>
    <w:rsid w:val="009F0B7C"/>
    <w:rsid w:val="009F0C60"/>
    <w:rsid w:val="009F0D04"/>
    <w:rsid w:val="009F0DED"/>
    <w:rsid w:val="009F0F5B"/>
    <w:rsid w:val="009F116A"/>
    <w:rsid w:val="009F169D"/>
    <w:rsid w:val="009F1934"/>
    <w:rsid w:val="009F1C88"/>
    <w:rsid w:val="009F1CB0"/>
    <w:rsid w:val="009F263B"/>
    <w:rsid w:val="009F2870"/>
    <w:rsid w:val="009F290D"/>
    <w:rsid w:val="009F2FB0"/>
    <w:rsid w:val="009F3003"/>
    <w:rsid w:val="009F336E"/>
    <w:rsid w:val="009F36B0"/>
    <w:rsid w:val="009F40E1"/>
    <w:rsid w:val="009F4522"/>
    <w:rsid w:val="009F45A4"/>
    <w:rsid w:val="009F4638"/>
    <w:rsid w:val="009F4752"/>
    <w:rsid w:val="009F4B17"/>
    <w:rsid w:val="009F5688"/>
    <w:rsid w:val="009F5C43"/>
    <w:rsid w:val="009F5DE0"/>
    <w:rsid w:val="009F6032"/>
    <w:rsid w:val="009F6281"/>
    <w:rsid w:val="009F644C"/>
    <w:rsid w:val="009F6537"/>
    <w:rsid w:val="009F657B"/>
    <w:rsid w:val="009F6584"/>
    <w:rsid w:val="009F6626"/>
    <w:rsid w:val="009F68E8"/>
    <w:rsid w:val="009F6A63"/>
    <w:rsid w:val="009F6C09"/>
    <w:rsid w:val="009F6C37"/>
    <w:rsid w:val="009F709C"/>
    <w:rsid w:val="009F7275"/>
    <w:rsid w:val="009F75DC"/>
    <w:rsid w:val="009F7667"/>
    <w:rsid w:val="009F76F2"/>
    <w:rsid w:val="009F78BE"/>
    <w:rsid w:val="009F7927"/>
    <w:rsid w:val="009F7A6F"/>
    <w:rsid w:val="009F7FE0"/>
    <w:rsid w:val="009F7FE5"/>
    <w:rsid w:val="00A00327"/>
    <w:rsid w:val="00A006BF"/>
    <w:rsid w:val="00A00753"/>
    <w:rsid w:val="00A008F8"/>
    <w:rsid w:val="00A0098C"/>
    <w:rsid w:val="00A00C87"/>
    <w:rsid w:val="00A00CCC"/>
    <w:rsid w:val="00A00EFD"/>
    <w:rsid w:val="00A01444"/>
    <w:rsid w:val="00A01877"/>
    <w:rsid w:val="00A019E3"/>
    <w:rsid w:val="00A01DCA"/>
    <w:rsid w:val="00A01DCC"/>
    <w:rsid w:val="00A021A7"/>
    <w:rsid w:val="00A025E4"/>
    <w:rsid w:val="00A0269A"/>
    <w:rsid w:val="00A02933"/>
    <w:rsid w:val="00A029B7"/>
    <w:rsid w:val="00A030D8"/>
    <w:rsid w:val="00A0332D"/>
    <w:rsid w:val="00A036F8"/>
    <w:rsid w:val="00A0399F"/>
    <w:rsid w:val="00A04381"/>
    <w:rsid w:val="00A04424"/>
    <w:rsid w:val="00A04543"/>
    <w:rsid w:val="00A04722"/>
    <w:rsid w:val="00A0489E"/>
    <w:rsid w:val="00A04A26"/>
    <w:rsid w:val="00A04B15"/>
    <w:rsid w:val="00A04DBF"/>
    <w:rsid w:val="00A04DEA"/>
    <w:rsid w:val="00A04FB8"/>
    <w:rsid w:val="00A05429"/>
    <w:rsid w:val="00A054BC"/>
    <w:rsid w:val="00A0580F"/>
    <w:rsid w:val="00A05A7C"/>
    <w:rsid w:val="00A05C69"/>
    <w:rsid w:val="00A06075"/>
    <w:rsid w:val="00A061DD"/>
    <w:rsid w:val="00A0626B"/>
    <w:rsid w:val="00A0641B"/>
    <w:rsid w:val="00A06424"/>
    <w:rsid w:val="00A0656F"/>
    <w:rsid w:val="00A065DD"/>
    <w:rsid w:val="00A0670A"/>
    <w:rsid w:val="00A06E2E"/>
    <w:rsid w:val="00A0706A"/>
    <w:rsid w:val="00A0737C"/>
    <w:rsid w:val="00A075CD"/>
    <w:rsid w:val="00A075FD"/>
    <w:rsid w:val="00A076D3"/>
    <w:rsid w:val="00A07711"/>
    <w:rsid w:val="00A0798D"/>
    <w:rsid w:val="00A07BB8"/>
    <w:rsid w:val="00A07BCC"/>
    <w:rsid w:val="00A07CAD"/>
    <w:rsid w:val="00A07F62"/>
    <w:rsid w:val="00A10471"/>
    <w:rsid w:val="00A1075D"/>
    <w:rsid w:val="00A108D2"/>
    <w:rsid w:val="00A1093E"/>
    <w:rsid w:val="00A10BFF"/>
    <w:rsid w:val="00A10DC5"/>
    <w:rsid w:val="00A11239"/>
    <w:rsid w:val="00A1149E"/>
    <w:rsid w:val="00A11599"/>
    <w:rsid w:val="00A11A24"/>
    <w:rsid w:val="00A11CBA"/>
    <w:rsid w:val="00A11E46"/>
    <w:rsid w:val="00A1228F"/>
    <w:rsid w:val="00A125E1"/>
    <w:rsid w:val="00A126B2"/>
    <w:rsid w:val="00A1288A"/>
    <w:rsid w:val="00A128F4"/>
    <w:rsid w:val="00A129B3"/>
    <w:rsid w:val="00A12A12"/>
    <w:rsid w:val="00A12AA7"/>
    <w:rsid w:val="00A12DBC"/>
    <w:rsid w:val="00A13233"/>
    <w:rsid w:val="00A134DE"/>
    <w:rsid w:val="00A138FA"/>
    <w:rsid w:val="00A1390E"/>
    <w:rsid w:val="00A13A62"/>
    <w:rsid w:val="00A13C34"/>
    <w:rsid w:val="00A13CA8"/>
    <w:rsid w:val="00A13CCF"/>
    <w:rsid w:val="00A13D44"/>
    <w:rsid w:val="00A140F1"/>
    <w:rsid w:val="00A1419A"/>
    <w:rsid w:val="00A141B2"/>
    <w:rsid w:val="00A1452B"/>
    <w:rsid w:val="00A147C0"/>
    <w:rsid w:val="00A14949"/>
    <w:rsid w:val="00A14A57"/>
    <w:rsid w:val="00A14CF2"/>
    <w:rsid w:val="00A14D4D"/>
    <w:rsid w:val="00A14F93"/>
    <w:rsid w:val="00A14FBC"/>
    <w:rsid w:val="00A15209"/>
    <w:rsid w:val="00A1531B"/>
    <w:rsid w:val="00A15330"/>
    <w:rsid w:val="00A15411"/>
    <w:rsid w:val="00A1588C"/>
    <w:rsid w:val="00A158CD"/>
    <w:rsid w:val="00A15A00"/>
    <w:rsid w:val="00A15CCC"/>
    <w:rsid w:val="00A1615B"/>
    <w:rsid w:val="00A16497"/>
    <w:rsid w:val="00A164D0"/>
    <w:rsid w:val="00A164D9"/>
    <w:rsid w:val="00A164F1"/>
    <w:rsid w:val="00A16648"/>
    <w:rsid w:val="00A166FE"/>
    <w:rsid w:val="00A16BF9"/>
    <w:rsid w:val="00A16C42"/>
    <w:rsid w:val="00A171EA"/>
    <w:rsid w:val="00A1747C"/>
    <w:rsid w:val="00A179A8"/>
    <w:rsid w:val="00A17E47"/>
    <w:rsid w:val="00A17FD5"/>
    <w:rsid w:val="00A200D0"/>
    <w:rsid w:val="00A20114"/>
    <w:rsid w:val="00A20268"/>
    <w:rsid w:val="00A2070A"/>
    <w:rsid w:val="00A20829"/>
    <w:rsid w:val="00A20D59"/>
    <w:rsid w:val="00A20E2E"/>
    <w:rsid w:val="00A21348"/>
    <w:rsid w:val="00A215CD"/>
    <w:rsid w:val="00A21976"/>
    <w:rsid w:val="00A21A89"/>
    <w:rsid w:val="00A21E2B"/>
    <w:rsid w:val="00A223CE"/>
    <w:rsid w:val="00A22746"/>
    <w:rsid w:val="00A227F3"/>
    <w:rsid w:val="00A22B73"/>
    <w:rsid w:val="00A22B9F"/>
    <w:rsid w:val="00A22C2F"/>
    <w:rsid w:val="00A22F3C"/>
    <w:rsid w:val="00A2335E"/>
    <w:rsid w:val="00A2374A"/>
    <w:rsid w:val="00A23A47"/>
    <w:rsid w:val="00A23A51"/>
    <w:rsid w:val="00A23CF7"/>
    <w:rsid w:val="00A23E4C"/>
    <w:rsid w:val="00A23F5E"/>
    <w:rsid w:val="00A24117"/>
    <w:rsid w:val="00A243B5"/>
    <w:rsid w:val="00A243F2"/>
    <w:rsid w:val="00A248A4"/>
    <w:rsid w:val="00A24A52"/>
    <w:rsid w:val="00A24C9B"/>
    <w:rsid w:val="00A24E3B"/>
    <w:rsid w:val="00A24EDA"/>
    <w:rsid w:val="00A24F6C"/>
    <w:rsid w:val="00A253CF"/>
    <w:rsid w:val="00A25823"/>
    <w:rsid w:val="00A25A8A"/>
    <w:rsid w:val="00A25F45"/>
    <w:rsid w:val="00A2621D"/>
    <w:rsid w:val="00A262BC"/>
    <w:rsid w:val="00A2648F"/>
    <w:rsid w:val="00A26509"/>
    <w:rsid w:val="00A265EA"/>
    <w:rsid w:val="00A2672C"/>
    <w:rsid w:val="00A267D1"/>
    <w:rsid w:val="00A267EE"/>
    <w:rsid w:val="00A26B73"/>
    <w:rsid w:val="00A26BBB"/>
    <w:rsid w:val="00A27096"/>
    <w:rsid w:val="00A276F1"/>
    <w:rsid w:val="00A27955"/>
    <w:rsid w:val="00A27DB7"/>
    <w:rsid w:val="00A301AA"/>
    <w:rsid w:val="00A3048F"/>
    <w:rsid w:val="00A30582"/>
    <w:rsid w:val="00A305D2"/>
    <w:rsid w:val="00A30622"/>
    <w:rsid w:val="00A3077D"/>
    <w:rsid w:val="00A31019"/>
    <w:rsid w:val="00A3109D"/>
    <w:rsid w:val="00A3114C"/>
    <w:rsid w:val="00A315C4"/>
    <w:rsid w:val="00A31718"/>
    <w:rsid w:val="00A3177E"/>
    <w:rsid w:val="00A319FC"/>
    <w:rsid w:val="00A31EEC"/>
    <w:rsid w:val="00A322A2"/>
    <w:rsid w:val="00A3241F"/>
    <w:rsid w:val="00A3270C"/>
    <w:rsid w:val="00A327A1"/>
    <w:rsid w:val="00A328B6"/>
    <w:rsid w:val="00A32CB2"/>
    <w:rsid w:val="00A32D0D"/>
    <w:rsid w:val="00A32DF7"/>
    <w:rsid w:val="00A32F08"/>
    <w:rsid w:val="00A33235"/>
    <w:rsid w:val="00A33312"/>
    <w:rsid w:val="00A33368"/>
    <w:rsid w:val="00A33382"/>
    <w:rsid w:val="00A33982"/>
    <w:rsid w:val="00A33A13"/>
    <w:rsid w:val="00A33A2F"/>
    <w:rsid w:val="00A33F5E"/>
    <w:rsid w:val="00A341F3"/>
    <w:rsid w:val="00A34248"/>
    <w:rsid w:val="00A343FF"/>
    <w:rsid w:val="00A34639"/>
    <w:rsid w:val="00A34715"/>
    <w:rsid w:val="00A347A7"/>
    <w:rsid w:val="00A34AE8"/>
    <w:rsid w:val="00A34D15"/>
    <w:rsid w:val="00A34EFA"/>
    <w:rsid w:val="00A34F81"/>
    <w:rsid w:val="00A350CB"/>
    <w:rsid w:val="00A354ED"/>
    <w:rsid w:val="00A355A4"/>
    <w:rsid w:val="00A355E8"/>
    <w:rsid w:val="00A359E8"/>
    <w:rsid w:val="00A35B65"/>
    <w:rsid w:val="00A35C50"/>
    <w:rsid w:val="00A35C55"/>
    <w:rsid w:val="00A35D95"/>
    <w:rsid w:val="00A36151"/>
    <w:rsid w:val="00A361E3"/>
    <w:rsid w:val="00A361FC"/>
    <w:rsid w:val="00A36784"/>
    <w:rsid w:val="00A369BD"/>
    <w:rsid w:val="00A369C9"/>
    <w:rsid w:val="00A36C9D"/>
    <w:rsid w:val="00A36E5E"/>
    <w:rsid w:val="00A36F8B"/>
    <w:rsid w:val="00A3706C"/>
    <w:rsid w:val="00A370EA"/>
    <w:rsid w:val="00A371EA"/>
    <w:rsid w:val="00A37642"/>
    <w:rsid w:val="00A379D8"/>
    <w:rsid w:val="00A37A80"/>
    <w:rsid w:val="00A37AB0"/>
    <w:rsid w:val="00A37B6D"/>
    <w:rsid w:val="00A37DED"/>
    <w:rsid w:val="00A4005E"/>
    <w:rsid w:val="00A40069"/>
    <w:rsid w:val="00A402A8"/>
    <w:rsid w:val="00A4031D"/>
    <w:rsid w:val="00A404AE"/>
    <w:rsid w:val="00A4058F"/>
    <w:rsid w:val="00A40759"/>
    <w:rsid w:val="00A40BBD"/>
    <w:rsid w:val="00A40CE2"/>
    <w:rsid w:val="00A40E6A"/>
    <w:rsid w:val="00A4102C"/>
    <w:rsid w:val="00A410C0"/>
    <w:rsid w:val="00A41222"/>
    <w:rsid w:val="00A41477"/>
    <w:rsid w:val="00A416B9"/>
    <w:rsid w:val="00A41758"/>
    <w:rsid w:val="00A41B60"/>
    <w:rsid w:val="00A41E72"/>
    <w:rsid w:val="00A41F23"/>
    <w:rsid w:val="00A41F66"/>
    <w:rsid w:val="00A420F8"/>
    <w:rsid w:val="00A42198"/>
    <w:rsid w:val="00A42969"/>
    <w:rsid w:val="00A42A88"/>
    <w:rsid w:val="00A42BC4"/>
    <w:rsid w:val="00A42BD2"/>
    <w:rsid w:val="00A42C7C"/>
    <w:rsid w:val="00A42D2D"/>
    <w:rsid w:val="00A430B4"/>
    <w:rsid w:val="00A43211"/>
    <w:rsid w:val="00A43471"/>
    <w:rsid w:val="00A43832"/>
    <w:rsid w:val="00A43BD4"/>
    <w:rsid w:val="00A440B5"/>
    <w:rsid w:val="00A441F1"/>
    <w:rsid w:val="00A44239"/>
    <w:rsid w:val="00A4427D"/>
    <w:rsid w:val="00A44626"/>
    <w:rsid w:val="00A44882"/>
    <w:rsid w:val="00A44F13"/>
    <w:rsid w:val="00A45397"/>
    <w:rsid w:val="00A45C90"/>
    <w:rsid w:val="00A45D50"/>
    <w:rsid w:val="00A45E0D"/>
    <w:rsid w:val="00A462C6"/>
    <w:rsid w:val="00A462FA"/>
    <w:rsid w:val="00A4634D"/>
    <w:rsid w:val="00A46433"/>
    <w:rsid w:val="00A464AF"/>
    <w:rsid w:val="00A465DB"/>
    <w:rsid w:val="00A47303"/>
    <w:rsid w:val="00A47329"/>
    <w:rsid w:val="00A47413"/>
    <w:rsid w:val="00A47533"/>
    <w:rsid w:val="00A47752"/>
    <w:rsid w:val="00A47B75"/>
    <w:rsid w:val="00A47E01"/>
    <w:rsid w:val="00A502A2"/>
    <w:rsid w:val="00A502B1"/>
    <w:rsid w:val="00A50380"/>
    <w:rsid w:val="00A5102D"/>
    <w:rsid w:val="00A51438"/>
    <w:rsid w:val="00A51B12"/>
    <w:rsid w:val="00A51FE0"/>
    <w:rsid w:val="00A5233B"/>
    <w:rsid w:val="00A5241A"/>
    <w:rsid w:val="00A52624"/>
    <w:rsid w:val="00A528E1"/>
    <w:rsid w:val="00A528F7"/>
    <w:rsid w:val="00A52954"/>
    <w:rsid w:val="00A52C68"/>
    <w:rsid w:val="00A5333E"/>
    <w:rsid w:val="00A5398A"/>
    <w:rsid w:val="00A53AA8"/>
    <w:rsid w:val="00A53FEA"/>
    <w:rsid w:val="00A548D6"/>
    <w:rsid w:val="00A549FF"/>
    <w:rsid w:val="00A54A27"/>
    <w:rsid w:val="00A54CC4"/>
    <w:rsid w:val="00A54D2B"/>
    <w:rsid w:val="00A54D3D"/>
    <w:rsid w:val="00A54D90"/>
    <w:rsid w:val="00A55046"/>
    <w:rsid w:val="00A55389"/>
    <w:rsid w:val="00A55960"/>
    <w:rsid w:val="00A55FCC"/>
    <w:rsid w:val="00A55FF7"/>
    <w:rsid w:val="00A56199"/>
    <w:rsid w:val="00A564C2"/>
    <w:rsid w:val="00A56A67"/>
    <w:rsid w:val="00A56AA9"/>
    <w:rsid w:val="00A56D86"/>
    <w:rsid w:val="00A56E72"/>
    <w:rsid w:val="00A56F09"/>
    <w:rsid w:val="00A57099"/>
    <w:rsid w:val="00A570EB"/>
    <w:rsid w:val="00A5715A"/>
    <w:rsid w:val="00A5728F"/>
    <w:rsid w:val="00A572AF"/>
    <w:rsid w:val="00A573E6"/>
    <w:rsid w:val="00A57577"/>
    <w:rsid w:val="00A57740"/>
    <w:rsid w:val="00A579BA"/>
    <w:rsid w:val="00A57DC1"/>
    <w:rsid w:val="00A57E9A"/>
    <w:rsid w:val="00A602D1"/>
    <w:rsid w:val="00A602E5"/>
    <w:rsid w:val="00A605CA"/>
    <w:rsid w:val="00A605FA"/>
    <w:rsid w:val="00A608F1"/>
    <w:rsid w:val="00A60CDA"/>
    <w:rsid w:val="00A60F0A"/>
    <w:rsid w:val="00A61307"/>
    <w:rsid w:val="00A61581"/>
    <w:rsid w:val="00A615AE"/>
    <w:rsid w:val="00A61717"/>
    <w:rsid w:val="00A61918"/>
    <w:rsid w:val="00A61946"/>
    <w:rsid w:val="00A619E9"/>
    <w:rsid w:val="00A61A64"/>
    <w:rsid w:val="00A61DEE"/>
    <w:rsid w:val="00A61EAA"/>
    <w:rsid w:val="00A62240"/>
    <w:rsid w:val="00A6279C"/>
    <w:rsid w:val="00A62880"/>
    <w:rsid w:val="00A62A81"/>
    <w:rsid w:val="00A63032"/>
    <w:rsid w:val="00A632A2"/>
    <w:rsid w:val="00A63501"/>
    <w:rsid w:val="00A6357C"/>
    <w:rsid w:val="00A63996"/>
    <w:rsid w:val="00A63A34"/>
    <w:rsid w:val="00A63B1A"/>
    <w:rsid w:val="00A63BDB"/>
    <w:rsid w:val="00A63C0A"/>
    <w:rsid w:val="00A63CAF"/>
    <w:rsid w:val="00A63E0A"/>
    <w:rsid w:val="00A6411C"/>
    <w:rsid w:val="00A64300"/>
    <w:rsid w:val="00A64362"/>
    <w:rsid w:val="00A64721"/>
    <w:rsid w:val="00A649D5"/>
    <w:rsid w:val="00A64FE9"/>
    <w:rsid w:val="00A651CD"/>
    <w:rsid w:val="00A65262"/>
    <w:rsid w:val="00A65299"/>
    <w:rsid w:val="00A652AC"/>
    <w:rsid w:val="00A65640"/>
    <w:rsid w:val="00A656C3"/>
    <w:rsid w:val="00A65719"/>
    <w:rsid w:val="00A657FB"/>
    <w:rsid w:val="00A658BE"/>
    <w:rsid w:val="00A65AC7"/>
    <w:rsid w:val="00A65B6B"/>
    <w:rsid w:val="00A65EFB"/>
    <w:rsid w:val="00A66113"/>
    <w:rsid w:val="00A6613D"/>
    <w:rsid w:val="00A66424"/>
    <w:rsid w:val="00A665DA"/>
    <w:rsid w:val="00A66790"/>
    <w:rsid w:val="00A6694E"/>
    <w:rsid w:val="00A66B1C"/>
    <w:rsid w:val="00A66B58"/>
    <w:rsid w:val="00A66B99"/>
    <w:rsid w:val="00A66C03"/>
    <w:rsid w:val="00A66E45"/>
    <w:rsid w:val="00A66EC3"/>
    <w:rsid w:val="00A66EF9"/>
    <w:rsid w:val="00A67244"/>
    <w:rsid w:val="00A67373"/>
    <w:rsid w:val="00A673E0"/>
    <w:rsid w:val="00A6745F"/>
    <w:rsid w:val="00A6747A"/>
    <w:rsid w:val="00A676B4"/>
    <w:rsid w:val="00A6770A"/>
    <w:rsid w:val="00A67891"/>
    <w:rsid w:val="00A67B40"/>
    <w:rsid w:val="00A67F24"/>
    <w:rsid w:val="00A67F86"/>
    <w:rsid w:val="00A700CE"/>
    <w:rsid w:val="00A70292"/>
    <w:rsid w:val="00A706A2"/>
    <w:rsid w:val="00A7078C"/>
    <w:rsid w:val="00A70A6B"/>
    <w:rsid w:val="00A70A8E"/>
    <w:rsid w:val="00A70FB8"/>
    <w:rsid w:val="00A7145B"/>
    <w:rsid w:val="00A715C6"/>
    <w:rsid w:val="00A717D7"/>
    <w:rsid w:val="00A71855"/>
    <w:rsid w:val="00A71990"/>
    <w:rsid w:val="00A71B31"/>
    <w:rsid w:val="00A71C82"/>
    <w:rsid w:val="00A7233F"/>
    <w:rsid w:val="00A725C3"/>
    <w:rsid w:val="00A72701"/>
    <w:rsid w:val="00A72AC2"/>
    <w:rsid w:val="00A72F36"/>
    <w:rsid w:val="00A73127"/>
    <w:rsid w:val="00A7337A"/>
    <w:rsid w:val="00A733EE"/>
    <w:rsid w:val="00A73891"/>
    <w:rsid w:val="00A739EE"/>
    <w:rsid w:val="00A73D42"/>
    <w:rsid w:val="00A73F95"/>
    <w:rsid w:val="00A73FD3"/>
    <w:rsid w:val="00A74185"/>
    <w:rsid w:val="00A745FF"/>
    <w:rsid w:val="00A7462B"/>
    <w:rsid w:val="00A7465B"/>
    <w:rsid w:val="00A7495E"/>
    <w:rsid w:val="00A74B1A"/>
    <w:rsid w:val="00A74D96"/>
    <w:rsid w:val="00A74E7F"/>
    <w:rsid w:val="00A74F09"/>
    <w:rsid w:val="00A74FE0"/>
    <w:rsid w:val="00A74FE6"/>
    <w:rsid w:val="00A751B3"/>
    <w:rsid w:val="00A7553C"/>
    <w:rsid w:val="00A75547"/>
    <w:rsid w:val="00A7574D"/>
    <w:rsid w:val="00A757BC"/>
    <w:rsid w:val="00A758AE"/>
    <w:rsid w:val="00A75E69"/>
    <w:rsid w:val="00A75EFA"/>
    <w:rsid w:val="00A75F35"/>
    <w:rsid w:val="00A76472"/>
    <w:rsid w:val="00A7688E"/>
    <w:rsid w:val="00A769BB"/>
    <w:rsid w:val="00A76DCE"/>
    <w:rsid w:val="00A76EF7"/>
    <w:rsid w:val="00A76F36"/>
    <w:rsid w:val="00A76F59"/>
    <w:rsid w:val="00A771E0"/>
    <w:rsid w:val="00A7750A"/>
    <w:rsid w:val="00A77841"/>
    <w:rsid w:val="00A778AD"/>
    <w:rsid w:val="00A77CBF"/>
    <w:rsid w:val="00A77F21"/>
    <w:rsid w:val="00A80050"/>
    <w:rsid w:val="00A800F7"/>
    <w:rsid w:val="00A8058B"/>
    <w:rsid w:val="00A80692"/>
    <w:rsid w:val="00A80776"/>
    <w:rsid w:val="00A80CBE"/>
    <w:rsid w:val="00A80CD2"/>
    <w:rsid w:val="00A80EA1"/>
    <w:rsid w:val="00A80EB7"/>
    <w:rsid w:val="00A80F1A"/>
    <w:rsid w:val="00A81374"/>
    <w:rsid w:val="00A8152E"/>
    <w:rsid w:val="00A815F4"/>
    <w:rsid w:val="00A81F51"/>
    <w:rsid w:val="00A8200F"/>
    <w:rsid w:val="00A82505"/>
    <w:rsid w:val="00A82637"/>
    <w:rsid w:val="00A8282F"/>
    <w:rsid w:val="00A82A56"/>
    <w:rsid w:val="00A83229"/>
    <w:rsid w:val="00A834DD"/>
    <w:rsid w:val="00A83521"/>
    <w:rsid w:val="00A83870"/>
    <w:rsid w:val="00A83C21"/>
    <w:rsid w:val="00A83F0A"/>
    <w:rsid w:val="00A8401E"/>
    <w:rsid w:val="00A841D0"/>
    <w:rsid w:val="00A843C6"/>
    <w:rsid w:val="00A84449"/>
    <w:rsid w:val="00A846EF"/>
    <w:rsid w:val="00A84BBC"/>
    <w:rsid w:val="00A84C1D"/>
    <w:rsid w:val="00A84C2B"/>
    <w:rsid w:val="00A84D8D"/>
    <w:rsid w:val="00A85005"/>
    <w:rsid w:val="00A85028"/>
    <w:rsid w:val="00A8511D"/>
    <w:rsid w:val="00A852D9"/>
    <w:rsid w:val="00A8549E"/>
    <w:rsid w:val="00A854FD"/>
    <w:rsid w:val="00A855E8"/>
    <w:rsid w:val="00A856C7"/>
    <w:rsid w:val="00A8574D"/>
    <w:rsid w:val="00A86401"/>
    <w:rsid w:val="00A864BC"/>
    <w:rsid w:val="00A866EA"/>
    <w:rsid w:val="00A86790"/>
    <w:rsid w:val="00A86F03"/>
    <w:rsid w:val="00A87212"/>
    <w:rsid w:val="00A87355"/>
    <w:rsid w:val="00A874EE"/>
    <w:rsid w:val="00A87810"/>
    <w:rsid w:val="00A879EE"/>
    <w:rsid w:val="00A87B45"/>
    <w:rsid w:val="00A87DAD"/>
    <w:rsid w:val="00A87E0D"/>
    <w:rsid w:val="00A87F3B"/>
    <w:rsid w:val="00A87F76"/>
    <w:rsid w:val="00A9006C"/>
    <w:rsid w:val="00A90145"/>
    <w:rsid w:val="00A902C8"/>
    <w:rsid w:val="00A9042C"/>
    <w:rsid w:val="00A9043B"/>
    <w:rsid w:val="00A904AD"/>
    <w:rsid w:val="00A90D2D"/>
    <w:rsid w:val="00A90F38"/>
    <w:rsid w:val="00A910A0"/>
    <w:rsid w:val="00A9112D"/>
    <w:rsid w:val="00A9141D"/>
    <w:rsid w:val="00A914E8"/>
    <w:rsid w:val="00A91723"/>
    <w:rsid w:val="00A91773"/>
    <w:rsid w:val="00A91878"/>
    <w:rsid w:val="00A9193E"/>
    <w:rsid w:val="00A91B66"/>
    <w:rsid w:val="00A92047"/>
    <w:rsid w:val="00A9205A"/>
    <w:rsid w:val="00A920AA"/>
    <w:rsid w:val="00A9251A"/>
    <w:rsid w:val="00A927C6"/>
    <w:rsid w:val="00A9328D"/>
    <w:rsid w:val="00A932AD"/>
    <w:rsid w:val="00A93569"/>
    <w:rsid w:val="00A93B87"/>
    <w:rsid w:val="00A93E5C"/>
    <w:rsid w:val="00A940BE"/>
    <w:rsid w:val="00A9419C"/>
    <w:rsid w:val="00A94374"/>
    <w:rsid w:val="00A9488E"/>
    <w:rsid w:val="00A949F3"/>
    <w:rsid w:val="00A94ABB"/>
    <w:rsid w:val="00A94AC6"/>
    <w:rsid w:val="00A94DD8"/>
    <w:rsid w:val="00A94E5E"/>
    <w:rsid w:val="00A94E7E"/>
    <w:rsid w:val="00A94FA5"/>
    <w:rsid w:val="00A9531C"/>
    <w:rsid w:val="00A957BB"/>
    <w:rsid w:val="00A95937"/>
    <w:rsid w:val="00A95C29"/>
    <w:rsid w:val="00A95E31"/>
    <w:rsid w:val="00A95F31"/>
    <w:rsid w:val="00A96097"/>
    <w:rsid w:val="00A9614D"/>
    <w:rsid w:val="00A9616E"/>
    <w:rsid w:val="00A961ED"/>
    <w:rsid w:val="00A963C6"/>
    <w:rsid w:val="00A966BA"/>
    <w:rsid w:val="00A96846"/>
    <w:rsid w:val="00A96C3E"/>
    <w:rsid w:val="00A96F5B"/>
    <w:rsid w:val="00A96F99"/>
    <w:rsid w:val="00A975BF"/>
    <w:rsid w:val="00A97645"/>
    <w:rsid w:val="00A9774C"/>
    <w:rsid w:val="00A978E5"/>
    <w:rsid w:val="00A97B2B"/>
    <w:rsid w:val="00A97B66"/>
    <w:rsid w:val="00A97C95"/>
    <w:rsid w:val="00A97D5A"/>
    <w:rsid w:val="00A97FB5"/>
    <w:rsid w:val="00AA0182"/>
    <w:rsid w:val="00AA031A"/>
    <w:rsid w:val="00AA04D5"/>
    <w:rsid w:val="00AA055F"/>
    <w:rsid w:val="00AA05E2"/>
    <w:rsid w:val="00AA0A32"/>
    <w:rsid w:val="00AA0CA1"/>
    <w:rsid w:val="00AA0CE9"/>
    <w:rsid w:val="00AA0E14"/>
    <w:rsid w:val="00AA0F97"/>
    <w:rsid w:val="00AA118B"/>
    <w:rsid w:val="00AA11AD"/>
    <w:rsid w:val="00AA1649"/>
    <w:rsid w:val="00AA16CD"/>
    <w:rsid w:val="00AA1AE1"/>
    <w:rsid w:val="00AA1B18"/>
    <w:rsid w:val="00AA1B7B"/>
    <w:rsid w:val="00AA1DCF"/>
    <w:rsid w:val="00AA2175"/>
    <w:rsid w:val="00AA2550"/>
    <w:rsid w:val="00AA256C"/>
    <w:rsid w:val="00AA28BF"/>
    <w:rsid w:val="00AA2A80"/>
    <w:rsid w:val="00AA2DD6"/>
    <w:rsid w:val="00AA349A"/>
    <w:rsid w:val="00AA3552"/>
    <w:rsid w:val="00AA364B"/>
    <w:rsid w:val="00AA388B"/>
    <w:rsid w:val="00AA38E3"/>
    <w:rsid w:val="00AA39CD"/>
    <w:rsid w:val="00AA3DB4"/>
    <w:rsid w:val="00AA3FA6"/>
    <w:rsid w:val="00AA40B3"/>
    <w:rsid w:val="00AA4715"/>
    <w:rsid w:val="00AA47F5"/>
    <w:rsid w:val="00AA48EC"/>
    <w:rsid w:val="00AA4BA2"/>
    <w:rsid w:val="00AA4D91"/>
    <w:rsid w:val="00AA5003"/>
    <w:rsid w:val="00AA551D"/>
    <w:rsid w:val="00AA5616"/>
    <w:rsid w:val="00AA5771"/>
    <w:rsid w:val="00AA57C5"/>
    <w:rsid w:val="00AA5A0F"/>
    <w:rsid w:val="00AA5AE7"/>
    <w:rsid w:val="00AA5DD6"/>
    <w:rsid w:val="00AA5E5E"/>
    <w:rsid w:val="00AA5F09"/>
    <w:rsid w:val="00AA5F46"/>
    <w:rsid w:val="00AA5F8C"/>
    <w:rsid w:val="00AA61BD"/>
    <w:rsid w:val="00AA63F7"/>
    <w:rsid w:val="00AA66FF"/>
    <w:rsid w:val="00AA68A3"/>
    <w:rsid w:val="00AA6B2F"/>
    <w:rsid w:val="00AA6C3F"/>
    <w:rsid w:val="00AA6E1B"/>
    <w:rsid w:val="00AA6E52"/>
    <w:rsid w:val="00AA6F15"/>
    <w:rsid w:val="00AA6F4E"/>
    <w:rsid w:val="00AA7720"/>
    <w:rsid w:val="00AA77AA"/>
    <w:rsid w:val="00AA7AFD"/>
    <w:rsid w:val="00AA7F95"/>
    <w:rsid w:val="00AB0072"/>
    <w:rsid w:val="00AB033B"/>
    <w:rsid w:val="00AB0584"/>
    <w:rsid w:val="00AB13F3"/>
    <w:rsid w:val="00AB1874"/>
    <w:rsid w:val="00AB1D63"/>
    <w:rsid w:val="00AB1D85"/>
    <w:rsid w:val="00AB2550"/>
    <w:rsid w:val="00AB26D4"/>
    <w:rsid w:val="00AB28FD"/>
    <w:rsid w:val="00AB296E"/>
    <w:rsid w:val="00AB2DF7"/>
    <w:rsid w:val="00AB3299"/>
    <w:rsid w:val="00AB3893"/>
    <w:rsid w:val="00AB3FC9"/>
    <w:rsid w:val="00AB4304"/>
    <w:rsid w:val="00AB434E"/>
    <w:rsid w:val="00AB44DE"/>
    <w:rsid w:val="00AB45A7"/>
    <w:rsid w:val="00AB49C2"/>
    <w:rsid w:val="00AB4B0E"/>
    <w:rsid w:val="00AB4CAC"/>
    <w:rsid w:val="00AB4FCF"/>
    <w:rsid w:val="00AB5379"/>
    <w:rsid w:val="00AB53D7"/>
    <w:rsid w:val="00AB5418"/>
    <w:rsid w:val="00AB559E"/>
    <w:rsid w:val="00AB5A66"/>
    <w:rsid w:val="00AB5CB1"/>
    <w:rsid w:val="00AB5DD5"/>
    <w:rsid w:val="00AB6299"/>
    <w:rsid w:val="00AB6436"/>
    <w:rsid w:val="00AB6519"/>
    <w:rsid w:val="00AB65AA"/>
    <w:rsid w:val="00AB66AF"/>
    <w:rsid w:val="00AB67B5"/>
    <w:rsid w:val="00AB6B39"/>
    <w:rsid w:val="00AB6E38"/>
    <w:rsid w:val="00AB7409"/>
    <w:rsid w:val="00AB76BB"/>
    <w:rsid w:val="00AB7969"/>
    <w:rsid w:val="00AB7BB7"/>
    <w:rsid w:val="00AB7CEF"/>
    <w:rsid w:val="00AC0089"/>
    <w:rsid w:val="00AC0308"/>
    <w:rsid w:val="00AC05E2"/>
    <w:rsid w:val="00AC09AB"/>
    <w:rsid w:val="00AC0EAC"/>
    <w:rsid w:val="00AC12C3"/>
    <w:rsid w:val="00AC14FC"/>
    <w:rsid w:val="00AC1719"/>
    <w:rsid w:val="00AC19BF"/>
    <w:rsid w:val="00AC1B6E"/>
    <w:rsid w:val="00AC1EFD"/>
    <w:rsid w:val="00AC23BA"/>
    <w:rsid w:val="00AC24C3"/>
    <w:rsid w:val="00AC2582"/>
    <w:rsid w:val="00AC2770"/>
    <w:rsid w:val="00AC28E0"/>
    <w:rsid w:val="00AC2A35"/>
    <w:rsid w:val="00AC2B1E"/>
    <w:rsid w:val="00AC2B28"/>
    <w:rsid w:val="00AC2BAB"/>
    <w:rsid w:val="00AC2DEC"/>
    <w:rsid w:val="00AC2E10"/>
    <w:rsid w:val="00AC3C4D"/>
    <w:rsid w:val="00AC3CE6"/>
    <w:rsid w:val="00AC3D99"/>
    <w:rsid w:val="00AC3F4B"/>
    <w:rsid w:val="00AC3FF5"/>
    <w:rsid w:val="00AC404E"/>
    <w:rsid w:val="00AC40A1"/>
    <w:rsid w:val="00AC410D"/>
    <w:rsid w:val="00AC4A18"/>
    <w:rsid w:val="00AC4AE3"/>
    <w:rsid w:val="00AC4BA7"/>
    <w:rsid w:val="00AC5622"/>
    <w:rsid w:val="00AC5FBC"/>
    <w:rsid w:val="00AC6055"/>
    <w:rsid w:val="00AC610A"/>
    <w:rsid w:val="00AC663A"/>
    <w:rsid w:val="00AC69B1"/>
    <w:rsid w:val="00AC6A02"/>
    <w:rsid w:val="00AC6B23"/>
    <w:rsid w:val="00AC6BD1"/>
    <w:rsid w:val="00AC6C89"/>
    <w:rsid w:val="00AC6D8F"/>
    <w:rsid w:val="00AC7317"/>
    <w:rsid w:val="00AC73CB"/>
    <w:rsid w:val="00AC79F6"/>
    <w:rsid w:val="00AC7F3E"/>
    <w:rsid w:val="00AD033E"/>
    <w:rsid w:val="00AD0401"/>
    <w:rsid w:val="00AD0713"/>
    <w:rsid w:val="00AD0933"/>
    <w:rsid w:val="00AD0BA6"/>
    <w:rsid w:val="00AD0D2E"/>
    <w:rsid w:val="00AD0FC2"/>
    <w:rsid w:val="00AD0FDC"/>
    <w:rsid w:val="00AD10D4"/>
    <w:rsid w:val="00AD1753"/>
    <w:rsid w:val="00AD19AB"/>
    <w:rsid w:val="00AD1A0F"/>
    <w:rsid w:val="00AD1D56"/>
    <w:rsid w:val="00AD2165"/>
    <w:rsid w:val="00AD21BB"/>
    <w:rsid w:val="00AD2382"/>
    <w:rsid w:val="00AD23CD"/>
    <w:rsid w:val="00AD2D6E"/>
    <w:rsid w:val="00AD2EBB"/>
    <w:rsid w:val="00AD3031"/>
    <w:rsid w:val="00AD3147"/>
    <w:rsid w:val="00AD33A3"/>
    <w:rsid w:val="00AD33EE"/>
    <w:rsid w:val="00AD3453"/>
    <w:rsid w:val="00AD3A27"/>
    <w:rsid w:val="00AD3B89"/>
    <w:rsid w:val="00AD3C67"/>
    <w:rsid w:val="00AD3CB5"/>
    <w:rsid w:val="00AD3DA5"/>
    <w:rsid w:val="00AD3E7A"/>
    <w:rsid w:val="00AD41CC"/>
    <w:rsid w:val="00AD4205"/>
    <w:rsid w:val="00AD422F"/>
    <w:rsid w:val="00AD452F"/>
    <w:rsid w:val="00AD4593"/>
    <w:rsid w:val="00AD45E0"/>
    <w:rsid w:val="00AD4C21"/>
    <w:rsid w:val="00AD4D21"/>
    <w:rsid w:val="00AD4DD0"/>
    <w:rsid w:val="00AD4F10"/>
    <w:rsid w:val="00AD51D1"/>
    <w:rsid w:val="00AD5320"/>
    <w:rsid w:val="00AD57EC"/>
    <w:rsid w:val="00AD5EB3"/>
    <w:rsid w:val="00AD605D"/>
    <w:rsid w:val="00AD611B"/>
    <w:rsid w:val="00AD6339"/>
    <w:rsid w:val="00AD656D"/>
    <w:rsid w:val="00AD66A9"/>
    <w:rsid w:val="00AD6925"/>
    <w:rsid w:val="00AD6A9D"/>
    <w:rsid w:val="00AD6F56"/>
    <w:rsid w:val="00AD7375"/>
    <w:rsid w:val="00AD7517"/>
    <w:rsid w:val="00AD78FD"/>
    <w:rsid w:val="00AD7A4A"/>
    <w:rsid w:val="00AD7BAC"/>
    <w:rsid w:val="00AE0094"/>
    <w:rsid w:val="00AE017B"/>
    <w:rsid w:val="00AE02D0"/>
    <w:rsid w:val="00AE0D4E"/>
    <w:rsid w:val="00AE13A6"/>
    <w:rsid w:val="00AE1492"/>
    <w:rsid w:val="00AE1864"/>
    <w:rsid w:val="00AE1993"/>
    <w:rsid w:val="00AE19BC"/>
    <w:rsid w:val="00AE1A73"/>
    <w:rsid w:val="00AE1B08"/>
    <w:rsid w:val="00AE20B5"/>
    <w:rsid w:val="00AE2141"/>
    <w:rsid w:val="00AE23C9"/>
    <w:rsid w:val="00AE23E2"/>
    <w:rsid w:val="00AE2AC8"/>
    <w:rsid w:val="00AE2ACB"/>
    <w:rsid w:val="00AE2E05"/>
    <w:rsid w:val="00AE3481"/>
    <w:rsid w:val="00AE34E7"/>
    <w:rsid w:val="00AE3537"/>
    <w:rsid w:val="00AE370C"/>
    <w:rsid w:val="00AE3C2B"/>
    <w:rsid w:val="00AE3C73"/>
    <w:rsid w:val="00AE3F94"/>
    <w:rsid w:val="00AE407C"/>
    <w:rsid w:val="00AE4262"/>
    <w:rsid w:val="00AE44A5"/>
    <w:rsid w:val="00AE44D6"/>
    <w:rsid w:val="00AE4943"/>
    <w:rsid w:val="00AE4D1C"/>
    <w:rsid w:val="00AE4E85"/>
    <w:rsid w:val="00AE514F"/>
    <w:rsid w:val="00AE51FA"/>
    <w:rsid w:val="00AE5422"/>
    <w:rsid w:val="00AE5432"/>
    <w:rsid w:val="00AE5492"/>
    <w:rsid w:val="00AE5A83"/>
    <w:rsid w:val="00AE5BA4"/>
    <w:rsid w:val="00AE60E1"/>
    <w:rsid w:val="00AE62A5"/>
    <w:rsid w:val="00AE65B6"/>
    <w:rsid w:val="00AE67FE"/>
    <w:rsid w:val="00AE6976"/>
    <w:rsid w:val="00AE6A07"/>
    <w:rsid w:val="00AE6B0C"/>
    <w:rsid w:val="00AE6C37"/>
    <w:rsid w:val="00AE6E5B"/>
    <w:rsid w:val="00AE7021"/>
    <w:rsid w:val="00AE709E"/>
    <w:rsid w:val="00AE78C3"/>
    <w:rsid w:val="00AE7C4D"/>
    <w:rsid w:val="00AE7FE7"/>
    <w:rsid w:val="00AF04E0"/>
    <w:rsid w:val="00AF0560"/>
    <w:rsid w:val="00AF06D8"/>
    <w:rsid w:val="00AF0A14"/>
    <w:rsid w:val="00AF0AC5"/>
    <w:rsid w:val="00AF10CA"/>
    <w:rsid w:val="00AF1100"/>
    <w:rsid w:val="00AF1317"/>
    <w:rsid w:val="00AF1897"/>
    <w:rsid w:val="00AF1B00"/>
    <w:rsid w:val="00AF1BA0"/>
    <w:rsid w:val="00AF1CCA"/>
    <w:rsid w:val="00AF236B"/>
    <w:rsid w:val="00AF259D"/>
    <w:rsid w:val="00AF2716"/>
    <w:rsid w:val="00AF2938"/>
    <w:rsid w:val="00AF2C8D"/>
    <w:rsid w:val="00AF2F8C"/>
    <w:rsid w:val="00AF30FF"/>
    <w:rsid w:val="00AF3315"/>
    <w:rsid w:val="00AF35A3"/>
    <w:rsid w:val="00AF3890"/>
    <w:rsid w:val="00AF3A2D"/>
    <w:rsid w:val="00AF3CC0"/>
    <w:rsid w:val="00AF3D23"/>
    <w:rsid w:val="00AF3D33"/>
    <w:rsid w:val="00AF3E84"/>
    <w:rsid w:val="00AF400A"/>
    <w:rsid w:val="00AF41EA"/>
    <w:rsid w:val="00AF4247"/>
    <w:rsid w:val="00AF43FD"/>
    <w:rsid w:val="00AF46EF"/>
    <w:rsid w:val="00AF46FB"/>
    <w:rsid w:val="00AF4769"/>
    <w:rsid w:val="00AF4828"/>
    <w:rsid w:val="00AF4897"/>
    <w:rsid w:val="00AF49F3"/>
    <w:rsid w:val="00AF4A9E"/>
    <w:rsid w:val="00AF4CB8"/>
    <w:rsid w:val="00AF4F90"/>
    <w:rsid w:val="00AF566A"/>
    <w:rsid w:val="00AF57BE"/>
    <w:rsid w:val="00AF5BEC"/>
    <w:rsid w:val="00AF5FE6"/>
    <w:rsid w:val="00AF60A8"/>
    <w:rsid w:val="00AF61BD"/>
    <w:rsid w:val="00AF641C"/>
    <w:rsid w:val="00AF6456"/>
    <w:rsid w:val="00AF65AE"/>
    <w:rsid w:val="00AF6861"/>
    <w:rsid w:val="00AF70A0"/>
    <w:rsid w:val="00AF7104"/>
    <w:rsid w:val="00AF71CE"/>
    <w:rsid w:val="00AF732E"/>
    <w:rsid w:val="00AF7591"/>
    <w:rsid w:val="00AF7641"/>
    <w:rsid w:val="00AF76E5"/>
    <w:rsid w:val="00AF7844"/>
    <w:rsid w:val="00AF7845"/>
    <w:rsid w:val="00AF7962"/>
    <w:rsid w:val="00AF79BA"/>
    <w:rsid w:val="00AF7BFB"/>
    <w:rsid w:val="00AF7E2B"/>
    <w:rsid w:val="00AF7F0B"/>
    <w:rsid w:val="00B00025"/>
    <w:rsid w:val="00B00034"/>
    <w:rsid w:val="00B0005E"/>
    <w:rsid w:val="00B000FD"/>
    <w:rsid w:val="00B00293"/>
    <w:rsid w:val="00B00348"/>
    <w:rsid w:val="00B00390"/>
    <w:rsid w:val="00B00575"/>
    <w:rsid w:val="00B00CF0"/>
    <w:rsid w:val="00B00DDE"/>
    <w:rsid w:val="00B010D2"/>
    <w:rsid w:val="00B01330"/>
    <w:rsid w:val="00B01332"/>
    <w:rsid w:val="00B01F2D"/>
    <w:rsid w:val="00B01FEC"/>
    <w:rsid w:val="00B02127"/>
    <w:rsid w:val="00B024B9"/>
    <w:rsid w:val="00B02E83"/>
    <w:rsid w:val="00B033B3"/>
    <w:rsid w:val="00B0343A"/>
    <w:rsid w:val="00B03535"/>
    <w:rsid w:val="00B0360D"/>
    <w:rsid w:val="00B039BC"/>
    <w:rsid w:val="00B03B35"/>
    <w:rsid w:val="00B03C27"/>
    <w:rsid w:val="00B0404A"/>
    <w:rsid w:val="00B0412C"/>
    <w:rsid w:val="00B041F0"/>
    <w:rsid w:val="00B0468E"/>
    <w:rsid w:val="00B04696"/>
    <w:rsid w:val="00B046EC"/>
    <w:rsid w:val="00B04D7E"/>
    <w:rsid w:val="00B04FA9"/>
    <w:rsid w:val="00B052B4"/>
    <w:rsid w:val="00B053AB"/>
    <w:rsid w:val="00B056A2"/>
    <w:rsid w:val="00B058F9"/>
    <w:rsid w:val="00B05926"/>
    <w:rsid w:val="00B05A73"/>
    <w:rsid w:val="00B05B3E"/>
    <w:rsid w:val="00B06044"/>
    <w:rsid w:val="00B06565"/>
    <w:rsid w:val="00B065AE"/>
    <w:rsid w:val="00B0664B"/>
    <w:rsid w:val="00B0676D"/>
    <w:rsid w:val="00B06A27"/>
    <w:rsid w:val="00B0723C"/>
    <w:rsid w:val="00B072D0"/>
    <w:rsid w:val="00B07339"/>
    <w:rsid w:val="00B077C3"/>
    <w:rsid w:val="00B07B27"/>
    <w:rsid w:val="00B07CDC"/>
    <w:rsid w:val="00B10264"/>
    <w:rsid w:val="00B103E3"/>
    <w:rsid w:val="00B1082C"/>
    <w:rsid w:val="00B10AB9"/>
    <w:rsid w:val="00B1106F"/>
    <w:rsid w:val="00B11653"/>
    <w:rsid w:val="00B116AC"/>
    <w:rsid w:val="00B11736"/>
    <w:rsid w:val="00B1173D"/>
    <w:rsid w:val="00B117ED"/>
    <w:rsid w:val="00B11935"/>
    <w:rsid w:val="00B11AFB"/>
    <w:rsid w:val="00B11E69"/>
    <w:rsid w:val="00B12122"/>
    <w:rsid w:val="00B1224B"/>
    <w:rsid w:val="00B12306"/>
    <w:rsid w:val="00B126CF"/>
    <w:rsid w:val="00B1274C"/>
    <w:rsid w:val="00B12DBD"/>
    <w:rsid w:val="00B12E7C"/>
    <w:rsid w:val="00B1316B"/>
    <w:rsid w:val="00B1333C"/>
    <w:rsid w:val="00B13D0B"/>
    <w:rsid w:val="00B13FD0"/>
    <w:rsid w:val="00B141B5"/>
    <w:rsid w:val="00B147E3"/>
    <w:rsid w:val="00B14807"/>
    <w:rsid w:val="00B149DB"/>
    <w:rsid w:val="00B14F53"/>
    <w:rsid w:val="00B15AAF"/>
    <w:rsid w:val="00B15B0D"/>
    <w:rsid w:val="00B16098"/>
    <w:rsid w:val="00B161E3"/>
    <w:rsid w:val="00B16392"/>
    <w:rsid w:val="00B1659C"/>
    <w:rsid w:val="00B167BD"/>
    <w:rsid w:val="00B1691F"/>
    <w:rsid w:val="00B16934"/>
    <w:rsid w:val="00B16A14"/>
    <w:rsid w:val="00B16AEB"/>
    <w:rsid w:val="00B16CDC"/>
    <w:rsid w:val="00B16E5D"/>
    <w:rsid w:val="00B16EFD"/>
    <w:rsid w:val="00B16FC5"/>
    <w:rsid w:val="00B172EF"/>
    <w:rsid w:val="00B17307"/>
    <w:rsid w:val="00B17342"/>
    <w:rsid w:val="00B17383"/>
    <w:rsid w:val="00B17439"/>
    <w:rsid w:val="00B17806"/>
    <w:rsid w:val="00B17A2B"/>
    <w:rsid w:val="00B17C7C"/>
    <w:rsid w:val="00B17E6D"/>
    <w:rsid w:val="00B202FF"/>
    <w:rsid w:val="00B204AF"/>
    <w:rsid w:val="00B206FE"/>
    <w:rsid w:val="00B20E80"/>
    <w:rsid w:val="00B21526"/>
    <w:rsid w:val="00B217D8"/>
    <w:rsid w:val="00B218BC"/>
    <w:rsid w:val="00B21EB3"/>
    <w:rsid w:val="00B21FEB"/>
    <w:rsid w:val="00B2200B"/>
    <w:rsid w:val="00B22302"/>
    <w:rsid w:val="00B2243A"/>
    <w:rsid w:val="00B2285A"/>
    <w:rsid w:val="00B22885"/>
    <w:rsid w:val="00B22BBB"/>
    <w:rsid w:val="00B22C1C"/>
    <w:rsid w:val="00B23275"/>
    <w:rsid w:val="00B232E6"/>
    <w:rsid w:val="00B234A2"/>
    <w:rsid w:val="00B23530"/>
    <w:rsid w:val="00B237A7"/>
    <w:rsid w:val="00B23996"/>
    <w:rsid w:val="00B23AA2"/>
    <w:rsid w:val="00B23BB3"/>
    <w:rsid w:val="00B24022"/>
    <w:rsid w:val="00B24073"/>
    <w:rsid w:val="00B242AC"/>
    <w:rsid w:val="00B242BA"/>
    <w:rsid w:val="00B24337"/>
    <w:rsid w:val="00B24572"/>
    <w:rsid w:val="00B24BB9"/>
    <w:rsid w:val="00B24D13"/>
    <w:rsid w:val="00B24ECC"/>
    <w:rsid w:val="00B24F16"/>
    <w:rsid w:val="00B25057"/>
    <w:rsid w:val="00B25117"/>
    <w:rsid w:val="00B2523A"/>
    <w:rsid w:val="00B2547D"/>
    <w:rsid w:val="00B2548E"/>
    <w:rsid w:val="00B25658"/>
    <w:rsid w:val="00B2576E"/>
    <w:rsid w:val="00B25AEC"/>
    <w:rsid w:val="00B25C44"/>
    <w:rsid w:val="00B25CFC"/>
    <w:rsid w:val="00B25E93"/>
    <w:rsid w:val="00B26284"/>
    <w:rsid w:val="00B262BD"/>
    <w:rsid w:val="00B2658A"/>
    <w:rsid w:val="00B268BF"/>
    <w:rsid w:val="00B2693E"/>
    <w:rsid w:val="00B26FD9"/>
    <w:rsid w:val="00B2705F"/>
    <w:rsid w:val="00B27297"/>
    <w:rsid w:val="00B27336"/>
    <w:rsid w:val="00B27395"/>
    <w:rsid w:val="00B27468"/>
    <w:rsid w:val="00B2794C"/>
    <w:rsid w:val="00B27A73"/>
    <w:rsid w:val="00B27BAF"/>
    <w:rsid w:val="00B27C65"/>
    <w:rsid w:val="00B27CBE"/>
    <w:rsid w:val="00B3011F"/>
    <w:rsid w:val="00B301F8"/>
    <w:rsid w:val="00B30364"/>
    <w:rsid w:val="00B304B3"/>
    <w:rsid w:val="00B3061F"/>
    <w:rsid w:val="00B30731"/>
    <w:rsid w:val="00B30735"/>
    <w:rsid w:val="00B307ED"/>
    <w:rsid w:val="00B3098F"/>
    <w:rsid w:val="00B31214"/>
    <w:rsid w:val="00B317E1"/>
    <w:rsid w:val="00B31976"/>
    <w:rsid w:val="00B319F4"/>
    <w:rsid w:val="00B31FC3"/>
    <w:rsid w:val="00B32645"/>
    <w:rsid w:val="00B32817"/>
    <w:rsid w:val="00B3287B"/>
    <w:rsid w:val="00B32BAA"/>
    <w:rsid w:val="00B32C5D"/>
    <w:rsid w:val="00B32CD8"/>
    <w:rsid w:val="00B32E58"/>
    <w:rsid w:val="00B32F09"/>
    <w:rsid w:val="00B33791"/>
    <w:rsid w:val="00B33906"/>
    <w:rsid w:val="00B33A86"/>
    <w:rsid w:val="00B33BC7"/>
    <w:rsid w:val="00B33C59"/>
    <w:rsid w:val="00B33EAB"/>
    <w:rsid w:val="00B34161"/>
    <w:rsid w:val="00B344D7"/>
    <w:rsid w:val="00B34526"/>
    <w:rsid w:val="00B34B83"/>
    <w:rsid w:val="00B34D0F"/>
    <w:rsid w:val="00B34D65"/>
    <w:rsid w:val="00B34EE2"/>
    <w:rsid w:val="00B34F9E"/>
    <w:rsid w:val="00B350F3"/>
    <w:rsid w:val="00B35148"/>
    <w:rsid w:val="00B3521D"/>
    <w:rsid w:val="00B35496"/>
    <w:rsid w:val="00B358CE"/>
    <w:rsid w:val="00B35E9F"/>
    <w:rsid w:val="00B36005"/>
    <w:rsid w:val="00B362BD"/>
    <w:rsid w:val="00B3646E"/>
    <w:rsid w:val="00B36C60"/>
    <w:rsid w:val="00B36D60"/>
    <w:rsid w:val="00B36F74"/>
    <w:rsid w:val="00B37227"/>
    <w:rsid w:val="00B3772A"/>
    <w:rsid w:val="00B37919"/>
    <w:rsid w:val="00B37C52"/>
    <w:rsid w:val="00B37DBC"/>
    <w:rsid w:val="00B4057B"/>
    <w:rsid w:val="00B405BB"/>
    <w:rsid w:val="00B40A7E"/>
    <w:rsid w:val="00B40B1E"/>
    <w:rsid w:val="00B40CB5"/>
    <w:rsid w:val="00B40DEE"/>
    <w:rsid w:val="00B4136D"/>
    <w:rsid w:val="00B414BF"/>
    <w:rsid w:val="00B41683"/>
    <w:rsid w:val="00B41848"/>
    <w:rsid w:val="00B4193F"/>
    <w:rsid w:val="00B41986"/>
    <w:rsid w:val="00B41D52"/>
    <w:rsid w:val="00B41E6D"/>
    <w:rsid w:val="00B41EF6"/>
    <w:rsid w:val="00B42102"/>
    <w:rsid w:val="00B421D0"/>
    <w:rsid w:val="00B42F50"/>
    <w:rsid w:val="00B43266"/>
    <w:rsid w:val="00B43AEE"/>
    <w:rsid w:val="00B43AF4"/>
    <w:rsid w:val="00B43B4A"/>
    <w:rsid w:val="00B43EC4"/>
    <w:rsid w:val="00B44193"/>
    <w:rsid w:val="00B4436C"/>
    <w:rsid w:val="00B4467B"/>
    <w:rsid w:val="00B44713"/>
    <w:rsid w:val="00B44841"/>
    <w:rsid w:val="00B449CA"/>
    <w:rsid w:val="00B44AF4"/>
    <w:rsid w:val="00B44F96"/>
    <w:rsid w:val="00B44FF0"/>
    <w:rsid w:val="00B453F3"/>
    <w:rsid w:val="00B45B9D"/>
    <w:rsid w:val="00B45BC9"/>
    <w:rsid w:val="00B45BCF"/>
    <w:rsid w:val="00B469DF"/>
    <w:rsid w:val="00B46A34"/>
    <w:rsid w:val="00B46C08"/>
    <w:rsid w:val="00B46C19"/>
    <w:rsid w:val="00B46D2D"/>
    <w:rsid w:val="00B4701A"/>
    <w:rsid w:val="00B4703C"/>
    <w:rsid w:val="00B47042"/>
    <w:rsid w:val="00B4706C"/>
    <w:rsid w:val="00B471C4"/>
    <w:rsid w:val="00B4724C"/>
    <w:rsid w:val="00B47BD3"/>
    <w:rsid w:val="00B47C47"/>
    <w:rsid w:val="00B47FAB"/>
    <w:rsid w:val="00B47FE0"/>
    <w:rsid w:val="00B5075C"/>
    <w:rsid w:val="00B50CCE"/>
    <w:rsid w:val="00B50DF0"/>
    <w:rsid w:val="00B50F6F"/>
    <w:rsid w:val="00B511BD"/>
    <w:rsid w:val="00B51475"/>
    <w:rsid w:val="00B515FB"/>
    <w:rsid w:val="00B517AB"/>
    <w:rsid w:val="00B518D2"/>
    <w:rsid w:val="00B5191E"/>
    <w:rsid w:val="00B519A5"/>
    <w:rsid w:val="00B51FDE"/>
    <w:rsid w:val="00B52286"/>
    <w:rsid w:val="00B5258E"/>
    <w:rsid w:val="00B525AB"/>
    <w:rsid w:val="00B52833"/>
    <w:rsid w:val="00B52A56"/>
    <w:rsid w:val="00B52C67"/>
    <w:rsid w:val="00B52C7D"/>
    <w:rsid w:val="00B52D5F"/>
    <w:rsid w:val="00B535D0"/>
    <w:rsid w:val="00B53604"/>
    <w:rsid w:val="00B53726"/>
    <w:rsid w:val="00B53818"/>
    <w:rsid w:val="00B539A5"/>
    <w:rsid w:val="00B53E4C"/>
    <w:rsid w:val="00B53EFF"/>
    <w:rsid w:val="00B540D9"/>
    <w:rsid w:val="00B548ED"/>
    <w:rsid w:val="00B5557E"/>
    <w:rsid w:val="00B55D2E"/>
    <w:rsid w:val="00B55DE2"/>
    <w:rsid w:val="00B55E8E"/>
    <w:rsid w:val="00B55F03"/>
    <w:rsid w:val="00B55F10"/>
    <w:rsid w:val="00B561E5"/>
    <w:rsid w:val="00B5677F"/>
    <w:rsid w:val="00B56CB3"/>
    <w:rsid w:val="00B56D98"/>
    <w:rsid w:val="00B57665"/>
    <w:rsid w:val="00B57977"/>
    <w:rsid w:val="00B57BA9"/>
    <w:rsid w:val="00B57BD9"/>
    <w:rsid w:val="00B57F38"/>
    <w:rsid w:val="00B60172"/>
    <w:rsid w:val="00B6035D"/>
    <w:rsid w:val="00B6052F"/>
    <w:rsid w:val="00B607D1"/>
    <w:rsid w:val="00B60C24"/>
    <w:rsid w:val="00B60CE6"/>
    <w:rsid w:val="00B60D56"/>
    <w:rsid w:val="00B60F0F"/>
    <w:rsid w:val="00B60FC6"/>
    <w:rsid w:val="00B61433"/>
    <w:rsid w:val="00B6181C"/>
    <w:rsid w:val="00B61A71"/>
    <w:rsid w:val="00B61CDC"/>
    <w:rsid w:val="00B61CF5"/>
    <w:rsid w:val="00B61D53"/>
    <w:rsid w:val="00B623A3"/>
    <w:rsid w:val="00B62790"/>
    <w:rsid w:val="00B629C1"/>
    <w:rsid w:val="00B62AFF"/>
    <w:rsid w:val="00B62F5D"/>
    <w:rsid w:val="00B62FEA"/>
    <w:rsid w:val="00B6307F"/>
    <w:rsid w:val="00B639EC"/>
    <w:rsid w:val="00B63BAA"/>
    <w:rsid w:val="00B63C0C"/>
    <w:rsid w:val="00B63F28"/>
    <w:rsid w:val="00B6424F"/>
    <w:rsid w:val="00B64A7F"/>
    <w:rsid w:val="00B64CA8"/>
    <w:rsid w:val="00B64F99"/>
    <w:rsid w:val="00B64FFA"/>
    <w:rsid w:val="00B650EE"/>
    <w:rsid w:val="00B6545A"/>
    <w:rsid w:val="00B6583D"/>
    <w:rsid w:val="00B65852"/>
    <w:rsid w:val="00B65904"/>
    <w:rsid w:val="00B65917"/>
    <w:rsid w:val="00B659FA"/>
    <w:rsid w:val="00B65C1F"/>
    <w:rsid w:val="00B65DC2"/>
    <w:rsid w:val="00B65FBE"/>
    <w:rsid w:val="00B65FDB"/>
    <w:rsid w:val="00B662EA"/>
    <w:rsid w:val="00B6639A"/>
    <w:rsid w:val="00B66599"/>
    <w:rsid w:val="00B66679"/>
    <w:rsid w:val="00B66967"/>
    <w:rsid w:val="00B669EB"/>
    <w:rsid w:val="00B66A6C"/>
    <w:rsid w:val="00B66A8F"/>
    <w:rsid w:val="00B66B19"/>
    <w:rsid w:val="00B66C56"/>
    <w:rsid w:val="00B66EA8"/>
    <w:rsid w:val="00B66F62"/>
    <w:rsid w:val="00B66F9D"/>
    <w:rsid w:val="00B67347"/>
    <w:rsid w:val="00B6734C"/>
    <w:rsid w:val="00B6747E"/>
    <w:rsid w:val="00B677AB"/>
    <w:rsid w:val="00B678DA"/>
    <w:rsid w:val="00B67A7F"/>
    <w:rsid w:val="00B67BE9"/>
    <w:rsid w:val="00B67DD8"/>
    <w:rsid w:val="00B70113"/>
    <w:rsid w:val="00B70438"/>
    <w:rsid w:val="00B70572"/>
    <w:rsid w:val="00B7097B"/>
    <w:rsid w:val="00B70A00"/>
    <w:rsid w:val="00B70AED"/>
    <w:rsid w:val="00B70B00"/>
    <w:rsid w:val="00B70CDB"/>
    <w:rsid w:val="00B71059"/>
    <w:rsid w:val="00B715C0"/>
    <w:rsid w:val="00B71879"/>
    <w:rsid w:val="00B71AA8"/>
    <w:rsid w:val="00B71C0B"/>
    <w:rsid w:val="00B71DE7"/>
    <w:rsid w:val="00B7202A"/>
    <w:rsid w:val="00B72A0F"/>
    <w:rsid w:val="00B72BC8"/>
    <w:rsid w:val="00B735C9"/>
    <w:rsid w:val="00B73867"/>
    <w:rsid w:val="00B73A3F"/>
    <w:rsid w:val="00B74315"/>
    <w:rsid w:val="00B7462D"/>
    <w:rsid w:val="00B74898"/>
    <w:rsid w:val="00B748E6"/>
    <w:rsid w:val="00B74BB9"/>
    <w:rsid w:val="00B74BEC"/>
    <w:rsid w:val="00B74D2D"/>
    <w:rsid w:val="00B7536C"/>
    <w:rsid w:val="00B75662"/>
    <w:rsid w:val="00B757A3"/>
    <w:rsid w:val="00B75B86"/>
    <w:rsid w:val="00B75CCD"/>
    <w:rsid w:val="00B75F16"/>
    <w:rsid w:val="00B75F29"/>
    <w:rsid w:val="00B75FEE"/>
    <w:rsid w:val="00B765C8"/>
    <w:rsid w:val="00B76731"/>
    <w:rsid w:val="00B7675B"/>
    <w:rsid w:val="00B76864"/>
    <w:rsid w:val="00B76870"/>
    <w:rsid w:val="00B7687D"/>
    <w:rsid w:val="00B7690A"/>
    <w:rsid w:val="00B76BEE"/>
    <w:rsid w:val="00B76CB2"/>
    <w:rsid w:val="00B76F5D"/>
    <w:rsid w:val="00B76FCF"/>
    <w:rsid w:val="00B77012"/>
    <w:rsid w:val="00B77036"/>
    <w:rsid w:val="00B7756A"/>
    <w:rsid w:val="00B77797"/>
    <w:rsid w:val="00B77E07"/>
    <w:rsid w:val="00B77E78"/>
    <w:rsid w:val="00B80532"/>
    <w:rsid w:val="00B807DF"/>
    <w:rsid w:val="00B80BBE"/>
    <w:rsid w:val="00B80C7F"/>
    <w:rsid w:val="00B80D96"/>
    <w:rsid w:val="00B81ED5"/>
    <w:rsid w:val="00B821FE"/>
    <w:rsid w:val="00B8269A"/>
    <w:rsid w:val="00B8294B"/>
    <w:rsid w:val="00B82B2D"/>
    <w:rsid w:val="00B82C6A"/>
    <w:rsid w:val="00B82D24"/>
    <w:rsid w:val="00B82D7A"/>
    <w:rsid w:val="00B830CF"/>
    <w:rsid w:val="00B83580"/>
    <w:rsid w:val="00B835AD"/>
    <w:rsid w:val="00B837E5"/>
    <w:rsid w:val="00B83820"/>
    <w:rsid w:val="00B83830"/>
    <w:rsid w:val="00B83C79"/>
    <w:rsid w:val="00B83D47"/>
    <w:rsid w:val="00B8402A"/>
    <w:rsid w:val="00B840EF"/>
    <w:rsid w:val="00B84603"/>
    <w:rsid w:val="00B84DBD"/>
    <w:rsid w:val="00B84FA7"/>
    <w:rsid w:val="00B85014"/>
    <w:rsid w:val="00B850A5"/>
    <w:rsid w:val="00B85336"/>
    <w:rsid w:val="00B853F9"/>
    <w:rsid w:val="00B854A0"/>
    <w:rsid w:val="00B8563C"/>
    <w:rsid w:val="00B8580F"/>
    <w:rsid w:val="00B858DE"/>
    <w:rsid w:val="00B859F0"/>
    <w:rsid w:val="00B85FB0"/>
    <w:rsid w:val="00B8617D"/>
    <w:rsid w:val="00B862ED"/>
    <w:rsid w:val="00B863BA"/>
    <w:rsid w:val="00B868F3"/>
    <w:rsid w:val="00B869B5"/>
    <w:rsid w:val="00B86A29"/>
    <w:rsid w:val="00B86E46"/>
    <w:rsid w:val="00B86EA7"/>
    <w:rsid w:val="00B86EEA"/>
    <w:rsid w:val="00B87010"/>
    <w:rsid w:val="00B87080"/>
    <w:rsid w:val="00B870CE"/>
    <w:rsid w:val="00B87460"/>
    <w:rsid w:val="00B874D9"/>
    <w:rsid w:val="00B8755F"/>
    <w:rsid w:val="00B87CD9"/>
    <w:rsid w:val="00B87CEB"/>
    <w:rsid w:val="00B902F0"/>
    <w:rsid w:val="00B90342"/>
    <w:rsid w:val="00B9060C"/>
    <w:rsid w:val="00B90631"/>
    <w:rsid w:val="00B908B2"/>
    <w:rsid w:val="00B9091D"/>
    <w:rsid w:val="00B90A2D"/>
    <w:rsid w:val="00B90ABB"/>
    <w:rsid w:val="00B90ACB"/>
    <w:rsid w:val="00B90B81"/>
    <w:rsid w:val="00B90C7D"/>
    <w:rsid w:val="00B90F5A"/>
    <w:rsid w:val="00B90F5B"/>
    <w:rsid w:val="00B90F7A"/>
    <w:rsid w:val="00B90FD9"/>
    <w:rsid w:val="00B9165D"/>
    <w:rsid w:val="00B9171D"/>
    <w:rsid w:val="00B919DF"/>
    <w:rsid w:val="00B91BA2"/>
    <w:rsid w:val="00B9201E"/>
    <w:rsid w:val="00B921E4"/>
    <w:rsid w:val="00B92357"/>
    <w:rsid w:val="00B92576"/>
    <w:rsid w:val="00B92609"/>
    <w:rsid w:val="00B9279A"/>
    <w:rsid w:val="00B931BB"/>
    <w:rsid w:val="00B93963"/>
    <w:rsid w:val="00B93BDC"/>
    <w:rsid w:val="00B93C8C"/>
    <w:rsid w:val="00B940C3"/>
    <w:rsid w:val="00B940E2"/>
    <w:rsid w:val="00B94127"/>
    <w:rsid w:val="00B9446A"/>
    <w:rsid w:val="00B9446E"/>
    <w:rsid w:val="00B9448A"/>
    <w:rsid w:val="00B9461E"/>
    <w:rsid w:val="00B9469F"/>
    <w:rsid w:val="00B94E9C"/>
    <w:rsid w:val="00B950B2"/>
    <w:rsid w:val="00B95100"/>
    <w:rsid w:val="00B95157"/>
    <w:rsid w:val="00B9537C"/>
    <w:rsid w:val="00B9553F"/>
    <w:rsid w:val="00B9567A"/>
    <w:rsid w:val="00B956B8"/>
    <w:rsid w:val="00B9585E"/>
    <w:rsid w:val="00B95886"/>
    <w:rsid w:val="00B959FE"/>
    <w:rsid w:val="00B95A1B"/>
    <w:rsid w:val="00B95C98"/>
    <w:rsid w:val="00B95F5C"/>
    <w:rsid w:val="00B9633B"/>
    <w:rsid w:val="00B965C3"/>
    <w:rsid w:val="00B96BED"/>
    <w:rsid w:val="00B96C6A"/>
    <w:rsid w:val="00B96D19"/>
    <w:rsid w:val="00B96E26"/>
    <w:rsid w:val="00B96EEB"/>
    <w:rsid w:val="00B96F58"/>
    <w:rsid w:val="00B970A3"/>
    <w:rsid w:val="00B97422"/>
    <w:rsid w:val="00B97901"/>
    <w:rsid w:val="00BA0073"/>
    <w:rsid w:val="00BA071B"/>
    <w:rsid w:val="00BA077F"/>
    <w:rsid w:val="00BA094E"/>
    <w:rsid w:val="00BA0CB3"/>
    <w:rsid w:val="00BA0DE8"/>
    <w:rsid w:val="00BA0F3E"/>
    <w:rsid w:val="00BA105B"/>
    <w:rsid w:val="00BA10ED"/>
    <w:rsid w:val="00BA12D2"/>
    <w:rsid w:val="00BA161F"/>
    <w:rsid w:val="00BA170D"/>
    <w:rsid w:val="00BA1722"/>
    <w:rsid w:val="00BA1891"/>
    <w:rsid w:val="00BA192B"/>
    <w:rsid w:val="00BA1A5A"/>
    <w:rsid w:val="00BA1F6B"/>
    <w:rsid w:val="00BA1FF8"/>
    <w:rsid w:val="00BA21FC"/>
    <w:rsid w:val="00BA228D"/>
    <w:rsid w:val="00BA27E0"/>
    <w:rsid w:val="00BA2827"/>
    <w:rsid w:val="00BA2901"/>
    <w:rsid w:val="00BA2919"/>
    <w:rsid w:val="00BA29C1"/>
    <w:rsid w:val="00BA2DE8"/>
    <w:rsid w:val="00BA2F11"/>
    <w:rsid w:val="00BA30E1"/>
    <w:rsid w:val="00BA32E7"/>
    <w:rsid w:val="00BA3A6A"/>
    <w:rsid w:val="00BA3C9D"/>
    <w:rsid w:val="00BA3CD5"/>
    <w:rsid w:val="00BA3D79"/>
    <w:rsid w:val="00BA44ED"/>
    <w:rsid w:val="00BA4744"/>
    <w:rsid w:val="00BA4945"/>
    <w:rsid w:val="00BA4B95"/>
    <w:rsid w:val="00BA4C10"/>
    <w:rsid w:val="00BA4E97"/>
    <w:rsid w:val="00BA51EA"/>
    <w:rsid w:val="00BA5226"/>
    <w:rsid w:val="00BA52AA"/>
    <w:rsid w:val="00BA539C"/>
    <w:rsid w:val="00BA55D8"/>
    <w:rsid w:val="00BA5882"/>
    <w:rsid w:val="00BA5B5F"/>
    <w:rsid w:val="00BA5FA2"/>
    <w:rsid w:val="00BA5FFC"/>
    <w:rsid w:val="00BA622A"/>
    <w:rsid w:val="00BA6351"/>
    <w:rsid w:val="00BA645A"/>
    <w:rsid w:val="00BA68D6"/>
    <w:rsid w:val="00BA693C"/>
    <w:rsid w:val="00BA6AB2"/>
    <w:rsid w:val="00BA6AF7"/>
    <w:rsid w:val="00BA6B98"/>
    <w:rsid w:val="00BA6D37"/>
    <w:rsid w:val="00BA6E1A"/>
    <w:rsid w:val="00BA6E95"/>
    <w:rsid w:val="00BA6FEF"/>
    <w:rsid w:val="00BA7606"/>
    <w:rsid w:val="00BA772C"/>
    <w:rsid w:val="00BA7898"/>
    <w:rsid w:val="00BA78DF"/>
    <w:rsid w:val="00BA793F"/>
    <w:rsid w:val="00BA7D04"/>
    <w:rsid w:val="00BA7E90"/>
    <w:rsid w:val="00BB067B"/>
    <w:rsid w:val="00BB080D"/>
    <w:rsid w:val="00BB1055"/>
    <w:rsid w:val="00BB109A"/>
    <w:rsid w:val="00BB1126"/>
    <w:rsid w:val="00BB14D4"/>
    <w:rsid w:val="00BB157F"/>
    <w:rsid w:val="00BB17C6"/>
    <w:rsid w:val="00BB187F"/>
    <w:rsid w:val="00BB19E6"/>
    <w:rsid w:val="00BB1AEF"/>
    <w:rsid w:val="00BB1C94"/>
    <w:rsid w:val="00BB1F52"/>
    <w:rsid w:val="00BB23C1"/>
    <w:rsid w:val="00BB23E2"/>
    <w:rsid w:val="00BB24B1"/>
    <w:rsid w:val="00BB2545"/>
    <w:rsid w:val="00BB26D9"/>
    <w:rsid w:val="00BB27A3"/>
    <w:rsid w:val="00BB281E"/>
    <w:rsid w:val="00BB2825"/>
    <w:rsid w:val="00BB28A3"/>
    <w:rsid w:val="00BB29C5"/>
    <w:rsid w:val="00BB2D66"/>
    <w:rsid w:val="00BB2DCD"/>
    <w:rsid w:val="00BB3360"/>
    <w:rsid w:val="00BB34FA"/>
    <w:rsid w:val="00BB36A8"/>
    <w:rsid w:val="00BB3857"/>
    <w:rsid w:val="00BB38ED"/>
    <w:rsid w:val="00BB3960"/>
    <w:rsid w:val="00BB3C60"/>
    <w:rsid w:val="00BB3D67"/>
    <w:rsid w:val="00BB3ED2"/>
    <w:rsid w:val="00BB4116"/>
    <w:rsid w:val="00BB4184"/>
    <w:rsid w:val="00BB41D1"/>
    <w:rsid w:val="00BB4229"/>
    <w:rsid w:val="00BB51F9"/>
    <w:rsid w:val="00BB571C"/>
    <w:rsid w:val="00BB5A8F"/>
    <w:rsid w:val="00BB5C7A"/>
    <w:rsid w:val="00BB5CD0"/>
    <w:rsid w:val="00BB5DB3"/>
    <w:rsid w:val="00BB67AD"/>
    <w:rsid w:val="00BB6B64"/>
    <w:rsid w:val="00BB6DED"/>
    <w:rsid w:val="00BB70EB"/>
    <w:rsid w:val="00BB7309"/>
    <w:rsid w:val="00BB742B"/>
    <w:rsid w:val="00BB7507"/>
    <w:rsid w:val="00BB7623"/>
    <w:rsid w:val="00BB7734"/>
    <w:rsid w:val="00BB7765"/>
    <w:rsid w:val="00BB790F"/>
    <w:rsid w:val="00BB7E5D"/>
    <w:rsid w:val="00BB7F18"/>
    <w:rsid w:val="00BB7F31"/>
    <w:rsid w:val="00BC00F4"/>
    <w:rsid w:val="00BC0155"/>
    <w:rsid w:val="00BC02B6"/>
    <w:rsid w:val="00BC117A"/>
    <w:rsid w:val="00BC119E"/>
    <w:rsid w:val="00BC11B0"/>
    <w:rsid w:val="00BC1403"/>
    <w:rsid w:val="00BC1542"/>
    <w:rsid w:val="00BC1591"/>
    <w:rsid w:val="00BC1881"/>
    <w:rsid w:val="00BC1A0C"/>
    <w:rsid w:val="00BC1F45"/>
    <w:rsid w:val="00BC2017"/>
    <w:rsid w:val="00BC2021"/>
    <w:rsid w:val="00BC221F"/>
    <w:rsid w:val="00BC23E0"/>
    <w:rsid w:val="00BC24C2"/>
    <w:rsid w:val="00BC278B"/>
    <w:rsid w:val="00BC2872"/>
    <w:rsid w:val="00BC2AEC"/>
    <w:rsid w:val="00BC31A1"/>
    <w:rsid w:val="00BC31D9"/>
    <w:rsid w:val="00BC31DB"/>
    <w:rsid w:val="00BC3221"/>
    <w:rsid w:val="00BC33AC"/>
    <w:rsid w:val="00BC38C9"/>
    <w:rsid w:val="00BC3EF6"/>
    <w:rsid w:val="00BC3FC8"/>
    <w:rsid w:val="00BC434B"/>
    <w:rsid w:val="00BC4759"/>
    <w:rsid w:val="00BC4866"/>
    <w:rsid w:val="00BC4A05"/>
    <w:rsid w:val="00BC4A4E"/>
    <w:rsid w:val="00BC4B63"/>
    <w:rsid w:val="00BC4D23"/>
    <w:rsid w:val="00BC4E30"/>
    <w:rsid w:val="00BC4EBC"/>
    <w:rsid w:val="00BC50B0"/>
    <w:rsid w:val="00BC5364"/>
    <w:rsid w:val="00BC5507"/>
    <w:rsid w:val="00BC55D4"/>
    <w:rsid w:val="00BC56C5"/>
    <w:rsid w:val="00BC5D17"/>
    <w:rsid w:val="00BC5D38"/>
    <w:rsid w:val="00BC5D89"/>
    <w:rsid w:val="00BC5EAF"/>
    <w:rsid w:val="00BC5F6F"/>
    <w:rsid w:val="00BC60E5"/>
    <w:rsid w:val="00BC64B8"/>
    <w:rsid w:val="00BC6818"/>
    <w:rsid w:val="00BC68B6"/>
    <w:rsid w:val="00BC6943"/>
    <w:rsid w:val="00BC6D64"/>
    <w:rsid w:val="00BC72D5"/>
    <w:rsid w:val="00BC79BD"/>
    <w:rsid w:val="00BC7B16"/>
    <w:rsid w:val="00BC7FBB"/>
    <w:rsid w:val="00BD010A"/>
    <w:rsid w:val="00BD0188"/>
    <w:rsid w:val="00BD01FB"/>
    <w:rsid w:val="00BD03D5"/>
    <w:rsid w:val="00BD090F"/>
    <w:rsid w:val="00BD093E"/>
    <w:rsid w:val="00BD127E"/>
    <w:rsid w:val="00BD1652"/>
    <w:rsid w:val="00BD17E8"/>
    <w:rsid w:val="00BD1961"/>
    <w:rsid w:val="00BD1EBE"/>
    <w:rsid w:val="00BD204E"/>
    <w:rsid w:val="00BD219C"/>
    <w:rsid w:val="00BD21DF"/>
    <w:rsid w:val="00BD229C"/>
    <w:rsid w:val="00BD3048"/>
    <w:rsid w:val="00BD3160"/>
    <w:rsid w:val="00BD3372"/>
    <w:rsid w:val="00BD3589"/>
    <w:rsid w:val="00BD37CA"/>
    <w:rsid w:val="00BD39DC"/>
    <w:rsid w:val="00BD3C2A"/>
    <w:rsid w:val="00BD3F0A"/>
    <w:rsid w:val="00BD4013"/>
    <w:rsid w:val="00BD4955"/>
    <w:rsid w:val="00BD496B"/>
    <w:rsid w:val="00BD4B37"/>
    <w:rsid w:val="00BD52BF"/>
    <w:rsid w:val="00BD5315"/>
    <w:rsid w:val="00BD5495"/>
    <w:rsid w:val="00BD57B2"/>
    <w:rsid w:val="00BD5AAB"/>
    <w:rsid w:val="00BD5AB3"/>
    <w:rsid w:val="00BD5D12"/>
    <w:rsid w:val="00BD6014"/>
    <w:rsid w:val="00BD62EC"/>
    <w:rsid w:val="00BD63F3"/>
    <w:rsid w:val="00BD65DB"/>
    <w:rsid w:val="00BD6765"/>
    <w:rsid w:val="00BD6811"/>
    <w:rsid w:val="00BD6C0C"/>
    <w:rsid w:val="00BD6F27"/>
    <w:rsid w:val="00BD6F63"/>
    <w:rsid w:val="00BD7336"/>
    <w:rsid w:val="00BD7560"/>
    <w:rsid w:val="00BD76B6"/>
    <w:rsid w:val="00BD7C05"/>
    <w:rsid w:val="00BD7D3A"/>
    <w:rsid w:val="00BE011F"/>
    <w:rsid w:val="00BE01E9"/>
    <w:rsid w:val="00BE02D5"/>
    <w:rsid w:val="00BE0435"/>
    <w:rsid w:val="00BE0488"/>
    <w:rsid w:val="00BE056E"/>
    <w:rsid w:val="00BE08C7"/>
    <w:rsid w:val="00BE099A"/>
    <w:rsid w:val="00BE0A75"/>
    <w:rsid w:val="00BE0A97"/>
    <w:rsid w:val="00BE0E6C"/>
    <w:rsid w:val="00BE12B8"/>
    <w:rsid w:val="00BE13AD"/>
    <w:rsid w:val="00BE147F"/>
    <w:rsid w:val="00BE15B4"/>
    <w:rsid w:val="00BE17A4"/>
    <w:rsid w:val="00BE1A5A"/>
    <w:rsid w:val="00BE1AD3"/>
    <w:rsid w:val="00BE1AD5"/>
    <w:rsid w:val="00BE1C3D"/>
    <w:rsid w:val="00BE1E18"/>
    <w:rsid w:val="00BE1E34"/>
    <w:rsid w:val="00BE1E89"/>
    <w:rsid w:val="00BE209A"/>
    <w:rsid w:val="00BE2180"/>
    <w:rsid w:val="00BE24D1"/>
    <w:rsid w:val="00BE251A"/>
    <w:rsid w:val="00BE25C7"/>
    <w:rsid w:val="00BE2968"/>
    <w:rsid w:val="00BE2B54"/>
    <w:rsid w:val="00BE2D2B"/>
    <w:rsid w:val="00BE3359"/>
    <w:rsid w:val="00BE35EA"/>
    <w:rsid w:val="00BE389C"/>
    <w:rsid w:val="00BE428B"/>
    <w:rsid w:val="00BE46C7"/>
    <w:rsid w:val="00BE4770"/>
    <w:rsid w:val="00BE52AA"/>
    <w:rsid w:val="00BE53E3"/>
    <w:rsid w:val="00BE54EB"/>
    <w:rsid w:val="00BE5582"/>
    <w:rsid w:val="00BE562D"/>
    <w:rsid w:val="00BE5779"/>
    <w:rsid w:val="00BE5C74"/>
    <w:rsid w:val="00BE608E"/>
    <w:rsid w:val="00BE683E"/>
    <w:rsid w:val="00BE68B1"/>
    <w:rsid w:val="00BE68C3"/>
    <w:rsid w:val="00BE6ADC"/>
    <w:rsid w:val="00BE6C90"/>
    <w:rsid w:val="00BE6E31"/>
    <w:rsid w:val="00BE6E4A"/>
    <w:rsid w:val="00BE72AB"/>
    <w:rsid w:val="00BE7475"/>
    <w:rsid w:val="00BE75C7"/>
    <w:rsid w:val="00BE7FEB"/>
    <w:rsid w:val="00BE7FF2"/>
    <w:rsid w:val="00BF0433"/>
    <w:rsid w:val="00BF0AAB"/>
    <w:rsid w:val="00BF10D2"/>
    <w:rsid w:val="00BF1187"/>
    <w:rsid w:val="00BF13A4"/>
    <w:rsid w:val="00BF180E"/>
    <w:rsid w:val="00BF1B20"/>
    <w:rsid w:val="00BF2141"/>
    <w:rsid w:val="00BF21B8"/>
    <w:rsid w:val="00BF25B4"/>
    <w:rsid w:val="00BF270C"/>
    <w:rsid w:val="00BF2A0C"/>
    <w:rsid w:val="00BF2AC3"/>
    <w:rsid w:val="00BF2BE4"/>
    <w:rsid w:val="00BF2DC8"/>
    <w:rsid w:val="00BF2F8A"/>
    <w:rsid w:val="00BF318A"/>
    <w:rsid w:val="00BF3520"/>
    <w:rsid w:val="00BF3737"/>
    <w:rsid w:val="00BF386C"/>
    <w:rsid w:val="00BF39F6"/>
    <w:rsid w:val="00BF3CEA"/>
    <w:rsid w:val="00BF4305"/>
    <w:rsid w:val="00BF451C"/>
    <w:rsid w:val="00BF4999"/>
    <w:rsid w:val="00BF4B83"/>
    <w:rsid w:val="00BF4BB5"/>
    <w:rsid w:val="00BF4D6C"/>
    <w:rsid w:val="00BF4F42"/>
    <w:rsid w:val="00BF50BE"/>
    <w:rsid w:val="00BF525B"/>
    <w:rsid w:val="00BF5336"/>
    <w:rsid w:val="00BF5404"/>
    <w:rsid w:val="00BF542E"/>
    <w:rsid w:val="00BF5438"/>
    <w:rsid w:val="00BF54CD"/>
    <w:rsid w:val="00BF5517"/>
    <w:rsid w:val="00BF59A9"/>
    <w:rsid w:val="00BF5A44"/>
    <w:rsid w:val="00BF5A52"/>
    <w:rsid w:val="00BF5D60"/>
    <w:rsid w:val="00BF5DD4"/>
    <w:rsid w:val="00BF6970"/>
    <w:rsid w:val="00BF6A83"/>
    <w:rsid w:val="00BF6AEE"/>
    <w:rsid w:val="00BF7085"/>
    <w:rsid w:val="00BF7A13"/>
    <w:rsid w:val="00BF7ECA"/>
    <w:rsid w:val="00C0022C"/>
    <w:rsid w:val="00C003FE"/>
    <w:rsid w:val="00C00459"/>
    <w:rsid w:val="00C00669"/>
    <w:rsid w:val="00C007CE"/>
    <w:rsid w:val="00C008B1"/>
    <w:rsid w:val="00C008D7"/>
    <w:rsid w:val="00C00B69"/>
    <w:rsid w:val="00C00D1D"/>
    <w:rsid w:val="00C00E85"/>
    <w:rsid w:val="00C00EF7"/>
    <w:rsid w:val="00C00F7F"/>
    <w:rsid w:val="00C0100B"/>
    <w:rsid w:val="00C010C7"/>
    <w:rsid w:val="00C011D5"/>
    <w:rsid w:val="00C0152B"/>
    <w:rsid w:val="00C015BE"/>
    <w:rsid w:val="00C0187C"/>
    <w:rsid w:val="00C018B3"/>
    <w:rsid w:val="00C01A79"/>
    <w:rsid w:val="00C01C3D"/>
    <w:rsid w:val="00C01C6C"/>
    <w:rsid w:val="00C01F5C"/>
    <w:rsid w:val="00C02004"/>
    <w:rsid w:val="00C022DE"/>
    <w:rsid w:val="00C02404"/>
    <w:rsid w:val="00C025E6"/>
    <w:rsid w:val="00C0260A"/>
    <w:rsid w:val="00C029AA"/>
    <w:rsid w:val="00C02CF9"/>
    <w:rsid w:val="00C02D6E"/>
    <w:rsid w:val="00C03184"/>
    <w:rsid w:val="00C03231"/>
    <w:rsid w:val="00C032F8"/>
    <w:rsid w:val="00C0357D"/>
    <w:rsid w:val="00C03AC4"/>
    <w:rsid w:val="00C03DA4"/>
    <w:rsid w:val="00C0464C"/>
    <w:rsid w:val="00C046B3"/>
    <w:rsid w:val="00C0482F"/>
    <w:rsid w:val="00C04B49"/>
    <w:rsid w:val="00C04DC3"/>
    <w:rsid w:val="00C04EE0"/>
    <w:rsid w:val="00C0556D"/>
    <w:rsid w:val="00C05821"/>
    <w:rsid w:val="00C0597E"/>
    <w:rsid w:val="00C05C34"/>
    <w:rsid w:val="00C05F04"/>
    <w:rsid w:val="00C0609D"/>
    <w:rsid w:val="00C066A2"/>
    <w:rsid w:val="00C069EE"/>
    <w:rsid w:val="00C06A18"/>
    <w:rsid w:val="00C06C51"/>
    <w:rsid w:val="00C06D0F"/>
    <w:rsid w:val="00C06D38"/>
    <w:rsid w:val="00C07070"/>
    <w:rsid w:val="00C0717C"/>
    <w:rsid w:val="00C074BB"/>
    <w:rsid w:val="00C07777"/>
    <w:rsid w:val="00C0799A"/>
    <w:rsid w:val="00C105CF"/>
    <w:rsid w:val="00C1086D"/>
    <w:rsid w:val="00C10970"/>
    <w:rsid w:val="00C10A47"/>
    <w:rsid w:val="00C10CBE"/>
    <w:rsid w:val="00C11A16"/>
    <w:rsid w:val="00C11BCF"/>
    <w:rsid w:val="00C1220A"/>
    <w:rsid w:val="00C12327"/>
    <w:rsid w:val="00C12380"/>
    <w:rsid w:val="00C123A3"/>
    <w:rsid w:val="00C1257A"/>
    <w:rsid w:val="00C125EE"/>
    <w:rsid w:val="00C127F1"/>
    <w:rsid w:val="00C12AD0"/>
    <w:rsid w:val="00C12E3B"/>
    <w:rsid w:val="00C12F6F"/>
    <w:rsid w:val="00C13095"/>
    <w:rsid w:val="00C131FA"/>
    <w:rsid w:val="00C13224"/>
    <w:rsid w:val="00C133C6"/>
    <w:rsid w:val="00C135D4"/>
    <w:rsid w:val="00C13859"/>
    <w:rsid w:val="00C1391A"/>
    <w:rsid w:val="00C13BEA"/>
    <w:rsid w:val="00C13C85"/>
    <w:rsid w:val="00C13F97"/>
    <w:rsid w:val="00C141B9"/>
    <w:rsid w:val="00C1472B"/>
    <w:rsid w:val="00C14A31"/>
    <w:rsid w:val="00C14FDE"/>
    <w:rsid w:val="00C15031"/>
    <w:rsid w:val="00C150B8"/>
    <w:rsid w:val="00C15617"/>
    <w:rsid w:val="00C15704"/>
    <w:rsid w:val="00C15A94"/>
    <w:rsid w:val="00C15DF6"/>
    <w:rsid w:val="00C1686E"/>
    <w:rsid w:val="00C16D83"/>
    <w:rsid w:val="00C1732E"/>
    <w:rsid w:val="00C176C6"/>
    <w:rsid w:val="00C1771E"/>
    <w:rsid w:val="00C17CDE"/>
    <w:rsid w:val="00C17D28"/>
    <w:rsid w:val="00C17D40"/>
    <w:rsid w:val="00C17D4A"/>
    <w:rsid w:val="00C17EA8"/>
    <w:rsid w:val="00C200FA"/>
    <w:rsid w:val="00C2073F"/>
    <w:rsid w:val="00C20C1C"/>
    <w:rsid w:val="00C21071"/>
    <w:rsid w:val="00C211B8"/>
    <w:rsid w:val="00C2125F"/>
    <w:rsid w:val="00C212C4"/>
    <w:rsid w:val="00C215AC"/>
    <w:rsid w:val="00C216A2"/>
    <w:rsid w:val="00C21992"/>
    <w:rsid w:val="00C21A27"/>
    <w:rsid w:val="00C21B3E"/>
    <w:rsid w:val="00C21B82"/>
    <w:rsid w:val="00C21B94"/>
    <w:rsid w:val="00C21BD4"/>
    <w:rsid w:val="00C21DD9"/>
    <w:rsid w:val="00C21F4F"/>
    <w:rsid w:val="00C22240"/>
    <w:rsid w:val="00C2225E"/>
    <w:rsid w:val="00C22295"/>
    <w:rsid w:val="00C22523"/>
    <w:rsid w:val="00C22857"/>
    <w:rsid w:val="00C22D76"/>
    <w:rsid w:val="00C22F24"/>
    <w:rsid w:val="00C231B7"/>
    <w:rsid w:val="00C23249"/>
    <w:rsid w:val="00C2352B"/>
    <w:rsid w:val="00C23896"/>
    <w:rsid w:val="00C23B05"/>
    <w:rsid w:val="00C23D88"/>
    <w:rsid w:val="00C2447C"/>
    <w:rsid w:val="00C24C58"/>
    <w:rsid w:val="00C24CE2"/>
    <w:rsid w:val="00C24E07"/>
    <w:rsid w:val="00C24F3D"/>
    <w:rsid w:val="00C24F66"/>
    <w:rsid w:val="00C250D5"/>
    <w:rsid w:val="00C2513F"/>
    <w:rsid w:val="00C25169"/>
    <w:rsid w:val="00C25346"/>
    <w:rsid w:val="00C25358"/>
    <w:rsid w:val="00C253D4"/>
    <w:rsid w:val="00C25631"/>
    <w:rsid w:val="00C25720"/>
    <w:rsid w:val="00C25B67"/>
    <w:rsid w:val="00C25BB6"/>
    <w:rsid w:val="00C25E56"/>
    <w:rsid w:val="00C261EA"/>
    <w:rsid w:val="00C2629B"/>
    <w:rsid w:val="00C264BB"/>
    <w:rsid w:val="00C26A81"/>
    <w:rsid w:val="00C26AE8"/>
    <w:rsid w:val="00C273BF"/>
    <w:rsid w:val="00C2746F"/>
    <w:rsid w:val="00C275D8"/>
    <w:rsid w:val="00C2763C"/>
    <w:rsid w:val="00C27997"/>
    <w:rsid w:val="00C27CB9"/>
    <w:rsid w:val="00C30C7F"/>
    <w:rsid w:val="00C30D36"/>
    <w:rsid w:val="00C30E8B"/>
    <w:rsid w:val="00C30EDD"/>
    <w:rsid w:val="00C30FF0"/>
    <w:rsid w:val="00C31462"/>
    <w:rsid w:val="00C31868"/>
    <w:rsid w:val="00C318B9"/>
    <w:rsid w:val="00C31942"/>
    <w:rsid w:val="00C319D2"/>
    <w:rsid w:val="00C319F5"/>
    <w:rsid w:val="00C31E1A"/>
    <w:rsid w:val="00C31EA6"/>
    <w:rsid w:val="00C3217E"/>
    <w:rsid w:val="00C32674"/>
    <w:rsid w:val="00C32697"/>
    <w:rsid w:val="00C326FE"/>
    <w:rsid w:val="00C3310B"/>
    <w:rsid w:val="00C33193"/>
    <w:rsid w:val="00C336AC"/>
    <w:rsid w:val="00C33BEF"/>
    <w:rsid w:val="00C34728"/>
    <w:rsid w:val="00C349BF"/>
    <w:rsid w:val="00C34A05"/>
    <w:rsid w:val="00C34F99"/>
    <w:rsid w:val="00C350E1"/>
    <w:rsid w:val="00C35142"/>
    <w:rsid w:val="00C3543F"/>
    <w:rsid w:val="00C356A5"/>
    <w:rsid w:val="00C356B6"/>
    <w:rsid w:val="00C35D40"/>
    <w:rsid w:val="00C35DB9"/>
    <w:rsid w:val="00C365E5"/>
    <w:rsid w:val="00C36BA9"/>
    <w:rsid w:val="00C37424"/>
    <w:rsid w:val="00C37956"/>
    <w:rsid w:val="00C37994"/>
    <w:rsid w:val="00C379FC"/>
    <w:rsid w:val="00C37D28"/>
    <w:rsid w:val="00C37FA6"/>
    <w:rsid w:val="00C401A1"/>
    <w:rsid w:val="00C405D2"/>
    <w:rsid w:val="00C40791"/>
    <w:rsid w:val="00C40879"/>
    <w:rsid w:val="00C40908"/>
    <w:rsid w:val="00C40A26"/>
    <w:rsid w:val="00C40AD6"/>
    <w:rsid w:val="00C40E57"/>
    <w:rsid w:val="00C40F78"/>
    <w:rsid w:val="00C4118A"/>
    <w:rsid w:val="00C414FA"/>
    <w:rsid w:val="00C4176E"/>
    <w:rsid w:val="00C41845"/>
    <w:rsid w:val="00C41925"/>
    <w:rsid w:val="00C421A9"/>
    <w:rsid w:val="00C422A5"/>
    <w:rsid w:val="00C423C9"/>
    <w:rsid w:val="00C425E2"/>
    <w:rsid w:val="00C427D2"/>
    <w:rsid w:val="00C42839"/>
    <w:rsid w:val="00C429DE"/>
    <w:rsid w:val="00C42ADB"/>
    <w:rsid w:val="00C42C46"/>
    <w:rsid w:val="00C42E45"/>
    <w:rsid w:val="00C42EF9"/>
    <w:rsid w:val="00C433F4"/>
    <w:rsid w:val="00C438A4"/>
    <w:rsid w:val="00C438D1"/>
    <w:rsid w:val="00C43CFB"/>
    <w:rsid w:val="00C43F43"/>
    <w:rsid w:val="00C43FE7"/>
    <w:rsid w:val="00C4408F"/>
    <w:rsid w:val="00C441A1"/>
    <w:rsid w:val="00C44338"/>
    <w:rsid w:val="00C443E9"/>
    <w:rsid w:val="00C44980"/>
    <w:rsid w:val="00C44C8B"/>
    <w:rsid w:val="00C44CC2"/>
    <w:rsid w:val="00C44D78"/>
    <w:rsid w:val="00C44F15"/>
    <w:rsid w:val="00C450C1"/>
    <w:rsid w:val="00C453C3"/>
    <w:rsid w:val="00C45624"/>
    <w:rsid w:val="00C45733"/>
    <w:rsid w:val="00C45B49"/>
    <w:rsid w:val="00C45C09"/>
    <w:rsid w:val="00C460FE"/>
    <w:rsid w:val="00C46355"/>
    <w:rsid w:val="00C46394"/>
    <w:rsid w:val="00C464FB"/>
    <w:rsid w:val="00C466F5"/>
    <w:rsid w:val="00C46796"/>
    <w:rsid w:val="00C46D99"/>
    <w:rsid w:val="00C46F59"/>
    <w:rsid w:val="00C470EC"/>
    <w:rsid w:val="00C4774B"/>
    <w:rsid w:val="00C477A4"/>
    <w:rsid w:val="00C47CA9"/>
    <w:rsid w:val="00C47D34"/>
    <w:rsid w:val="00C50419"/>
    <w:rsid w:val="00C5083E"/>
    <w:rsid w:val="00C508BF"/>
    <w:rsid w:val="00C50C8B"/>
    <w:rsid w:val="00C50D62"/>
    <w:rsid w:val="00C5119B"/>
    <w:rsid w:val="00C51597"/>
    <w:rsid w:val="00C516E8"/>
    <w:rsid w:val="00C51805"/>
    <w:rsid w:val="00C518B3"/>
    <w:rsid w:val="00C51A96"/>
    <w:rsid w:val="00C51C59"/>
    <w:rsid w:val="00C51CAE"/>
    <w:rsid w:val="00C51F12"/>
    <w:rsid w:val="00C51FC2"/>
    <w:rsid w:val="00C521E2"/>
    <w:rsid w:val="00C52686"/>
    <w:rsid w:val="00C52739"/>
    <w:rsid w:val="00C52AC8"/>
    <w:rsid w:val="00C52C1B"/>
    <w:rsid w:val="00C52E05"/>
    <w:rsid w:val="00C532F5"/>
    <w:rsid w:val="00C53B1C"/>
    <w:rsid w:val="00C53C0E"/>
    <w:rsid w:val="00C5433B"/>
    <w:rsid w:val="00C5461D"/>
    <w:rsid w:val="00C54764"/>
    <w:rsid w:val="00C54766"/>
    <w:rsid w:val="00C54B54"/>
    <w:rsid w:val="00C54BC6"/>
    <w:rsid w:val="00C54C22"/>
    <w:rsid w:val="00C54E41"/>
    <w:rsid w:val="00C54F86"/>
    <w:rsid w:val="00C54F95"/>
    <w:rsid w:val="00C54FA1"/>
    <w:rsid w:val="00C5510F"/>
    <w:rsid w:val="00C55200"/>
    <w:rsid w:val="00C553CB"/>
    <w:rsid w:val="00C55438"/>
    <w:rsid w:val="00C55499"/>
    <w:rsid w:val="00C5567A"/>
    <w:rsid w:val="00C558C4"/>
    <w:rsid w:val="00C55AE4"/>
    <w:rsid w:val="00C5663B"/>
    <w:rsid w:val="00C5672E"/>
    <w:rsid w:val="00C56E16"/>
    <w:rsid w:val="00C56F52"/>
    <w:rsid w:val="00C576DD"/>
    <w:rsid w:val="00C579E2"/>
    <w:rsid w:val="00C57A33"/>
    <w:rsid w:val="00C57E3A"/>
    <w:rsid w:val="00C57E86"/>
    <w:rsid w:val="00C57FC1"/>
    <w:rsid w:val="00C60141"/>
    <w:rsid w:val="00C601D0"/>
    <w:rsid w:val="00C6024E"/>
    <w:rsid w:val="00C6029D"/>
    <w:rsid w:val="00C6033E"/>
    <w:rsid w:val="00C6066A"/>
    <w:rsid w:val="00C606DB"/>
    <w:rsid w:val="00C60765"/>
    <w:rsid w:val="00C608D2"/>
    <w:rsid w:val="00C60E9C"/>
    <w:rsid w:val="00C60F34"/>
    <w:rsid w:val="00C6104D"/>
    <w:rsid w:val="00C6119C"/>
    <w:rsid w:val="00C61292"/>
    <w:rsid w:val="00C613CE"/>
    <w:rsid w:val="00C61441"/>
    <w:rsid w:val="00C61734"/>
    <w:rsid w:val="00C618E3"/>
    <w:rsid w:val="00C61EA8"/>
    <w:rsid w:val="00C62288"/>
    <w:rsid w:val="00C6244E"/>
    <w:rsid w:val="00C62744"/>
    <w:rsid w:val="00C628D8"/>
    <w:rsid w:val="00C62A86"/>
    <w:rsid w:val="00C62B27"/>
    <w:rsid w:val="00C62B45"/>
    <w:rsid w:val="00C62D3E"/>
    <w:rsid w:val="00C62E8E"/>
    <w:rsid w:val="00C62EE3"/>
    <w:rsid w:val="00C63032"/>
    <w:rsid w:val="00C63375"/>
    <w:rsid w:val="00C63688"/>
    <w:rsid w:val="00C63BB0"/>
    <w:rsid w:val="00C640CC"/>
    <w:rsid w:val="00C648D5"/>
    <w:rsid w:val="00C648F2"/>
    <w:rsid w:val="00C64A6E"/>
    <w:rsid w:val="00C64DB7"/>
    <w:rsid w:val="00C651EB"/>
    <w:rsid w:val="00C6544C"/>
    <w:rsid w:val="00C656BB"/>
    <w:rsid w:val="00C65796"/>
    <w:rsid w:val="00C65F12"/>
    <w:rsid w:val="00C66044"/>
    <w:rsid w:val="00C66343"/>
    <w:rsid w:val="00C66481"/>
    <w:rsid w:val="00C66716"/>
    <w:rsid w:val="00C66B31"/>
    <w:rsid w:val="00C66CF8"/>
    <w:rsid w:val="00C671E6"/>
    <w:rsid w:val="00C675DA"/>
    <w:rsid w:val="00C67768"/>
    <w:rsid w:val="00C6783A"/>
    <w:rsid w:val="00C67A4C"/>
    <w:rsid w:val="00C67D1B"/>
    <w:rsid w:val="00C67D2C"/>
    <w:rsid w:val="00C67D3A"/>
    <w:rsid w:val="00C70039"/>
    <w:rsid w:val="00C704FE"/>
    <w:rsid w:val="00C70534"/>
    <w:rsid w:val="00C7056E"/>
    <w:rsid w:val="00C70603"/>
    <w:rsid w:val="00C7064C"/>
    <w:rsid w:val="00C707E3"/>
    <w:rsid w:val="00C708BF"/>
    <w:rsid w:val="00C708E8"/>
    <w:rsid w:val="00C709C6"/>
    <w:rsid w:val="00C70EC3"/>
    <w:rsid w:val="00C7158D"/>
    <w:rsid w:val="00C7162D"/>
    <w:rsid w:val="00C718BB"/>
    <w:rsid w:val="00C71917"/>
    <w:rsid w:val="00C72263"/>
    <w:rsid w:val="00C72352"/>
    <w:rsid w:val="00C7252E"/>
    <w:rsid w:val="00C727B6"/>
    <w:rsid w:val="00C72B0C"/>
    <w:rsid w:val="00C72B8D"/>
    <w:rsid w:val="00C73256"/>
    <w:rsid w:val="00C73270"/>
    <w:rsid w:val="00C7334E"/>
    <w:rsid w:val="00C73477"/>
    <w:rsid w:val="00C7351E"/>
    <w:rsid w:val="00C738DF"/>
    <w:rsid w:val="00C73A6F"/>
    <w:rsid w:val="00C73D70"/>
    <w:rsid w:val="00C73DA4"/>
    <w:rsid w:val="00C74023"/>
    <w:rsid w:val="00C741F3"/>
    <w:rsid w:val="00C746B6"/>
    <w:rsid w:val="00C748AC"/>
    <w:rsid w:val="00C748CF"/>
    <w:rsid w:val="00C749B1"/>
    <w:rsid w:val="00C75388"/>
    <w:rsid w:val="00C75538"/>
    <w:rsid w:val="00C756EF"/>
    <w:rsid w:val="00C75905"/>
    <w:rsid w:val="00C75A33"/>
    <w:rsid w:val="00C75B12"/>
    <w:rsid w:val="00C75E5D"/>
    <w:rsid w:val="00C76141"/>
    <w:rsid w:val="00C761F7"/>
    <w:rsid w:val="00C763B9"/>
    <w:rsid w:val="00C765E9"/>
    <w:rsid w:val="00C766D8"/>
    <w:rsid w:val="00C7679A"/>
    <w:rsid w:val="00C767DC"/>
    <w:rsid w:val="00C769A7"/>
    <w:rsid w:val="00C76A8D"/>
    <w:rsid w:val="00C76BA1"/>
    <w:rsid w:val="00C76F70"/>
    <w:rsid w:val="00C77337"/>
    <w:rsid w:val="00C77506"/>
    <w:rsid w:val="00C778FC"/>
    <w:rsid w:val="00C77CEC"/>
    <w:rsid w:val="00C77D5B"/>
    <w:rsid w:val="00C77E81"/>
    <w:rsid w:val="00C80324"/>
    <w:rsid w:val="00C8047D"/>
    <w:rsid w:val="00C804AC"/>
    <w:rsid w:val="00C808D3"/>
    <w:rsid w:val="00C80AF6"/>
    <w:rsid w:val="00C80AFC"/>
    <w:rsid w:val="00C80C16"/>
    <w:rsid w:val="00C81033"/>
    <w:rsid w:val="00C81309"/>
    <w:rsid w:val="00C8167F"/>
    <w:rsid w:val="00C81D1E"/>
    <w:rsid w:val="00C81E97"/>
    <w:rsid w:val="00C8227A"/>
    <w:rsid w:val="00C824EE"/>
    <w:rsid w:val="00C82B65"/>
    <w:rsid w:val="00C82FCA"/>
    <w:rsid w:val="00C83023"/>
    <w:rsid w:val="00C8332E"/>
    <w:rsid w:val="00C835BD"/>
    <w:rsid w:val="00C83704"/>
    <w:rsid w:val="00C83946"/>
    <w:rsid w:val="00C83C48"/>
    <w:rsid w:val="00C83E29"/>
    <w:rsid w:val="00C840C0"/>
    <w:rsid w:val="00C84210"/>
    <w:rsid w:val="00C84503"/>
    <w:rsid w:val="00C845A4"/>
    <w:rsid w:val="00C84F44"/>
    <w:rsid w:val="00C84F97"/>
    <w:rsid w:val="00C850AA"/>
    <w:rsid w:val="00C851CE"/>
    <w:rsid w:val="00C85395"/>
    <w:rsid w:val="00C85792"/>
    <w:rsid w:val="00C857FF"/>
    <w:rsid w:val="00C85895"/>
    <w:rsid w:val="00C86075"/>
    <w:rsid w:val="00C8607A"/>
    <w:rsid w:val="00C8623E"/>
    <w:rsid w:val="00C86375"/>
    <w:rsid w:val="00C86630"/>
    <w:rsid w:val="00C868AA"/>
    <w:rsid w:val="00C86A72"/>
    <w:rsid w:val="00C86C6F"/>
    <w:rsid w:val="00C86C7B"/>
    <w:rsid w:val="00C86CEB"/>
    <w:rsid w:val="00C86D75"/>
    <w:rsid w:val="00C86E5F"/>
    <w:rsid w:val="00C86F4A"/>
    <w:rsid w:val="00C86FE2"/>
    <w:rsid w:val="00C870DE"/>
    <w:rsid w:val="00C871A8"/>
    <w:rsid w:val="00C871D2"/>
    <w:rsid w:val="00C87399"/>
    <w:rsid w:val="00C87442"/>
    <w:rsid w:val="00C879E2"/>
    <w:rsid w:val="00C87A2E"/>
    <w:rsid w:val="00C87C47"/>
    <w:rsid w:val="00C87E36"/>
    <w:rsid w:val="00C903BE"/>
    <w:rsid w:val="00C90440"/>
    <w:rsid w:val="00C9046A"/>
    <w:rsid w:val="00C905A4"/>
    <w:rsid w:val="00C909AC"/>
    <w:rsid w:val="00C909D2"/>
    <w:rsid w:val="00C90ACD"/>
    <w:rsid w:val="00C90DD7"/>
    <w:rsid w:val="00C90EEE"/>
    <w:rsid w:val="00C90F72"/>
    <w:rsid w:val="00C91106"/>
    <w:rsid w:val="00C91207"/>
    <w:rsid w:val="00C913AC"/>
    <w:rsid w:val="00C914EE"/>
    <w:rsid w:val="00C91536"/>
    <w:rsid w:val="00C91986"/>
    <w:rsid w:val="00C919FD"/>
    <w:rsid w:val="00C91BB1"/>
    <w:rsid w:val="00C91C9F"/>
    <w:rsid w:val="00C91D04"/>
    <w:rsid w:val="00C91EA5"/>
    <w:rsid w:val="00C9219E"/>
    <w:rsid w:val="00C9227B"/>
    <w:rsid w:val="00C92536"/>
    <w:rsid w:val="00C9288B"/>
    <w:rsid w:val="00C92919"/>
    <w:rsid w:val="00C929AB"/>
    <w:rsid w:val="00C92A31"/>
    <w:rsid w:val="00C92C93"/>
    <w:rsid w:val="00C9353D"/>
    <w:rsid w:val="00C9386E"/>
    <w:rsid w:val="00C93DC5"/>
    <w:rsid w:val="00C93F4F"/>
    <w:rsid w:val="00C93FF6"/>
    <w:rsid w:val="00C94408"/>
    <w:rsid w:val="00C9473F"/>
    <w:rsid w:val="00C949C9"/>
    <w:rsid w:val="00C94A00"/>
    <w:rsid w:val="00C94A8C"/>
    <w:rsid w:val="00C95256"/>
    <w:rsid w:val="00C952C3"/>
    <w:rsid w:val="00C95409"/>
    <w:rsid w:val="00C959DA"/>
    <w:rsid w:val="00C96493"/>
    <w:rsid w:val="00C964AD"/>
    <w:rsid w:val="00C96CF1"/>
    <w:rsid w:val="00C96DF7"/>
    <w:rsid w:val="00C96E63"/>
    <w:rsid w:val="00C9729B"/>
    <w:rsid w:val="00C97623"/>
    <w:rsid w:val="00C977F1"/>
    <w:rsid w:val="00C97E85"/>
    <w:rsid w:val="00C97F5E"/>
    <w:rsid w:val="00C97FF6"/>
    <w:rsid w:val="00CA00AB"/>
    <w:rsid w:val="00CA039A"/>
    <w:rsid w:val="00CA0804"/>
    <w:rsid w:val="00CA0C3D"/>
    <w:rsid w:val="00CA0C91"/>
    <w:rsid w:val="00CA0DDA"/>
    <w:rsid w:val="00CA0EAC"/>
    <w:rsid w:val="00CA0F65"/>
    <w:rsid w:val="00CA1056"/>
    <w:rsid w:val="00CA15E2"/>
    <w:rsid w:val="00CA179D"/>
    <w:rsid w:val="00CA1A23"/>
    <w:rsid w:val="00CA1CC7"/>
    <w:rsid w:val="00CA1DCE"/>
    <w:rsid w:val="00CA2615"/>
    <w:rsid w:val="00CA2638"/>
    <w:rsid w:val="00CA2725"/>
    <w:rsid w:val="00CA2861"/>
    <w:rsid w:val="00CA2A65"/>
    <w:rsid w:val="00CA2A99"/>
    <w:rsid w:val="00CA2DF0"/>
    <w:rsid w:val="00CA3044"/>
    <w:rsid w:val="00CA3EB5"/>
    <w:rsid w:val="00CA3FF4"/>
    <w:rsid w:val="00CA4086"/>
    <w:rsid w:val="00CA44C7"/>
    <w:rsid w:val="00CA45D2"/>
    <w:rsid w:val="00CA4778"/>
    <w:rsid w:val="00CA5363"/>
    <w:rsid w:val="00CA5427"/>
    <w:rsid w:val="00CA59D7"/>
    <w:rsid w:val="00CA5A04"/>
    <w:rsid w:val="00CA5AE5"/>
    <w:rsid w:val="00CA5BC0"/>
    <w:rsid w:val="00CA6171"/>
    <w:rsid w:val="00CA62BE"/>
    <w:rsid w:val="00CA6391"/>
    <w:rsid w:val="00CA63EA"/>
    <w:rsid w:val="00CA648B"/>
    <w:rsid w:val="00CA6A62"/>
    <w:rsid w:val="00CA6FE0"/>
    <w:rsid w:val="00CA79DE"/>
    <w:rsid w:val="00CA7D8B"/>
    <w:rsid w:val="00CB0301"/>
    <w:rsid w:val="00CB07BB"/>
    <w:rsid w:val="00CB094D"/>
    <w:rsid w:val="00CB09D3"/>
    <w:rsid w:val="00CB0A44"/>
    <w:rsid w:val="00CB0B30"/>
    <w:rsid w:val="00CB0EAF"/>
    <w:rsid w:val="00CB1183"/>
    <w:rsid w:val="00CB158F"/>
    <w:rsid w:val="00CB17B0"/>
    <w:rsid w:val="00CB17C6"/>
    <w:rsid w:val="00CB1989"/>
    <w:rsid w:val="00CB1B84"/>
    <w:rsid w:val="00CB1C59"/>
    <w:rsid w:val="00CB25B2"/>
    <w:rsid w:val="00CB26DD"/>
    <w:rsid w:val="00CB26FE"/>
    <w:rsid w:val="00CB276E"/>
    <w:rsid w:val="00CB2928"/>
    <w:rsid w:val="00CB2C0A"/>
    <w:rsid w:val="00CB2DE0"/>
    <w:rsid w:val="00CB2FFA"/>
    <w:rsid w:val="00CB3023"/>
    <w:rsid w:val="00CB3531"/>
    <w:rsid w:val="00CB3DBC"/>
    <w:rsid w:val="00CB409F"/>
    <w:rsid w:val="00CB4443"/>
    <w:rsid w:val="00CB4479"/>
    <w:rsid w:val="00CB48C6"/>
    <w:rsid w:val="00CB4C47"/>
    <w:rsid w:val="00CB4CB0"/>
    <w:rsid w:val="00CB4E83"/>
    <w:rsid w:val="00CB511D"/>
    <w:rsid w:val="00CB530D"/>
    <w:rsid w:val="00CB53D2"/>
    <w:rsid w:val="00CB5558"/>
    <w:rsid w:val="00CB5E75"/>
    <w:rsid w:val="00CB5EF5"/>
    <w:rsid w:val="00CB60ED"/>
    <w:rsid w:val="00CB6337"/>
    <w:rsid w:val="00CB64C8"/>
    <w:rsid w:val="00CB6532"/>
    <w:rsid w:val="00CB6538"/>
    <w:rsid w:val="00CB661A"/>
    <w:rsid w:val="00CB6808"/>
    <w:rsid w:val="00CB695C"/>
    <w:rsid w:val="00CB6C5C"/>
    <w:rsid w:val="00CB6CA5"/>
    <w:rsid w:val="00CB70C9"/>
    <w:rsid w:val="00CB70EB"/>
    <w:rsid w:val="00CB711B"/>
    <w:rsid w:val="00CB745B"/>
    <w:rsid w:val="00CB7878"/>
    <w:rsid w:val="00CB7AB6"/>
    <w:rsid w:val="00CB7BCF"/>
    <w:rsid w:val="00CB7D93"/>
    <w:rsid w:val="00CB7EAC"/>
    <w:rsid w:val="00CB7F2E"/>
    <w:rsid w:val="00CB7F87"/>
    <w:rsid w:val="00CC0149"/>
    <w:rsid w:val="00CC014B"/>
    <w:rsid w:val="00CC0285"/>
    <w:rsid w:val="00CC04C9"/>
    <w:rsid w:val="00CC0716"/>
    <w:rsid w:val="00CC0E42"/>
    <w:rsid w:val="00CC1061"/>
    <w:rsid w:val="00CC109F"/>
    <w:rsid w:val="00CC112F"/>
    <w:rsid w:val="00CC1221"/>
    <w:rsid w:val="00CC132B"/>
    <w:rsid w:val="00CC148B"/>
    <w:rsid w:val="00CC1509"/>
    <w:rsid w:val="00CC1626"/>
    <w:rsid w:val="00CC1D7B"/>
    <w:rsid w:val="00CC205B"/>
    <w:rsid w:val="00CC207D"/>
    <w:rsid w:val="00CC251F"/>
    <w:rsid w:val="00CC2688"/>
    <w:rsid w:val="00CC2AE7"/>
    <w:rsid w:val="00CC2DD1"/>
    <w:rsid w:val="00CC2DF3"/>
    <w:rsid w:val="00CC2E0C"/>
    <w:rsid w:val="00CC2E43"/>
    <w:rsid w:val="00CC2EF4"/>
    <w:rsid w:val="00CC31E9"/>
    <w:rsid w:val="00CC4203"/>
    <w:rsid w:val="00CC4209"/>
    <w:rsid w:val="00CC4383"/>
    <w:rsid w:val="00CC43B3"/>
    <w:rsid w:val="00CC4651"/>
    <w:rsid w:val="00CC488B"/>
    <w:rsid w:val="00CC4978"/>
    <w:rsid w:val="00CC4A99"/>
    <w:rsid w:val="00CC4BE4"/>
    <w:rsid w:val="00CC4BEE"/>
    <w:rsid w:val="00CC4CC9"/>
    <w:rsid w:val="00CC4D48"/>
    <w:rsid w:val="00CC4DEB"/>
    <w:rsid w:val="00CC4EE4"/>
    <w:rsid w:val="00CC502B"/>
    <w:rsid w:val="00CC50F6"/>
    <w:rsid w:val="00CC583E"/>
    <w:rsid w:val="00CC5F1D"/>
    <w:rsid w:val="00CC5FDC"/>
    <w:rsid w:val="00CC62DF"/>
    <w:rsid w:val="00CC6939"/>
    <w:rsid w:val="00CC6DD0"/>
    <w:rsid w:val="00CC6EF8"/>
    <w:rsid w:val="00CC6FE5"/>
    <w:rsid w:val="00CC74CF"/>
    <w:rsid w:val="00CC76AD"/>
    <w:rsid w:val="00CC7A89"/>
    <w:rsid w:val="00CC7B69"/>
    <w:rsid w:val="00CC7C82"/>
    <w:rsid w:val="00CC7F65"/>
    <w:rsid w:val="00CD0112"/>
    <w:rsid w:val="00CD0446"/>
    <w:rsid w:val="00CD0515"/>
    <w:rsid w:val="00CD066E"/>
    <w:rsid w:val="00CD099D"/>
    <w:rsid w:val="00CD0B5D"/>
    <w:rsid w:val="00CD0C95"/>
    <w:rsid w:val="00CD14F2"/>
    <w:rsid w:val="00CD1619"/>
    <w:rsid w:val="00CD1AE9"/>
    <w:rsid w:val="00CD2067"/>
    <w:rsid w:val="00CD27B1"/>
    <w:rsid w:val="00CD2C8F"/>
    <w:rsid w:val="00CD3470"/>
    <w:rsid w:val="00CD358E"/>
    <w:rsid w:val="00CD3686"/>
    <w:rsid w:val="00CD3981"/>
    <w:rsid w:val="00CD39DE"/>
    <w:rsid w:val="00CD3A4E"/>
    <w:rsid w:val="00CD3ABF"/>
    <w:rsid w:val="00CD3D04"/>
    <w:rsid w:val="00CD3E65"/>
    <w:rsid w:val="00CD4062"/>
    <w:rsid w:val="00CD42D1"/>
    <w:rsid w:val="00CD4409"/>
    <w:rsid w:val="00CD4518"/>
    <w:rsid w:val="00CD4B3C"/>
    <w:rsid w:val="00CD4D40"/>
    <w:rsid w:val="00CD4E95"/>
    <w:rsid w:val="00CD5236"/>
    <w:rsid w:val="00CD540D"/>
    <w:rsid w:val="00CD5814"/>
    <w:rsid w:val="00CD5834"/>
    <w:rsid w:val="00CD5DB9"/>
    <w:rsid w:val="00CD5E87"/>
    <w:rsid w:val="00CD5EDB"/>
    <w:rsid w:val="00CD5FC9"/>
    <w:rsid w:val="00CD6077"/>
    <w:rsid w:val="00CD6905"/>
    <w:rsid w:val="00CD6DE8"/>
    <w:rsid w:val="00CD6F31"/>
    <w:rsid w:val="00CD6FF3"/>
    <w:rsid w:val="00CD751F"/>
    <w:rsid w:val="00CD76C6"/>
    <w:rsid w:val="00CD7852"/>
    <w:rsid w:val="00CD78BA"/>
    <w:rsid w:val="00CD7A8B"/>
    <w:rsid w:val="00CD7AB2"/>
    <w:rsid w:val="00CD7CA2"/>
    <w:rsid w:val="00CD7D24"/>
    <w:rsid w:val="00CD7DEC"/>
    <w:rsid w:val="00CE01AB"/>
    <w:rsid w:val="00CE02C9"/>
    <w:rsid w:val="00CE03B3"/>
    <w:rsid w:val="00CE0413"/>
    <w:rsid w:val="00CE050B"/>
    <w:rsid w:val="00CE0928"/>
    <w:rsid w:val="00CE0A77"/>
    <w:rsid w:val="00CE0C15"/>
    <w:rsid w:val="00CE0F9F"/>
    <w:rsid w:val="00CE0FDB"/>
    <w:rsid w:val="00CE132C"/>
    <w:rsid w:val="00CE1A4A"/>
    <w:rsid w:val="00CE1B41"/>
    <w:rsid w:val="00CE1D57"/>
    <w:rsid w:val="00CE2039"/>
    <w:rsid w:val="00CE20BF"/>
    <w:rsid w:val="00CE2620"/>
    <w:rsid w:val="00CE2F81"/>
    <w:rsid w:val="00CE30BD"/>
    <w:rsid w:val="00CE3135"/>
    <w:rsid w:val="00CE327B"/>
    <w:rsid w:val="00CE3422"/>
    <w:rsid w:val="00CE354F"/>
    <w:rsid w:val="00CE369D"/>
    <w:rsid w:val="00CE3718"/>
    <w:rsid w:val="00CE3C93"/>
    <w:rsid w:val="00CE4376"/>
    <w:rsid w:val="00CE43C5"/>
    <w:rsid w:val="00CE478F"/>
    <w:rsid w:val="00CE4B2E"/>
    <w:rsid w:val="00CE4C15"/>
    <w:rsid w:val="00CE5063"/>
    <w:rsid w:val="00CE512B"/>
    <w:rsid w:val="00CE522C"/>
    <w:rsid w:val="00CE52B5"/>
    <w:rsid w:val="00CE5454"/>
    <w:rsid w:val="00CE58D9"/>
    <w:rsid w:val="00CE5985"/>
    <w:rsid w:val="00CE5AAE"/>
    <w:rsid w:val="00CE5D51"/>
    <w:rsid w:val="00CE5DA7"/>
    <w:rsid w:val="00CE5F8D"/>
    <w:rsid w:val="00CE64C5"/>
    <w:rsid w:val="00CE6510"/>
    <w:rsid w:val="00CE659E"/>
    <w:rsid w:val="00CE66A4"/>
    <w:rsid w:val="00CE6A1D"/>
    <w:rsid w:val="00CE6A49"/>
    <w:rsid w:val="00CE6D28"/>
    <w:rsid w:val="00CE6E0D"/>
    <w:rsid w:val="00CE6F22"/>
    <w:rsid w:val="00CE715B"/>
    <w:rsid w:val="00CE71C6"/>
    <w:rsid w:val="00CE79F0"/>
    <w:rsid w:val="00CE7E8C"/>
    <w:rsid w:val="00CE7ECE"/>
    <w:rsid w:val="00CF003A"/>
    <w:rsid w:val="00CF0319"/>
    <w:rsid w:val="00CF05C4"/>
    <w:rsid w:val="00CF0737"/>
    <w:rsid w:val="00CF08E3"/>
    <w:rsid w:val="00CF0B4C"/>
    <w:rsid w:val="00CF0BD6"/>
    <w:rsid w:val="00CF0E2D"/>
    <w:rsid w:val="00CF0EF5"/>
    <w:rsid w:val="00CF0F57"/>
    <w:rsid w:val="00CF108D"/>
    <w:rsid w:val="00CF1114"/>
    <w:rsid w:val="00CF11E5"/>
    <w:rsid w:val="00CF14FA"/>
    <w:rsid w:val="00CF156B"/>
    <w:rsid w:val="00CF1572"/>
    <w:rsid w:val="00CF1637"/>
    <w:rsid w:val="00CF196A"/>
    <w:rsid w:val="00CF1AC4"/>
    <w:rsid w:val="00CF1BBB"/>
    <w:rsid w:val="00CF1CB5"/>
    <w:rsid w:val="00CF1DC3"/>
    <w:rsid w:val="00CF1F5D"/>
    <w:rsid w:val="00CF200E"/>
    <w:rsid w:val="00CF2118"/>
    <w:rsid w:val="00CF22EB"/>
    <w:rsid w:val="00CF24C0"/>
    <w:rsid w:val="00CF25E3"/>
    <w:rsid w:val="00CF276C"/>
    <w:rsid w:val="00CF2A6B"/>
    <w:rsid w:val="00CF2CAE"/>
    <w:rsid w:val="00CF2EDD"/>
    <w:rsid w:val="00CF2F72"/>
    <w:rsid w:val="00CF30F8"/>
    <w:rsid w:val="00CF317D"/>
    <w:rsid w:val="00CF32B1"/>
    <w:rsid w:val="00CF369B"/>
    <w:rsid w:val="00CF3800"/>
    <w:rsid w:val="00CF3AE3"/>
    <w:rsid w:val="00CF4075"/>
    <w:rsid w:val="00CF444D"/>
    <w:rsid w:val="00CF4454"/>
    <w:rsid w:val="00CF4478"/>
    <w:rsid w:val="00CF469C"/>
    <w:rsid w:val="00CF506A"/>
    <w:rsid w:val="00CF50B5"/>
    <w:rsid w:val="00CF5841"/>
    <w:rsid w:val="00CF59F5"/>
    <w:rsid w:val="00CF5B4C"/>
    <w:rsid w:val="00CF5D1F"/>
    <w:rsid w:val="00CF5ED1"/>
    <w:rsid w:val="00CF5F5D"/>
    <w:rsid w:val="00CF6144"/>
    <w:rsid w:val="00CF654D"/>
    <w:rsid w:val="00CF69E1"/>
    <w:rsid w:val="00CF709E"/>
    <w:rsid w:val="00CF74B7"/>
    <w:rsid w:val="00CF752A"/>
    <w:rsid w:val="00CF754D"/>
    <w:rsid w:val="00CF781D"/>
    <w:rsid w:val="00CF7C84"/>
    <w:rsid w:val="00CF7CD3"/>
    <w:rsid w:val="00CF7D14"/>
    <w:rsid w:val="00CF7DCF"/>
    <w:rsid w:val="00CF7F5E"/>
    <w:rsid w:val="00CF7F80"/>
    <w:rsid w:val="00D0008E"/>
    <w:rsid w:val="00D0014B"/>
    <w:rsid w:val="00D003AE"/>
    <w:rsid w:val="00D0059A"/>
    <w:rsid w:val="00D0062F"/>
    <w:rsid w:val="00D00637"/>
    <w:rsid w:val="00D0082D"/>
    <w:rsid w:val="00D009CB"/>
    <w:rsid w:val="00D01203"/>
    <w:rsid w:val="00D012AA"/>
    <w:rsid w:val="00D012D7"/>
    <w:rsid w:val="00D0135F"/>
    <w:rsid w:val="00D01658"/>
    <w:rsid w:val="00D0165A"/>
    <w:rsid w:val="00D01685"/>
    <w:rsid w:val="00D016F2"/>
    <w:rsid w:val="00D016FD"/>
    <w:rsid w:val="00D01D82"/>
    <w:rsid w:val="00D01E20"/>
    <w:rsid w:val="00D02027"/>
    <w:rsid w:val="00D0207B"/>
    <w:rsid w:val="00D0255A"/>
    <w:rsid w:val="00D026BD"/>
    <w:rsid w:val="00D031A5"/>
    <w:rsid w:val="00D03410"/>
    <w:rsid w:val="00D037CC"/>
    <w:rsid w:val="00D03879"/>
    <w:rsid w:val="00D03D40"/>
    <w:rsid w:val="00D03D7C"/>
    <w:rsid w:val="00D03D9E"/>
    <w:rsid w:val="00D04643"/>
    <w:rsid w:val="00D0466B"/>
    <w:rsid w:val="00D0482A"/>
    <w:rsid w:val="00D04C4A"/>
    <w:rsid w:val="00D05001"/>
    <w:rsid w:val="00D0514B"/>
    <w:rsid w:val="00D0543A"/>
    <w:rsid w:val="00D0546C"/>
    <w:rsid w:val="00D054AE"/>
    <w:rsid w:val="00D0559D"/>
    <w:rsid w:val="00D055C4"/>
    <w:rsid w:val="00D058C8"/>
    <w:rsid w:val="00D059BB"/>
    <w:rsid w:val="00D059F8"/>
    <w:rsid w:val="00D05AD1"/>
    <w:rsid w:val="00D05DF9"/>
    <w:rsid w:val="00D05FF4"/>
    <w:rsid w:val="00D060B9"/>
    <w:rsid w:val="00D06559"/>
    <w:rsid w:val="00D0735D"/>
    <w:rsid w:val="00D0763F"/>
    <w:rsid w:val="00D07972"/>
    <w:rsid w:val="00D07C6A"/>
    <w:rsid w:val="00D07ED8"/>
    <w:rsid w:val="00D1089B"/>
    <w:rsid w:val="00D1097B"/>
    <w:rsid w:val="00D10B9E"/>
    <w:rsid w:val="00D10DCD"/>
    <w:rsid w:val="00D10DEF"/>
    <w:rsid w:val="00D10E03"/>
    <w:rsid w:val="00D10E37"/>
    <w:rsid w:val="00D10E80"/>
    <w:rsid w:val="00D1105A"/>
    <w:rsid w:val="00D111D2"/>
    <w:rsid w:val="00D11293"/>
    <w:rsid w:val="00D118B8"/>
    <w:rsid w:val="00D11DD3"/>
    <w:rsid w:val="00D11EAC"/>
    <w:rsid w:val="00D11F8A"/>
    <w:rsid w:val="00D120DD"/>
    <w:rsid w:val="00D12131"/>
    <w:rsid w:val="00D12216"/>
    <w:rsid w:val="00D12687"/>
    <w:rsid w:val="00D12812"/>
    <w:rsid w:val="00D129D6"/>
    <w:rsid w:val="00D12B35"/>
    <w:rsid w:val="00D12F0D"/>
    <w:rsid w:val="00D12FE3"/>
    <w:rsid w:val="00D1313E"/>
    <w:rsid w:val="00D13144"/>
    <w:rsid w:val="00D1362A"/>
    <w:rsid w:val="00D13A16"/>
    <w:rsid w:val="00D13B90"/>
    <w:rsid w:val="00D13BAD"/>
    <w:rsid w:val="00D13BD4"/>
    <w:rsid w:val="00D13C28"/>
    <w:rsid w:val="00D13D67"/>
    <w:rsid w:val="00D13F66"/>
    <w:rsid w:val="00D1422F"/>
    <w:rsid w:val="00D14278"/>
    <w:rsid w:val="00D142B4"/>
    <w:rsid w:val="00D146F2"/>
    <w:rsid w:val="00D1494A"/>
    <w:rsid w:val="00D14AB0"/>
    <w:rsid w:val="00D152C6"/>
    <w:rsid w:val="00D154BE"/>
    <w:rsid w:val="00D158B5"/>
    <w:rsid w:val="00D15A73"/>
    <w:rsid w:val="00D15A98"/>
    <w:rsid w:val="00D161D6"/>
    <w:rsid w:val="00D16257"/>
    <w:rsid w:val="00D1637C"/>
    <w:rsid w:val="00D1654F"/>
    <w:rsid w:val="00D165F6"/>
    <w:rsid w:val="00D16732"/>
    <w:rsid w:val="00D16BE3"/>
    <w:rsid w:val="00D16D23"/>
    <w:rsid w:val="00D17336"/>
    <w:rsid w:val="00D17A3E"/>
    <w:rsid w:val="00D17B3A"/>
    <w:rsid w:val="00D17C04"/>
    <w:rsid w:val="00D17CFD"/>
    <w:rsid w:val="00D17D8C"/>
    <w:rsid w:val="00D205EE"/>
    <w:rsid w:val="00D20BA6"/>
    <w:rsid w:val="00D20DDC"/>
    <w:rsid w:val="00D20E6F"/>
    <w:rsid w:val="00D20EFE"/>
    <w:rsid w:val="00D20F21"/>
    <w:rsid w:val="00D20FDE"/>
    <w:rsid w:val="00D21294"/>
    <w:rsid w:val="00D21B8B"/>
    <w:rsid w:val="00D21F95"/>
    <w:rsid w:val="00D221F7"/>
    <w:rsid w:val="00D2222A"/>
    <w:rsid w:val="00D222D3"/>
    <w:rsid w:val="00D22337"/>
    <w:rsid w:val="00D223E5"/>
    <w:rsid w:val="00D2287C"/>
    <w:rsid w:val="00D2301A"/>
    <w:rsid w:val="00D231FA"/>
    <w:rsid w:val="00D23379"/>
    <w:rsid w:val="00D23390"/>
    <w:rsid w:val="00D23986"/>
    <w:rsid w:val="00D23BE0"/>
    <w:rsid w:val="00D23C1A"/>
    <w:rsid w:val="00D23FD0"/>
    <w:rsid w:val="00D24434"/>
    <w:rsid w:val="00D24508"/>
    <w:rsid w:val="00D24940"/>
    <w:rsid w:val="00D24BEC"/>
    <w:rsid w:val="00D24DE8"/>
    <w:rsid w:val="00D24EB2"/>
    <w:rsid w:val="00D25114"/>
    <w:rsid w:val="00D251C6"/>
    <w:rsid w:val="00D2521E"/>
    <w:rsid w:val="00D25336"/>
    <w:rsid w:val="00D253A1"/>
    <w:rsid w:val="00D25754"/>
    <w:rsid w:val="00D25839"/>
    <w:rsid w:val="00D25B72"/>
    <w:rsid w:val="00D25CF8"/>
    <w:rsid w:val="00D25D87"/>
    <w:rsid w:val="00D25EA3"/>
    <w:rsid w:val="00D26510"/>
    <w:rsid w:val="00D266B9"/>
    <w:rsid w:val="00D267CA"/>
    <w:rsid w:val="00D267FE"/>
    <w:rsid w:val="00D26810"/>
    <w:rsid w:val="00D269A1"/>
    <w:rsid w:val="00D26BEB"/>
    <w:rsid w:val="00D26ED7"/>
    <w:rsid w:val="00D27082"/>
    <w:rsid w:val="00D271C8"/>
    <w:rsid w:val="00D27658"/>
    <w:rsid w:val="00D277A3"/>
    <w:rsid w:val="00D27994"/>
    <w:rsid w:val="00D27A59"/>
    <w:rsid w:val="00D27B4F"/>
    <w:rsid w:val="00D30357"/>
    <w:rsid w:val="00D303D6"/>
    <w:rsid w:val="00D30B01"/>
    <w:rsid w:val="00D31225"/>
    <w:rsid w:val="00D315E7"/>
    <w:rsid w:val="00D3162E"/>
    <w:rsid w:val="00D3163C"/>
    <w:rsid w:val="00D31792"/>
    <w:rsid w:val="00D31B90"/>
    <w:rsid w:val="00D31C41"/>
    <w:rsid w:val="00D31D95"/>
    <w:rsid w:val="00D3214A"/>
    <w:rsid w:val="00D32233"/>
    <w:rsid w:val="00D322AD"/>
    <w:rsid w:val="00D322EB"/>
    <w:rsid w:val="00D32524"/>
    <w:rsid w:val="00D32626"/>
    <w:rsid w:val="00D326A2"/>
    <w:rsid w:val="00D326C1"/>
    <w:rsid w:val="00D3270A"/>
    <w:rsid w:val="00D3274F"/>
    <w:rsid w:val="00D32796"/>
    <w:rsid w:val="00D3298D"/>
    <w:rsid w:val="00D32D05"/>
    <w:rsid w:val="00D33946"/>
    <w:rsid w:val="00D33A07"/>
    <w:rsid w:val="00D33CDA"/>
    <w:rsid w:val="00D33FB4"/>
    <w:rsid w:val="00D34017"/>
    <w:rsid w:val="00D34341"/>
    <w:rsid w:val="00D352AC"/>
    <w:rsid w:val="00D352D4"/>
    <w:rsid w:val="00D35408"/>
    <w:rsid w:val="00D3548F"/>
    <w:rsid w:val="00D354E9"/>
    <w:rsid w:val="00D35583"/>
    <w:rsid w:val="00D35851"/>
    <w:rsid w:val="00D359E8"/>
    <w:rsid w:val="00D35EAE"/>
    <w:rsid w:val="00D35F87"/>
    <w:rsid w:val="00D3618F"/>
    <w:rsid w:val="00D3659F"/>
    <w:rsid w:val="00D36631"/>
    <w:rsid w:val="00D367CB"/>
    <w:rsid w:val="00D36DDC"/>
    <w:rsid w:val="00D37453"/>
    <w:rsid w:val="00D3748F"/>
    <w:rsid w:val="00D3760C"/>
    <w:rsid w:val="00D37A12"/>
    <w:rsid w:val="00D37E6A"/>
    <w:rsid w:val="00D37F09"/>
    <w:rsid w:val="00D4020D"/>
    <w:rsid w:val="00D402E1"/>
    <w:rsid w:val="00D4064B"/>
    <w:rsid w:val="00D406BA"/>
    <w:rsid w:val="00D40D00"/>
    <w:rsid w:val="00D411B6"/>
    <w:rsid w:val="00D41339"/>
    <w:rsid w:val="00D41347"/>
    <w:rsid w:val="00D41421"/>
    <w:rsid w:val="00D4176E"/>
    <w:rsid w:val="00D41A8E"/>
    <w:rsid w:val="00D41E8C"/>
    <w:rsid w:val="00D41F28"/>
    <w:rsid w:val="00D4219E"/>
    <w:rsid w:val="00D42321"/>
    <w:rsid w:val="00D42560"/>
    <w:rsid w:val="00D4267B"/>
    <w:rsid w:val="00D42980"/>
    <w:rsid w:val="00D42AFF"/>
    <w:rsid w:val="00D42C82"/>
    <w:rsid w:val="00D42E89"/>
    <w:rsid w:val="00D42ECD"/>
    <w:rsid w:val="00D4322B"/>
    <w:rsid w:val="00D43348"/>
    <w:rsid w:val="00D43634"/>
    <w:rsid w:val="00D43746"/>
    <w:rsid w:val="00D4392F"/>
    <w:rsid w:val="00D43A04"/>
    <w:rsid w:val="00D43CEE"/>
    <w:rsid w:val="00D440AE"/>
    <w:rsid w:val="00D4425C"/>
    <w:rsid w:val="00D4436C"/>
    <w:rsid w:val="00D44677"/>
    <w:rsid w:val="00D44A5D"/>
    <w:rsid w:val="00D44AD9"/>
    <w:rsid w:val="00D44B7D"/>
    <w:rsid w:val="00D44C4F"/>
    <w:rsid w:val="00D44C53"/>
    <w:rsid w:val="00D44C6D"/>
    <w:rsid w:val="00D44CC2"/>
    <w:rsid w:val="00D44D6E"/>
    <w:rsid w:val="00D44FBC"/>
    <w:rsid w:val="00D45882"/>
    <w:rsid w:val="00D45A31"/>
    <w:rsid w:val="00D45C2F"/>
    <w:rsid w:val="00D45C79"/>
    <w:rsid w:val="00D45CB0"/>
    <w:rsid w:val="00D45CEA"/>
    <w:rsid w:val="00D461DE"/>
    <w:rsid w:val="00D4684F"/>
    <w:rsid w:val="00D46EC3"/>
    <w:rsid w:val="00D478C6"/>
    <w:rsid w:val="00D478E0"/>
    <w:rsid w:val="00D478FB"/>
    <w:rsid w:val="00D47A3F"/>
    <w:rsid w:val="00D47ABE"/>
    <w:rsid w:val="00D5067D"/>
    <w:rsid w:val="00D50A3F"/>
    <w:rsid w:val="00D50DDD"/>
    <w:rsid w:val="00D5107E"/>
    <w:rsid w:val="00D51181"/>
    <w:rsid w:val="00D512B6"/>
    <w:rsid w:val="00D514D3"/>
    <w:rsid w:val="00D514F9"/>
    <w:rsid w:val="00D51B91"/>
    <w:rsid w:val="00D51CED"/>
    <w:rsid w:val="00D5221C"/>
    <w:rsid w:val="00D52362"/>
    <w:rsid w:val="00D52683"/>
    <w:rsid w:val="00D52B15"/>
    <w:rsid w:val="00D52CE2"/>
    <w:rsid w:val="00D52E0C"/>
    <w:rsid w:val="00D52F6D"/>
    <w:rsid w:val="00D53000"/>
    <w:rsid w:val="00D532ED"/>
    <w:rsid w:val="00D5348A"/>
    <w:rsid w:val="00D5359D"/>
    <w:rsid w:val="00D536CE"/>
    <w:rsid w:val="00D53878"/>
    <w:rsid w:val="00D5398E"/>
    <w:rsid w:val="00D53A4F"/>
    <w:rsid w:val="00D53CE1"/>
    <w:rsid w:val="00D54007"/>
    <w:rsid w:val="00D549EC"/>
    <w:rsid w:val="00D54B9A"/>
    <w:rsid w:val="00D54C77"/>
    <w:rsid w:val="00D5513D"/>
    <w:rsid w:val="00D55202"/>
    <w:rsid w:val="00D55264"/>
    <w:rsid w:val="00D552EE"/>
    <w:rsid w:val="00D55828"/>
    <w:rsid w:val="00D559E0"/>
    <w:rsid w:val="00D55CC8"/>
    <w:rsid w:val="00D563C0"/>
    <w:rsid w:val="00D565A5"/>
    <w:rsid w:val="00D567CA"/>
    <w:rsid w:val="00D56CF1"/>
    <w:rsid w:val="00D56E0B"/>
    <w:rsid w:val="00D56FC6"/>
    <w:rsid w:val="00D570B1"/>
    <w:rsid w:val="00D572DD"/>
    <w:rsid w:val="00D5736A"/>
    <w:rsid w:val="00D57422"/>
    <w:rsid w:val="00D5783D"/>
    <w:rsid w:val="00D579C8"/>
    <w:rsid w:val="00D57D6B"/>
    <w:rsid w:val="00D60078"/>
    <w:rsid w:val="00D60E42"/>
    <w:rsid w:val="00D60FFC"/>
    <w:rsid w:val="00D61075"/>
    <w:rsid w:val="00D613D8"/>
    <w:rsid w:val="00D617CF"/>
    <w:rsid w:val="00D626FF"/>
    <w:rsid w:val="00D627A6"/>
    <w:rsid w:val="00D62845"/>
    <w:rsid w:val="00D62A50"/>
    <w:rsid w:val="00D62F18"/>
    <w:rsid w:val="00D6328A"/>
    <w:rsid w:val="00D632A8"/>
    <w:rsid w:val="00D6354C"/>
    <w:rsid w:val="00D637D1"/>
    <w:rsid w:val="00D63994"/>
    <w:rsid w:val="00D639D4"/>
    <w:rsid w:val="00D63CD4"/>
    <w:rsid w:val="00D63D6E"/>
    <w:rsid w:val="00D63DFB"/>
    <w:rsid w:val="00D63E30"/>
    <w:rsid w:val="00D63FD8"/>
    <w:rsid w:val="00D640E8"/>
    <w:rsid w:val="00D64734"/>
    <w:rsid w:val="00D648D5"/>
    <w:rsid w:val="00D648DD"/>
    <w:rsid w:val="00D6496E"/>
    <w:rsid w:val="00D64D5A"/>
    <w:rsid w:val="00D64EF4"/>
    <w:rsid w:val="00D650C8"/>
    <w:rsid w:val="00D6526B"/>
    <w:rsid w:val="00D65369"/>
    <w:rsid w:val="00D655B3"/>
    <w:rsid w:val="00D6564F"/>
    <w:rsid w:val="00D65AAB"/>
    <w:rsid w:val="00D65AB4"/>
    <w:rsid w:val="00D65B04"/>
    <w:rsid w:val="00D65D74"/>
    <w:rsid w:val="00D65E46"/>
    <w:rsid w:val="00D66262"/>
    <w:rsid w:val="00D668A7"/>
    <w:rsid w:val="00D668C8"/>
    <w:rsid w:val="00D66A52"/>
    <w:rsid w:val="00D66D06"/>
    <w:rsid w:val="00D66FBE"/>
    <w:rsid w:val="00D671A5"/>
    <w:rsid w:val="00D6735E"/>
    <w:rsid w:val="00D67FEF"/>
    <w:rsid w:val="00D705C2"/>
    <w:rsid w:val="00D706FE"/>
    <w:rsid w:val="00D7072F"/>
    <w:rsid w:val="00D70986"/>
    <w:rsid w:val="00D70A86"/>
    <w:rsid w:val="00D70AB8"/>
    <w:rsid w:val="00D70AFF"/>
    <w:rsid w:val="00D70C2C"/>
    <w:rsid w:val="00D70FE0"/>
    <w:rsid w:val="00D710BB"/>
    <w:rsid w:val="00D71164"/>
    <w:rsid w:val="00D712F7"/>
    <w:rsid w:val="00D713A0"/>
    <w:rsid w:val="00D715F8"/>
    <w:rsid w:val="00D71637"/>
    <w:rsid w:val="00D716D8"/>
    <w:rsid w:val="00D719F8"/>
    <w:rsid w:val="00D71C3E"/>
    <w:rsid w:val="00D71DD9"/>
    <w:rsid w:val="00D71FDC"/>
    <w:rsid w:val="00D7206A"/>
    <w:rsid w:val="00D7280C"/>
    <w:rsid w:val="00D72A98"/>
    <w:rsid w:val="00D72BCE"/>
    <w:rsid w:val="00D72C69"/>
    <w:rsid w:val="00D72D84"/>
    <w:rsid w:val="00D730C4"/>
    <w:rsid w:val="00D7316D"/>
    <w:rsid w:val="00D73606"/>
    <w:rsid w:val="00D73715"/>
    <w:rsid w:val="00D737D1"/>
    <w:rsid w:val="00D73D7F"/>
    <w:rsid w:val="00D73DD2"/>
    <w:rsid w:val="00D73E9E"/>
    <w:rsid w:val="00D7439C"/>
    <w:rsid w:val="00D74B8F"/>
    <w:rsid w:val="00D74CD7"/>
    <w:rsid w:val="00D74E8A"/>
    <w:rsid w:val="00D74F38"/>
    <w:rsid w:val="00D75090"/>
    <w:rsid w:val="00D7529C"/>
    <w:rsid w:val="00D752D5"/>
    <w:rsid w:val="00D75964"/>
    <w:rsid w:val="00D759A8"/>
    <w:rsid w:val="00D75A4C"/>
    <w:rsid w:val="00D75D73"/>
    <w:rsid w:val="00D761E8"/>
    <w:rsid w:val="00D762A8"/>
    <w:rsid w:val="00D76401"/>
    <w:rsid w:val="00D7653C"/>
    <w:rsid w:val="00D765F5"/>
    <w:rsid w:val="00D76E25"/>
    <w:rsid w:val="00D771B7"/>
    <w:rsid w:val="00D771C2"/>
    <w:rsid w:val="00D77312"/>
    <w:rsid w:val="00D77351"/>
    <w:rsid w:val="00D774BE"/>
    <w:rsid w:val="00D77567"/>
    <w:rsid w:val="00D7758C"/>
    <w:rsid w:val="00D7768C"/>
    <w:rsid w:val="00D7799F"/>
    <w:rsid w:val="00D77A07"/>
    <w:rsid w:val="00D77B5B"/>
    <w:rsid w:val="00D77CCF"/>
    <w:rsid w:val="00D77D41"/>
    <w:rsid w:val="00D80006"/>
    <w:rsid w:val="00D80323"/>
    <w:rsid w:val="00D8057D"/>
    <w:rsid w:val="00D80630"/>
    <w:rsid w:val="00D8082B"/>
    <w:rsid w:val="00D80BCF"/>
    <w:rsid w:val="00D80C48"/>
    <w:rsid w:val="00D811F3"/>
    <w:rsid w:val="00D819B2"/>
    <w:rsid w:val="00D81A83"/>
    <w:rsid w:val="00D81C38"/>
    <w:rsid w:val="00D81C6F"/>
    <w:rsid w:val="00D81E0C"/>
    <w:rsid w:val="00D81ECD"/>
    <w:rsid w:val="00D82105"/>
    <w:rsid w:val="00D8237F"/>
    <w:rsid w:val="00D8251D"/>
    <w:rsid w:val="00D8255E"/>
    <w:rsid w:val="00D82BF5"/>
    <w:rsid w:val="00D83D06"/>
    <w:rsid w:val="00D8410F"/>
    <w:rsid w:val="00D84317"/>
    <w:rsid w:val="00D843E4"/>
    <w:rsid w:val="00D8469F"/>
    <w:rsid w:val="00D84D81"/>
    <w:rsid w:val="00D84F8E"/>
    <w:rsid w:val="00D84F9F"/>
    <w:rsid w:val="00D85050"/>
    <w:rsid w:val="00D851F2"/>
    <w:rsid w:val="00D8576C"/>
    <w:rsid w:val="00D85896"/>
    <w:rsid w:val="00D85A05"/>
    <w:rsid w:val="00D85AA1"/>
    <w:rsid w:val="00D8617A"/>
    <w:rsid w:val="00D86430"/>
    <w:rsid w:val="00D8651A"/>
    <w:rsid w:val="00D866D5"/>
    <w:rsid w:val="00D8702F"/>
    <w:rsid w:val="00D87153"/>
    <w:rsid w:val="00D872E1"/>
    <w:rsid w:val="00D87660"/>
    <w:rsid w:val="00D876C7"/>
    <w:rsid w:val="00D877A2"/>
    <w:rsid w:val="00D87905"/>
    <w:rsid w:val="00D87985"/>
    <w:rsid w:val="00D87AD3"/>
    <w:rsid w:val="00D87D2F"/>
    <w:rsid w:val="00D903B8"/>
    <w:rsid w:val="00D903F1"/>
    <w:rsid w:val="00D907C6"/>
    <w:rsid w:val="00D90CE1"/>
    <w:rsid w:val="00D90D7A"/>
    <w:rsid w:val="00D90E96"/>
    <w:rsid w:val="00D9109C"/>
    <w:rsid w:val="00D91187"/>
    <w:rsid w:val="00D91351"/>
    <w:rsid w:val="00D91493"/>
    <w:rsid w:val="00D9175B"/>
    <w:rsid w:val="00D918FD"/>
    <w:rsid w:val="00D91964"/>
    <w:rsid w:val="00D91995"/>
    <w:rsid w:val="00D919BD"/>
    <w:rsid w:val="00D91A05"/>
    <w:rsid w:val="00D91CFD"/>
    <w:rsid w:val="00D91FCC"/>
    <w:rsid w:val="00D920FD"/>
    <w:rsid w:val="00D920FF"/>
    <w:rsid w:val="00D9292A"/>
    <w:rsid w:val="00D92D95"/>
    <w:rsid w:val="00D92DA5"/>
    <w:rsid w:val="00D9306D"/>
    <w:rsid w:val="00D9338B"/>
    <w:rsid w:val="00D9347D"/>
    <w:rsid w:val="00D934DD"/>
    <w:rsid w:val="00D936CB"/>
    <w:rsid w:val="00D939FD"/>
    <w:rsid w:val="00D93DA9"/>
    <w:rsid w:val="00D943A5"/>
    <w:rsid w:val="00D943F6"/>
    <w:rsid w:val="00D944AE"/>
    <w:rsid w:val="00D94607"/>
    <w:rsid w:val="00D94A34"/>
    <w:rsid w:val="00D94A3D"/>
    <w:rsid w:val="00D94F3D"/>
    <w:rsid w:val="00D9508E"/>
    <w:rsid w:val="00D9520E"/>
    <w:rsid w:val="00D9535F"/>
    <w:rsid w:val="00D95396"/>
    <w:rsid w:val="00D95D32"/>
    <w:rsid w:val="00D96403"/>
    <w:rsid w:val="00D965AE"/>
    <w:rsid w:val="00D9665B"/>
    <w:rsid w:val="00D966E4"/>
    <w:rsid w:val="00D96A0A"/>
    <w:rsid w:val="00D96FBB"/>
    <w:rsid w:val="00D97623"/>
    <w:rsid w:val="00D977A4"/>
    <w:rsid w:val="00D977F8"/>
    <w:rsid w:val="00D9790D"/>
    <w:rsid w:val="00D97B31"/>
    <w:rsid w:val="00D97C8D"/>
    <w:rsid w:val="00D97D5D"/>
    <w:rsid w:val="00DA01F0"/>
    <w:rsid w:val="00DA0257"/>
    <w:rsid w:val="00DA0A60"/>
    <w:rsid w:val="00DA0A8D"/>
    <w:rsid w:val="00DA0F55"/>
    <w:rsid w:val="00DA1050"/>
    <w:rsid w:val="00DA10C6"/>
    <w:rsid w:val="00DA133C"/>
    <w:rsid w:val="00DA17F9"/>
    <w:rsid w:val="00DA1ABB"/>
    <w:rsid w:val="00DA1C01"/>
    <w:rsid w:val="00DA1D63"/>
    <w:rsid w:val="00DA1DBA"/>
    <w:rsid w:val="00DA1DF3"/>
    <w:rsid w:val="00DA1F09"/>
    <w:rsid w:val="00DA21DD"/>
    <w:rsid w:val="00DA221C"/>
    <w:rsid w:val="00DA225B"/>
    <w:rsid w:val="00DA2399"/>
    <w:rsid w:val="00DA2784"/>
    <w:rsid w:val="00DA2915"/>
    <w:rsid w:val="00DA2AFC"/>
    <w:rsid w:val="00DA2BB9"/>
    <w:rsid w:val="00DA2D0F"/>
    <w:rsid w:val="00DA2E41"/>
    <w:rsid w:val="00DA2FB9"/>
    <w:rsid w:val="00DA3905"/>
    <w:rsid w:val="00DA39B2"/>
    <w:rsid w:val="00DA3FA5"/>
    <w:rsid w:val="00DA4041"/>
    <w:rsid w:val="00DA4060"/>
    <w:rsid w:val="00DA40DB"/>
    <w:rsid w:val="00DA4536"/>
    <w:rsid w:val="00DA4696"/>
    <w:rsid w:val="00DA4B4A"/>
    <w:rsid w:val="00DA4F7B"/>
    <w:rsid w:val="00DA521F"/>
    <w:rsid w:val="00DA59EA"/>
    <w:rsid w:val="00DA5B96"/>
    <w:rsid w:val="00DA5C4A"/>
    <w:rsid w:val="00DA5D4F"/>
    <w:rsid w:val="00DA5D80"/>
    <w:rsid w:val="00DA5D92"/>
    <w:rsid w:val="00DA5E5D"/>
    <w:rsid w:val="00DA5F03"/>
    <w:rsid w:val="00DA60B8"/>
    <w:rsid w:val="00DA6126"/>
    <w:rsid w:val="00DA63A0"/>
    <w:rsid w:val="00DA668C"/>
    <w:rsid w:val="00DA6A8A"/>
    <w:rsid w:val="00DA715E"/>
    <w:rsid w:val="00DA7887"/>
    <w:rsid w:val="00DA78F0"/>
    <w:rsid w:val="00DA7A44"/>
    <w:rsid w:val="00DA7BC3"/>
    <w:rsid w:val="00DA7D9C"/>
    <w:rsid w:val="00DA7DD0"/>
    <w:rsid w:val="00DA7E33"/>
    <w:rsid w:val="00DA7E8B"/>
    <w:rsid w:val="00DA7EAD"/>
    <w:rsid w:val="00DB029B"/>
    <w:rsid w:val="00DB02BF"/>
    <w:rsid w:val="00DB03AD"/>
    <w:rsid w:val="00DB05E2"/>
    <w:rsid w:val="00DB0AF2"/>
    <w:rsid w:val="00DB0B7B"/>
    <w:rsid w:val="00DB0EC9"/>
    <w:rsid w:val="00DB112F"/>
    <w:rsid w:val="00DB1264"/>
    <w:rsid w:val="00DB15EA"/>
    <w:rsid w:val="00DB1828"/>
    <w:rsid w:val="00DB1B1C"/>
    <w:rsid w:val="00DB1C28"/>
    <w:rsid w:val="00DB1ED9"/>
    <w:rsid w:val="00DB1FBE"/>
    <w:rsid w:val="00DB23F6"/>
    <w:rsid w:val="00DB2772"/>
    <w:rsid w:val="00DB2938"/>
    <w:rsid w:val="00DB2D01"/>
    <w:rsid w:val="00DB2DC0"/>
    <w:rsid w:val="00DB3049"/>
    <w:rsid w:val="00DB3083"/>
    <w:rsid w:val="00DB3219"/>
    <w:rsid w:val="00DB3C0A"/>
    <w:rsid w:val="00DB40E8"/>
    <w:rsid w:val="00DB450D"/>
    <w:rsid w:val="00DB4D5B"/>
    <w:rsid w:val="00DB4E72"/>
    <w:rsid w:val="00DB4EDA"/>
    <w:rsid w:val="00DB4F57"/>
    <w:rsid w:val="00DB4FD8"/>
    <w:rsid w:val="00DB5069"/>
    <w:rsid w:val="00DB5248"/>
    <w:rsid w:val="00DB5562"/>
    <w:rsid w:val="00DB587C"/>
    <w:rsid w:val="00DB5B91"/>
    <w:rsid w:val="00DB5F8D"/>
    <w:rsid w:val="00DB65E9"/>
    <w:rsid w:val="00DB65FD"/>
    <w:rsid w:val="00DB6727"/>
    <w:rsid w:val="00DB6A5F"/>
    <w:rsid w:val="00DB6A7A"/>
    <w:rsid w:val="00DB6F99"/>
    <w:rsid w:val="00DB6FFA"/>
    <w:rsid w:val="00DB7060"/>
    <w:rsid w:val="00DB7209"/>
    <w:rsid w:val="00DB726A"/>
    <w:rsid w:val="00DB7272"/>
    <w:rsid w:val="00DB73EA"/>
    <w:rsid w:val="00DB7712"/>
    <w:rsid w:val="00DB7940"/>
    <w:rsid w:val="00DB7F7D"/>
    <w:rsid w:val="00DB7FEE"/>
    <w:rsid w:val="00DC06B3"/>
    <w:rsid w:val="00DC0C57"/>
    <w:rsid w:val="00DC11B3"/>
    <w:rsid w:val="00DC1834"/>
    <w:rsid w:val="00DC1921"/>
    <w:rsid w:val="00DC1925"/>
    <w:rsid w:val="00DC1C65"/>
    <w:rsid w:val="00DC1D3B"/>
    <w:rsid w:val="00DC1D7A"/>
    <w:rsid w:val="00DC1F01"/>
    <w:rsid w:val="00DC21D6"/>
    <w:rsid w:val="00DC2469"/>
    <w:rsid w:val="00DC25B3"/>
    <w:rsid w:val="00DC25C2"/>
    <w:rsid w:val="00DC3230"/>
    <w:rsid w:val="00DC3A83"/>
    <w:rsid w:val="00DC3B4B"/>
    <w:rsid w:val="00DC3C1C"/>
    <w:rsid w:val="00DC3C26"/>
    <w:rsid w:val="00DC3EA5"/>
    <w:rsid w:val="00DC3F6D"/>
    <w:rsid w:val="00DC3F86"/>
    <w:rsid w:val="00DC406C"/>
    <w:rsid w:val="00DC4122"/>
    <w:rsid w:val="00DC46F2"/>
    <w:rsid w:val="00DC4721"/>
    <w:rsid w:val="00DC4AC6"/>
    <w:rsid w:val="00DC4D5C"/>
    <w:rsid w:val="00DC4DA1"/>
    <w:rsid w:val="00DC4E09"/>
    <w:rsid w:val="00DC4ED1"/>
    <w:rsid w:val="00DC5169"/>
    <w:rsid w:val="00DC593F"/>
    <w:rsid w:val="00DC63C3"/>
    <w:rsid w:val="00DC67A5"/>
    <w:rsid w:val="00DC687B"/>
    <w:rsid w:val="00DC6F78"/>
    <w:rsid w:val="00DC70E0"/>
    <w:rsid w:val="00DC74F1"/>
    <w:rsid w:val="00DC758A"/>
    <w:rsid w:val="00DC77BA"/>
    <w:rsid w:val="00DC77D7"/>
    <w:rsid w:val="00DC7808"/>
    <w:rsid w:val="00DC7A26"/>
    <w:rsid w:val="00DC7B18"/>
    <w:rsid w:val="00DC7DA5"/>
    <w:rsid w:val="00DC7E70"/>
    <w:rsid w:val="00DD00F7"/>
    <w:rsid w:val="00DD0329"/>
    <w:rsid w:val="00DD0338"/>
    <w:rsid w:val="00DD0600"/>
    <w:rsid w:val="00DD08EE"/>
    <w:rsid w:val="00DD0939"/>
    <w:rsid w:val="00DD0A9B"/>
    <w:rsid w:val="00DD0FF1"/>
    <w:rsid w:val="00DD1360"/>
    <w:rsid w:val="00DD137A"/>
    <w:rsid w:val="00DD14D1"/>
    <w:rsid w:val="00DD152D"/>
    <w:rsid w:val="00DD1680"/>
    <w:rsid w:val="00DD1806"/>
    <w:rsid w:val="00DD1AC8"/>
    <w:rsid w:val="00DD1CF7"/>
    <w:rsid w:val="00DD1ECB"/>
    <w:rsid w:val="00DD1F94"/>
    <w:rsid w:val="00DD2293"/>
    <w:rsid w:val="00DD22C6"/>
    <w:rsid w:val="00DD24E8"/>
    <w:rsid w:val="00DD2A04"/>
    <w:rsid w:val="00DD2BA6"/>
    <w:rsid w:val="00DD2BD0"/>
    <w:rsid w:val="00DD37BC"/>
    <w:rsid w:val="00DD39AA"/>
    <w:rsid w:val="00DD3A31"/>
    <w:rsid w:val="00DD3CF9"/>
    <w:rsid w:val="00DD3F53"/>
    <w:rsid w:val="00DD40E4"/>
    <w:rsid w:val="00DD4178"/>
    <w:rsid w:val="00DD418C"/>
    <w:rsid w:val="00DD4299"/>
    <w:rsid w:val="00DD44A5"/>
    <w:rsid w:val="00DD475A"/>
    <w:rsid w:val="00DD4AF3"/>
    <w:rsid w:val="00DD4D9C"/>
    <w:rsid w:val="00DD4FEB"/>
    <w:rsid w:val="00DD52BE"/>
    <w:rsid w:val="00DD535B"/>
    <w:rsid w:val="00DD5479"/>
    <w:rsid w:val="00DD558A"/>
    <w:rsid w:val="00DD55AD"/>
    <w:rsid w:val="00DD5B77"/>
    <w:rsid w:val="00DD5C4C"/>
    <w:rsid w:val="00DD5CB1"/>
    <w:rsid w:val="00DD6271"/>
    <w:rsid w:val="00DD6650"/>
    <w:rsid w:val="00DD702F"/>
    <w:rsid w:val="00DD7095"/>
    <w:rsid w:val="00DD7214"/>
    <w:rsid w:val="00DD73A9"/>
    <w:rsid w:val="00DD73D6"/>
    <w:rsid w:val="00DD757B"/>
    <w:rsid w:val="00DD7631"/>
    <w:rsid w:val="00DD7681"/>
    <w:rsid w:val="00DD779C"/>
    <w:rsid w:val="00DD77E7"/>
    <w:rsid w:val="00DD7E54"/>
    <w:rsid w:val="00DD7F74"/>
    <w:rsid w:val="00DE03E7"/>
    <w:rsid w:val="00DE0424"/>
    <w:rsid w:val="00DE06C4"/>
    <w:rsid w:val="00DE0955"/>
    <w:rsid w:val="00DE0EC2"/>
    <w:rsid w:val="00DE11E9"/>
    <w:rsid w:val="00DE13E1"/>
    <w:rsid w:val="00DE147F"/>
    <w:rsid w:val="00DE170A"/>
    <w:rsid w:val="00DE178D"/>
    <w:rsid w:val="00DE1943"/>
    <w:rsid w:val="00DE19E9"/>
    <w:rsid w:val="00DE1A87"/>
    <w:rsid w:val="00DE2519"/>
    <w:rsid w:val="00DE2CDE"/>
    <w:rsid w:val="00DE2F9C"/>
    <w:rsid w:val="00DE346F"/>
    <w:rsid w:val="00DE3B6E"/>
    <w:rsid w:val="00DE3CBB"/>
    <w:rsid w:val="00DE3E3D"/>
    <w:rsid w:val="00DE4027"/>
    <w:rsid w:val="00DE43AE"/>
    <w:rsid w:val="00DE43E3"/>
    <w:rsid w:val="00DE440B"/>
    <w:rsid w:val="00DE47E0"/>
    <w:rsid w:val="00DE4B9F"/>
    <w:rsid w:val="00DE4F61"/>
    <w:rsid w:val="00DE50EA"/>
    <w:rsid w:val="00DE584B"/>
    <w:rsid w:val="00DE5896"/>
    <w:rsid w:val="00DE5CCE"/>
    <w:rsid w:val="00DE5CD6"/>
    <w:rsid w:val="00DE5D0D"/>
    <w:rsid w:val="00DE64FE"/>
    <w:rsid w:val="00DE68AE"/>
    <w:rsid w:val="00DE6ED2"/>
    <w:rsid w:val="00DE6FB4"/>
    <w:rsid w:val="00DE719A"/>
    <w:rsid w:val="00DE71E1"/>
    <w:rsid w:val="00DE73C6"/>
    <w:rsid w:val="00DE741D"/>
    <w:rsid w:val="00DE7747"/>
    <w:rsid w:val="00DE7814"/>
    <w:rsid w:val="00DE7ABA"/>
    <w:rsid w:val="00DE7CCF"/>
    <w:rsid w:val="00DE7FA7"/>
    <w:rsid w:val="00DF06B8"/>
    <w:rsid w:val="00DF0744"/>
    <w:rsid w:val="00DF089C"/>
    <w:rsid w:val="00DF0951"/>
    <w:rsid w:val="00DF09BB"/>
    <w:rsid w:val="00DF0A5F"/>
    <w:rsid w:val="00DF0CBA"/>
    <w:rsid w:val="00DF0CEE"/>
    <w:rsid w:val="00DF0FA7"/>
    <w:rsid w:val="00DF10A0"/>
    <w:rsid w:val="00DF123C"/>
    <w:rsid w:val="00DF124A"/>
    <w:rsid w:val="00DF153B"/>
    <w:rsid w:val="00DF192B"/>
    <w:rsid w:val="00DF194D"/>
    <w:rsid w:val="00DF19B4"/>
    <w:rsid w:val="00DF1A15"/>
    <w:rsid w:val="00DF20CC"/>
    <w:rsid w:val="00DF25F1"/>
    <w:rsid w:val="00DF2A6C"/>
    <w:rsid w:val="00DF2AF0"/>
    <w:rsid w:val="00DF30D3"/>
    <w:rsid w:val="00DF3186"/>
    <w:rsid w:val="00DF33A7"/>
    <w:rsid w:val="00DF3854"/>
    <w:rsid w:val="00DF3D00"/>
    <w:rsid w:val="00DF3D8A"/>
    <w:rsid w:val="00DF4443"/>
    <w:rsid w:val="00DF44AC"/>
    <w:rsid w:val="00DF45D4"/>
    <w:rsid w:val="00DF48C7"/>
    <w:rsid w:val="00DF48D3"/>
    <w:rsid w:val="00DF4DC8"/>
    <w:rsid w:val="00DF4DF4"/>
    <w:rsid w:val="00DF4F52"/>
    <w:rsid w:val="00DF51CD"/>
    <w:rsid w:val="00DF52C2"/>
    <w:rsid w:val="00DF5404"/>
    <w:rsid w:val="00DF5A82"/>
    <w:rsid w:val="00DF5BB6"/>
    <w:rsid w:val="00DF5E4E"/>
    <w:rsid w:val="00DF6520"/>
    <w:rsid w:val="00DF67B6"/>
    <w:rsid w:val="00DF686B"/>
    <w:rsid w:val="00DF6ADD"/>
    <w:rsid w:val="00DF6B58"/>
    <w:rsid w:val="00DF6EB3"/>
    <w:rsid w:val="00DF6ED2"/>
    <w:rsid w:val="00DF708D"/>
    <w:rsid w:val="00DF767C"/>
    <w:rsid w:val="00DF78A8"/>
    <w:rsid w:val="00DF7D91"/>
    <w:rsid w:val="00DF7FAB"/>
    <w:rsid w:val="00E001D5"/>
    <w:rsid w:val="00E003F8"/>
    <w:rsid w:val="00E0062D"/>
    <w:rsid w:val="00E00979"/>
    <w:rsid w:val="00E00C14"/>
    <w:rsid w:val="00E00D5D"/>
    <w:rsid w:val="00E012AB"/>
    <w:rsid w:val="00E014FF"/>
    <w:rsid w:val="00E01820"/>
    <w:rsid w:val="00E01933"/>
    <w:rsid w:val="00E01BDA"/>
    <w:rsid w:val="00E01CBC"/>
    <w:rsid w:val="00E02078"/>
    <w:rsid w:val="00E02462"/>
    <w:rsid w:val="00E02537"/>
    <w:rsid w:val="00E02700"/>
    <w:rsid w:val="00E02D8A"/>
    <w:rsid w:val="00E02E20"/>
    <w:rsid w:val="00E0305D"/>
    <w:rsid w:val="00E031CA"/>
    <w:rsid w:val="00E0326A"/>
    <w:rsid w:val="00E033F5"/>
    <w:rsid w:val="00E03501"/>
    <w:rsid w:val="00E03702"/>
    <w:rsid w:val="00E03815"/>
    <w:rsid w:val="00E03C03"/>
    <w:rsid w:val="00E03D03"/>
    <w:rsid w:val="00E03D8A"/>
    <w:rsid w:val="00E03EF6"/>
    <w:rsid w:val="00E04013"/>
    <w:rsid w:val="00E040FB"/>
    <w:rsid w:val="00E04709"/>
    <w:rsid w:val="00E047DD"/>
    <w:rsid w:val="00E048D2"/>
    <w:rsid w:val="00E0492D"/>
    <w:rsid w:val="00E0497A"/>
    <w:rsid w:val="00E04B1B"/>
    <w:rsid w:val="00E04C48"/>
    <w:rsid w:val="00E05029"/>
    <w:rsid w:val="00E051CE"/>
    <w:rsid w:val="00E05634"/>
    <w:rsid w:val="00E057B3"/>
    <w:rsid w:val="00E057D2"/>
    <w:rsid w:val="00E05B25"/>
    <w:rsid w:val="00E05BC9"/>
    <w:rsid w:val="00E05DA3"/>
    <w:rsid w:val="00E05F83"/>
    <w:rsid w:val="00E06271"/>
    <w:rsid w:val="00E063B4"/>
    <w:rsid w:val="00E06463"/>
    <w:rsid w:val="00E064C7"/>
    <w:rsid w:val="00E065A3"/>
    <w:rsid w:val="00E06792"/>
    <w:rsid w:val="00E0680A"/>
    <w:rsid w:val="00E06885"/>
    <w:rsid w:val="00E068D8"/>
    <w:rsid w:val="00E06BA4"/>
    <w:rsid w:val="00E06C96"/>
    <w:rsid w:val="00E06EBA"/>
    <w:rsid w:val="00E0703E"/>
    <w:rsid w:val="00E071E8"/>
    <w:rsid w:val="00E07215"/>
    <w:rsid w:val="00E07245"/>
    <w:rsid w:val="00E07336"/>
    <w:rsid w:val="00E07A73"/>
    <w:rsid w:val="00E10151"/>
    <w:rsid w:val="00E1015B"/>
    <w:rsid w:val="00E10259"/>
    <w:rsid w:val="00E104EC"/>
    <w:rsid w:val="00E10652"/>
    <w:rsid w:val="00E10668"/>
    <w:rsid w:val="00E10727"/>
    <w:rsid w:val="00E107E7"/>
    <w:rsid w:val="00E10834"/>
    <w:rsid w:val="00E109EA"/>
    <w:rsid w:val="00E10A07"/>
    <w:rsid w:val="00E10AA1"/>
    <w:rsid w:val="00E10B1F"/>
    <w:rsid w:val="00E10E3D"/>
    <w:rsid w:val="00E114D2"/>
    <w:rsid w:val="00E116B4"/>
    <w:rsid w:val="00E1189E"/>
    <w:rsid w:val="00E11EF5"/>
    <w:rsid w:val="00E1212A"/>
    <w:rsid w:val="00E124F3"/>
    <w:rsid w:val="00E12599"/>
    <w:rsid w:val="00E12819"/>
    <w:rsid w:val="00E12EB4"/>
    <w:rsid w:val="00E13830"/>
    <w:rsid w:val="00E138F2"/>
    <w:rsid w:val="00E1396C"/>
    <w:rsid w:val="00E13A0D"/>
    <w:rsid w:val="00E13AD4"/>
    <w:rsid w:val="00E13C5D"/>
    <w:rsid w:val="00E13F32"/>
    <w:rsid w:val="00E14008"/>
    <w:rsid w:val="00E140FD"/>
    <w:rsid w:val="00E14423"/>
    <w:rsid w:val="00E146B1"/>
    <w:rsid w:val="00E147C7"/>
    <w:rsid w:val="00E147CF"/>
    <w:rsid w:val="00E14A15"/>
    <w:rsid w:val="00E14B74"/>
    <w:rsid w:val="00E14C06"/>
    <w:rsid w:val="00E14E67"/>
    <w:rsid w:val="00E15282"/>
    <w:rsid w:val="00E15333"/>
    <w:rsid w:val="00E1576F"/>
    <w:rsid w:val="00E15AC7"/>
    <w:rsid w:val="00E15E7F"/>
    <w:rsid w:val="00E15F91"/>
    <w:rsid w:val="00E16334"/>
    <w:rsid w:val="00E163CA"/>
    <w:rsid w:val="00E16C43"/>
    <w:rsid w:val="00E16F41"/>
    <w:rsid w:val="00E17E44"/>
    <w:rsid w:val="00E17FA7"/>
    <w:rsid w:val="00E2038D"/>
    <w:rsid w:val="00E2048D"/>
    <w:rsid w:val="00E205E9"/>
    <w:rsid w:val="00E20734"/>
    <w:rsid w:val="00E207CB"/>
    <w:rsid w:val="00E20872"/>
    <w:rsid w:val="00E20894"/>
    <w:rsid w:val="00E209EE"/>
    <w:rsid w:val="00E209FF"/>
    <w:rsid w:val="00E20A24"/>
    <w:rsid w:val="00E20CC0"/>
    <w:rsid w:val="00E20E2C"/>
    <w:rsid w:val="00E20EEF"/>
    <w:rsid w:val="00E20FFB"/>
    <w:rsid w:val="00E21206"/>
    <w:rsid w:val="00E2120E"/>
    <w:rsid w:val="00E2129A"/>
    <w:rsid w:val="00E217A9"/>
    <w:rsid w:val="00E2194F"/>
    <w:rsid w:val="00E21A95"/>
    <w:rsid w:val="00E21C2C"/>
    <w:rsid w:val="00E21CA0"/>
    <w:rsid w:val="00E21DD0"/>
    <w:rsid w:val="00E21ED0"/>
    <w:rsid w:val="00E21F05"/>
    <w:rsid w:val="00E21FD5"/>
    <w:rsid w:val="00E22134"/>
    <w:rsid w:val="00E22AE3"/>
    <w:rsid w:val="00E22BF5"/>
    <w:rsid w:val="00E22E4F"/>
    <w:rsid w:val="00E22F04"/>
    <w:rsid w:val="00E232DE"/>
    <w:rsid w:val="00E233A1"/>
    <w:rsid w:val="00E237DF"/>
    <w:rsid w:val="00E237E5"/>
    <w:rsid w:val="00E238BA"/>
    <w:rsid w:val="00E23AFC"/>
    <w:rsid w:val="00E23E46"/>
    <w:rsid w:val="00E23E4B"/>
    <w:rsid w:val="00E242DC"/>
    <w:rsid w:val="00E24583"/>
    <w:rsid w:val="00E245BC"/>
    <w:rsid w:val="00E24701"/>
    <w:rsid w:val="00E248E6"/>
    <w:rsid w:val="00E24ACD"/>
    <w:rsid w:val="00E24DE4"/>
    <w:rsid w:val="00E24F83"/>
    <w:rsid w:val="00E2502C"/>
    <w:rsid w:val="00E2507C"/>
    <w:rsid w:val="00E250BA"/>
    <w:rsid w:val="00E2510B"/>
    <w:rsid w:val="00E251A8"/>
    <w:rsid w:val="00E25204"/>
    <w:rsid w:val="00E252A3"/>
    <w:rsid w:val="00E252AE"/>
    <w:rsid w:val="00E25441"/>
    <w:rsid w:val="00E2555C"/>
    <w:rsid w:val="00E2589E"/>
    <w:rsid w:val="00E258B5"/>
    <w:rsid w:val="00E25919"/>
    <w:rsid w:val="00E25D11"/>
    <w:rsid w:val="00E25E89"/>
    <w:rsid w:val="00E26053"/>
    <w:rsid w:val="00E26135"/>
    <w:rsid w:val="00E26324"/>
    <w:rsid w:val="00E26578"/>
    <w:rsid w:val="00E26DFC"/>
    <w:rsid w:val="00E26E4A"/>
    <w:rsid w:val="00E271B9"/>
    <w:rsid w:val="00E27757"/>
    <w:rsid w:val="00E277B5"/>
    <w:rsid w:val="00E27A30"/>
    <w:rsid w:val="00E27D03"/>
    <w:rsid w:val="00E27DE2"/>
    <w:rsid w:val="00E300EB"/>
    <w:rsid w:val="00E304B9"/>
    <w:rsid w:val="00E30514"/>
    <w:rsid w:val="00E30BBF"/>
    <w:rsid w:val="00E30F8F"/>
    <w:rsid w:val="00E30FF2"/>
    <w:rsid w:val="00E31127"/>
    <w:rsid w:val="00E31186"/>
    <w:rsid w:val="00E31593"/>
    <w:rsid w:val="00E319D6"/>
    <w:rsid w:val="00E31B2F"/>
    <w:rsid w:val="00E32229"/>
    <w:rsid w:val="00E32428"/>
    <w:rsid w:val="00E325C7"/>
    <w:rsid w:val="00E3280C"/>
    <w:rsid w:val="00E33161"/>
    <w:rsid w:val="00E331DB"/>
    <w:rsid w:val="00E3335E"/>
    <w:rsid w:val="00E334CF"/>
    <w:rsid w:val="00E33565"/>
    <w:rsid w:val="00E3377E"/>
    <w:rsid w:val="00E339B4"/>
    <w:rsid w:val="00E33C37"/>
    <w:rsid w:val="00E33C77"/>
    <w:rsid w:val="00E33C99"/>
    <w:rsid w:val="00E33CA6"/>
    <w:rsid w:val="00E33D6F"/>
    <w:rsid w:val="00E3414D"/>
    <w:rsid w:val="00E341BC"/>
    <w:rsid w:val="00E341D2"/>
    <w:rsid w:val="00E342BE"/>
    <w:rsid w:val="00E346B2"/>
    <w:rsid w:val="00E348D0"/>
    <w:rsid w:val="00E34A4B"/>
    <w:rsid w:val="00E34E31"/>
    <w:rsid w:val="00E3500F"/>
    <w:rsid w:val="00E35360"/>
    <w:rsid w:val="00E35386"/>
    <w:rsid w:val="00E35421"/>
    <w:rsid w:val="00E354E2"/>
    <w:rsid w:val="00E35500"/>
    <w:rsid w:val="00E356A9"/>
    <w:rsid w:val="00E35E6D"/>
    <w:rsid w:val="00E35E95"/>
    <w:rsid w:val="00E36087"/>
    <w:rsid w:val="00E366C1"/>
    <w:rsid w:val="00E368B0"/>
    <w:rsid w:val="00E36A62"/>
    <w:rsid w:val="00E36BB8"/>
    <w:rsid w:val="00E36D1C"/>
    <w:rsid w:val="00E36F58"/>
    <w:rsid w:val="00E36FD0"/>
    <w:rsid w:val="00E37024"/>
    <w:rsid w:val="00E3718A"/>
    <w:rsid w:val="00E37262"/>
    <w:rsid w:val="00E37294"/>
    <w:rsid w:val="00E372BC"/>
    <w:rsid w:val="00E37411"/>
    <w:rsid w:val="00E3744B"/>
    <w:rsid w:val="00E4004C"/>
    <w:rsid w:val="00E4025A"/>
    <w:rsid w:val="00E405EF"/>
    <w:rsid w:val="00E40790"/>
    <w:rsid w:val="00E407FA"/>
    <w:rsid w:val="00E408A1"/>
    <w:rsid w:val="00E40D42"/>
    <w:rsid w:val="00E41480"/>
    <w:rsid w:val="00E41954"/>
    <w:rsid w:val="00E4236D"/>
    <w:rsid w:val="00E424BB"/>
    <w:rsid w:val="00E42734"/>
    <w:rsid w:val="00E427B8"/>
    <w:rsid w:val="00E42EB7"/>
    <w:rsid w:val="00E4319B"/>
    <w:rsid w:val="00E43398"/>
    <w:rsid w:val="00E4342B"/>
    <w:rsid w:val="00E434A5"/>
    <w:rsid w:val="00E436CF"/>
    <w:rsid w:val="00E43902"/>
    <w:rsid w:val="00E43B9C"/>
    <w:rsid w:val="00E43E4D"/>
    <w:rsid w:val="00E44120"/>
    <w:rsid w:val="00E444E7"/>
    <w:rsid w:val="00E4492B"/>
    <w:rsid w:val="00E449A6"/>
    <w:rsid w:val="00E449D4"/>
    <w:rsid w:val="00E44AE3"/>
    <w:rsid w:val="00E458A7"/>
    <w:rsid w:val="00E45A38"/>
    <w:rsid w:val="00E45C44"/>
    <w:rsid w:val="00E45F17"/>
    <w:rsid w:val="00E465AF"/>
    <w:rsid w:val="00E466C8"/>
    <w:rsid w:val="00E47029"/>
    <w:rsid w:val="00E47464"/>
    <w:rsid w:val="00E47774"/>
    <w:rsid w:val="00E4779A"/>
    <w:rsid w:val="00E47859"/>
    <w:rsid w:val="00E47A7C"/>
    <w:rsid w:val="00E47FFD"/>
    <w:rsid w:val="00E505D5"/>
    <w:rsid w:val="00E5068F"/>
    <w:rsid w:val="00E50971"/>
    <w:rsid w:val="00E50B7B"/>
    <w:rsid w:val="00E510D3"/>
    <w:rsid w:val="00E517E5"/>
    <w:rsid w:val="00E51818"/>
    <w:rsid w:val="00E5195B"/>
    <w:rsid w:val="00E5199E"/>
    <w:rsid w:val="00E51AED"/>
    <w:rsid w:val="00E51BAC"/>
    <w:rsid w:val="00E51D34"/>
    <w:rsid w:val="00E51ECB"/>
    <w:rsid w:val="00E527DD"/>
    <w:rsid w:val="00E52B8E"/>
    <w:rsid w:val="00E52DC3"/>
    <w:rsid w:val="00E53192"/>
    <w:rsid w:val="00E5337B"/>
    <w:rsid w:val="00E53555"/>
    <w:rsid w:val="00E53A8B"/>
    <w:rsid w:val="00E53B64"/>
    <w:rsid w:val="00E53E77"/>
    <w:rsid w:val="00E53EA9"/>
    <w:rsid w:val="00E53FCF"/>
    <w:rsid w:val="00E5424E"/>
    <w:rsid w:val="00E5428C"/>
    <w:rsid w:val="00E5439E"/>
    <w:rsid w:val="00E5455F"/>
    <w:rsid w:val="00E546C4"/>
    <w:rsid w:val="00E5476D"/>
    <w:rsid w:val="00E5485B"/>
    <w:rsid w:val="00E549E4"/>
    <w:rsid w:val="00E54A06"/>
    <w:rsid w:val="00E54AA6"/>
    <w:rsid w:val="00E54FF6"/>
    <w:rsid w:val="00E55727"/>
    <w:rsid w:val="00E55778"/>
    <w:rsid w:val="00E55922"/>
    <w:rsid w:val="00E55BEC"/>
    <w:rsid w:val="00E55D8D"/>
    <w:rsid w:val="00E560E7"/>
    <w:rsid w:val="00E561B1"/>
    <w:rsid w:val="00E561B2"/>
    <w:rsid w:val="00E565A8"/>
    <w:rsid w:val="00E56724"/>
    <w:rsid w:val="00E5697C"/>
    <w:rsid w:val="00E56F66"/>
    <w:rsid w:val="00E57117"/>
    <w:rsid w:val="00E575EB"/>
    <w:rsid w:val="00E57ADA"/>
    <w:rsid w:val="00E6001B"/>
    <w:rsid w:val="00E6041E"/>
    <w:rsid w:val="00E6053E"/>
    <w:rsid w:val="00E60BFC"/>
    <w:rsid w:val="00E60C08"/>
    <w:rsid w:val="00E60C8C"/>
    <w:rsid w:val="00E60CE0"/>
    <w:rsid w:val="00E60EFF"/>
    <w:rsid w:val="00E61184"/>
    <w:rsid w:val="00E6162D"/>
    <w:rsid w:val="00E61656"/>
    <w:rsid w:val="00E616E4"/>
    <w:rsid w:val="00E6177D"/>
    <w:rsid w:val="00E618D2"/>
    <w:rsid w:val="00E61ADD"/>
    <w:rsid w:val="00E6223B"/>
    <w:rsid w:val="00E62290"/>
    <w:rsid w:val="00E622BA"/>
    <w:rsid w:val="00E62501"/>
    <w:rsid w:val="00E62B36"/>
    <w:rsid w:val="00E62BAB"/>
    <w:rsid w:val="00E62BBC"/>
    <w:rsid w:val="00E62C35"/>
    <w:rsid w:val="00E62C43"/>
    <w:rsid w:val="00E6324C"/>
    <w:rsid w:val="00E63603"/>
    <w:rsid w:val="00E63AD4"/>
    <w:rsid w:val="00E641C2"/>
    <w:rsid w:val="00E642DE"/>
    <w:rsid w:val="00E64316"/>
    <w:rsid w:val="00E6467F"/>
    <w:rsid w:val="00E6471A"/>
    <w:rsid w:val="00E64746"/>
    <w:rsid w:val="00E64830"/>
    <w:rsid w:val="00E64C2B"/>
    <w:rsid w:val="00E64C75"/>
    <w:rsid w:val="00E64DEB"/>
    <w:rsid w:val="00E65053"/>
    <w:rsid w:val="00E6509D"/>
    <w:rsid w:val="00E652B8"/>
    <w:rsid w:val="00E653D0"/>
    <w:rsid w:val="00E65638"/>
    <w:rsid w:val="00E65D2D"/>
    <w:rsid w:val="00E65DB6"/>
    <w:rsid w:val="00E65EAE"/>
    <w:rsid w:val="00E6604B"/>
    <w:rsid w:val="00E6640F"/>
    <w:rsid w:val="00E669BF"/>
    <w:rsid w:val="00E66A26"/>
    <w:rsid w:val="00E6721F"/>
    <w:rsid w:val="00E6736A"/>
    <w:rsid w:val="00E6755F"/>
    <w:rsid w:val="00E675E1"/>
    <w:rsid w:val="00E675F1"/>
    <w:rsid w:val="00E67981"/>
    <w:rsid w:val="00E67A3A"/>
    <w:rsid w:val="00E67A3C"/>
    <w:rsid w:val="00E67D8A"/>
    <w:rsid w:val="00E67EF3"/>
    <w:rsid w:val="00E67F7F"/>
    <w:rsid w:val="00E67F83"/>
    <w:rsid w:val="00E67F92"/>
    <w:rsid w:val="00E70077"/>
    <w:rsid w:val="00E7026C"/>
    <w:rsid w:val="00E7049B"/>
    <w:rsid w:val="00E707B1"/>
    <w:rsid w:val="00E7083E"/>
    <w:rsid w:val="00E7090A"/>
    <w:rsid w:val="00E70B72"/>
    <w:rsid w:val="00E7146B"/>
    <w:rsid w:val="00E71488"/>
    <w:rsid w:val="00E71512"/>
    <w:rsid w:val="00E71A06"/>
    <w:rsid w:val="00E71C36"/>
    <w:rsid w:val="00E71C42"/>
    <w:rsid w:val="00E71E13"/>
    <w:rsid w:val="00E71F3F"/>
    <w:rsid w:val="00E71FA6"/>
    <w:rsid w:val="00E71FCE"/>
    <w:rsid w:val="00E7239A"/>
    <w:rsid w:val="00E723AE"/>
    <w:rsid w:val="00E7257B"/>
    <w:rsid w:val="00E72619"/>
    <w:rsid w:val="00E7288E"/>
    <w:rsid w:val="00E72932"/>
    <w:rsid w:val="00E72A69"/>
    <w:rsid w:val="00E72E94"/>
    <w:rsid w:val="00E7304B"/>
    <w:rsid w:val="00E73091"/>
    <w:rsid w:val="00E73180"/>
    <w:rsid w:val="00E7319E"/>
    <w:rsid w:val="00E731AA"/>
    <w:rsid w:val="00E735C8"/>
    <w:rsid w:val="00E73663"/>
    <w:rsid w:val="00E737DF"/>
    <w:rsid w:val="00E7391C"/>
    <w:rsid w:val="00E7396C"/>
    <w:rsid w:val="00E73B59"/>
    <w:rsid w:val="00E73BB2"/>
    <w:rsid w:val="00E73C2E"/>
    <w:rsid w:val="00E73CEE"/>
    <w:rsid w:val="00E73DFC"/>
    <w:rsid w:val="00E73E98"/>
    <w:rsid w:val="00E74385"/>
    <w:rsid w:val="00E743A8"/>
    <w:rsid w:val="00E747A7"/>
    <w:rsid w:val="00E74B34"/>
    <w:rsid w:val="00E74EA6"/>
    <w:rsid w:val="00E74F40"/>
    <w:rsid w:val="00E75070"/>
    <w:rsid w:val="00E75195"/>
    <w:rsid w:val="00E76480"/>
    <w:rsid w:val="00E76D5E"/>
    <w:rsid w:val="00E77097"/>
    <w:rsid w:val="00E77194"/>
    <w:rsid w:val="00E7745C"/>
    <w:rsid w:val="00E7770F"/>
    <w:rsid w:val="00E7793F"/>
    <w:rsid w:val="00E77D83"/>
    <w:rsid w:val="00E77F9B"/>
    <w:rsid w:val="00E80023"/>
    <w:rsid w:val="00E80094"/>
    <w:rsid w:val="00E800A5"/>
    <w:rsid w:val="00E8042D"/>
    <w:rsid w:val="00E8054A"/>
    <w:rsid w:val="00E8067F"/>
    <w:rsid w:val="00E80AD5"/>
    <w:rsid w:val="00E80DD3"/>
    <w:rsid w:val="00E80E95"/>
    <w:rsid w:val="00E80F6A"/>
    <w:rsid w:val="00E8105C"/>
    <w:rsid w:val="00E8140D"/>
    <w:rsid w:val="00E815B5"/>
    <w:rsid w:val="00E816C1"/>
    <w:rsid w:val="00E81A8B"/>
    <w:rsid w:val="00E81BC4"/>
    <w:rsid w:val="00E81FAC"/>
    <w:rsid w:val="00E8206D"/>
    <w:rsid w:val="00E821E5"/>
    <w:rsid w:val="00E8221D"/>
    <w:rsid w:val="00E82403"/>
    <w:rsid w:val="00E82417"/>
    <w:rsid w:val="00E829A4"/>
    <w:rsid w:val="00E82A43"/>
    <w:rsid w:val="00E82B61"/>
    <w:rsid w:val="00E82C0A"/>
    <w:rsid w:val="00E82F88"/>
    <w:rsid w:val="00E82F9C"/>
    <w:rsid w:val="00E8331B"/>
    <w:rsid w:val="00E8337D"/>
    <w:rsid w:val="00E8340B"/>
    <w:rsid w:val="00E83624"/>
    <w:rsid w:val="00E83BE8"/>
    <w:rsid w:val="00E83D8F"/>
    <w:rsid w:val="00E83FA2"/>
    <w:rsid w:val="00E84099"/>
    <w:rsid w:val="00E84194"/>
    <w:rsid w:val="00E843BE"/>
    <w:rsid w:val="00E8459F"/>
    <w:rsid w:val="00E84CB4"/>
    <w:rsid w:val="00E84CB6"/>
    <w:rsid w:val="00E84DB0"/>
    <w:rsid w:val="00E84E09"/>
    <w:rsid w:val="00E84E4A"/>
    <w:rsid w:val="00E850A5"/>
    <w:rsid w:val="00E851DD"/>
    <w:rsid w:val="00E85577"/>
    <w:rsid w:val="00E855B0"/>
    <w:rsid w:val="00E8562F"/>
    <w:rsid w:val="00E8595B"/>
    <w:rsid w:val="00E85A3E"/>
    <w:rsid w:val="00E85CDC"/>
    <w:rsid w:val="00E85DD2"/>
    <w:rsid w:val="00E85E78"/>
    <w:rsid w:val="00E86274"/>
    <w:rsid w:val="00E867E2"/>
    <w:rsid w:val="00E8684A"/>
    <w:rsid w:val="00E86D1B"/>
    <w:rsid w:val="00E87000"/>
    <w:rsid w:val="00E870D8"/>
    <w:rsid w:val="00E8717A"/>
    <w:rsid w:val="00E87300"/>
    <w:rsid w:val="00E87366"/>
    <w:rsid w:val="00E873B5"/>
    <w:rsid w:val="00E876C7"/>
    <w:rsid w:val="00E8783B"/>
    <w:rsid w:val="00E87D28"/>
    <w:rsid w:val="00E87FE3"/>
    <w:rsid w:val="00E901B2"/>
    <w:rsid w:val="00E908A9"/>
    <w:rsid w:val="00E90906"/>
    <w:rsid w:val="00E9096B"/>
    <w:rsid w:val="00E9099C"/>
    <w:rsid w:val="00E909F4"/>
    <w:rsid w:val="00E90B06"/>
    <w:rsid w:val="00E90B42"/>
    <w:rsid w:val="00E90EEF"/>
    <w:rsid w:val="00E90EFC"/>
    <w:rsid w:val="00E90F7C"/>
    <w:rsid w:val="00E91117"/>
    <w:rsid w:val="00E91585"/>
    <w:rsid w:val="00E91ADB"/>
    <w:rsid w:val="00E91B9D"/>
    <w:rsid w:val="00E92192"/>
    <w:rsid w:val="00E9221E"/>
    <w:rsid w:val="00E922BF"/>
    <w:rsid w:val="00E9237A"/>
    <w:rsid w:val="00E9264B"/>
    <w:rsid w:val="00E92B3B"/>
    <w:rsid w:val="00E92CE8"/>
    <w:rsid w:val="00E92DD4"/>
    <w:rsid w:val="00E93210"/>
    <w:rsid w:val="00E9322D"/>
    <w:rsid w:val="00E9351E"/>
    <w:rsid w:val="00E9373B"/>
    <w:rsid w:val="00E93A22"/>
    <w:rsid w:val="00E93E7B"/>
    <w:rsid w:val="00E93F94"/>
    <w:rsid w:val="00E942C7"/>
    <w:rsid w:val="00E94678"/>
    <w:rsid w:val="00E94BA5"/>
    <w:rsid w:val="00E94BB5"/>
    <w:rsid w:val="00E94D0E"/>
    <w:rsid w:val="00E94F59"/>
    <w:rsid w:val="00E950BF"/>
    <w:rsid w:val="00E95155"/>
    <w:rsid w:val="00E953A6"/>
    <w:rsid w:val="00E953DC"/>
    <w:rsid w:val="00E953FF"/>
    <w:rsid w:val="00E9548A"/>
    <w:rsid w:val="00E956E1"/>
    <w:rsid w:val="00E9571F"/>
    <w:rsid w:val="00E95772"/>
    <w:rsid w:val="00E958A2"/>
    <w:rsid w:val="00E95D32"/>
    <w:rsid w:val="00E96081"/>
    <w:rsid w:val="00E9613B"/>
    <w:rsid w:val="00E965F9"/>
    <w:rsid w:val="00E96D16"/>
    <w:rsid w:val="00E96D4C"/>
    <w:rsid w:val="00E96E62"/>
    <w:rsid w:val="00E97268"/>
    <w:rsid w:val="00E973C0"/>
    <w:rsid w:val="00E9744D"/>
    <w:rsid w:val="00E975D7"/>
    <w:rsid w:val="00E97758"/>
    <w:rsid w:val="00EA04FD"/>
    <w:rsid w:val="00EA06DE"/>
    <w:rsid w:val="00EA0721"/>
    <w:rsid w:val="00EA0956"/>
    <w:rsid w:val="00EA09D8"/>
    <w:rsid w:val="00EA0BDE"/>
    <w:rsid w:val="00EA0C3C"/>
    <w:rsid w:val="00EA0D91"/>
    <w:rsid w:val="00EA1117"/>
    <w:rsid w:val="00EA1397"/>
    <w:rsid w:val="00EA1726"/>
    <w:rsid w:val="00EA183C"/>
    <w:rsid w:val="00EA1BB2"/>
    <w:rsid w:val="00EA1F4F"/>
    <w:rsid w:val="00EA2029"/>
    <w:rsid w:val="00EA2456"/>
    <w:rsid w:val="00EA2718"/>
    <w:rsid w:val="00EA274C"/>
    <w:rsid w:val="00EA27F6"/>
    <w:rsid w:val="00EA29A9"/>
    <w:rsid w:val="00EA2E77"/>
    <w:rsid w:val="00EA331F"/>
    <w:rsid w:val="00EA3345"/>
    <w:rsid w:val="00EA3607"/>
    <w:rsid w:val="00EA3CA4"/>
    <w:rsid w:val="00EA4190"/>
    <w:rsid w:val="00EA4400"/>
    <w:rsid w:val="00EA4574"/>
    <w:rsid w:val="00EA4674"/>
    <w:rsid w:val="00EA4784"/>
    <w:rsid w:val="00EA47B9"/>
    <w:rsid w:val="00EA48A7"/>
    <w:rsid w:val="00EA4924"/>
    <w:rsid w:val="00EA49E4"/>
    <w:rsid w:val="00EA4BC2"/>
    <w:rsid w:val="00EA4DFD"/>
    <w:rsid w:val="00EA4E11"/>
    <w:rsid w:val="00EA4E2E"/>
    <w:rsid w:val="00EA4ED2"/>
    <w:rsid w:val="00EA52AE"/>
    <w:rsid w:val="00EA5337"/>
    <w:rsid w:val="00EA549D"/>
    <w:rsid w:val="00EA5715"/>
    <w:rsid w:val="00EA5978"/>
    <w:rsid w:val="00EA5AE0"/>
    <w:rsid w:val="00EA5D46"/>
    <w:rsid w:val="00EA5D91"/>
    <w:rsid w:val="00EA5E47"/>
    <w:rsid w:val="00EA662F"/>
    <w:rsid w:val="00EA671F"/>
    <w:rsid w:val="00EA6725"/>
    <w:rsid w:val="00EA679A"/>
    <w:rsid w:val="00EA6875"/>
    <w:rsid w:val="00EA6922"/>
    <w:rsid w:val="00EA6986"/>
    <w:rsid w:val="00EA6A6D"/>
    <w:rsid w:val="00EA6A92"/>
    <w:rsid w:val="00EA6DDA"/>
    <w:rsid w:val="00EA6E88"/>
    <w:rsid w:val="00EA6FD0"/>
    <w:rsid w:val="00EA7087"/>
    <w:rsid w:val="00EA71F7"/>
    <w:rsid w:val="00EA7333"/>
    <w:rsid w:val="00EA7595"/>
    <w:rsid w:val="00EA7756"/>
    <w:rsid w:val="00EA7A02"/>
    <w:rsid w:val="00EA7A82"/>
    <w:rsid w:val="00EA7B6E"/>
    <w:rsid w:val="00EA7E01"/>
    <w:rsid w:val="00EA7FBC"/>
    <w:rsid w:val="00EB0E32"/>
    <w:rsid w:val="00EB112B"/>
    <w:rsid w:val="00EB12EF"/>
    <w:rsid w:val="00EB13AA"/>
    <w:rsid w:val="00EB19F0"/>
    <w:rsid w:val="00EB1C29"/>
    <w:rsid w:val="00EB1CF0"/>
    <w:rsid w:val="00EB223D"/>
    <w:rsid w:val="00EB24D6"/>
    <w:rsid w:val="00EB24F5"/>
    <w:rsid w:val="00EB27B8"/>
    <w:rsid w:val="00EB28CA"/>
    <w:rsid w:val="00EB29A4"/>
    <w:rsid w:val="00EB2B2E"/>
    <w:rsid w:val="00EB2C15"/>
    <w:rsid w:val="00EB3103"/>
    <w:rsid w:val="00EB3855"/>
    <w:rsid w:val="00EB388C"/>
    <w:rsid w:val="00EB39B2"/>
    <w:rsid w:val="00EB3AEB"/>
    <w:rsid w:val="00EB3C36"/>
    <w:rsid w:val="00EB3CB4"/>
    <w:rsid w:val="00EB3EAF"/>
    <w:rsid w:val="00EB4E01"/>
    <w:rsid w:val="00EB4E5A"/>
    <w:rsid w:val="00EB50A5"/>
    <w:rsid w:val="00EB5232"/>
    <w:rsid w:val="00EB5553"/>
    <w:rsid w:val="00EB5A9A"/>
    <w:rsid w:val="00EB5BF5"/>
    <w:rsid w:val="00EB5E4D"/>
    <w:rsid w:val="00EB5FCA"/>
    <w:rsid w:val="00EB6126"/>
    <w:rsid w:val="00EB63FF"/>
    <w:rsid w:val="00EB66FB"/>
    <w:rsid w:val="00EB675F"/>
    <w:rsid w:val="00EB6C09"/>
    <w:rsid w:val="00EB7029"/>
    <w:rsid w:val="00EB7446"/>
    <w:rsid w:val="00EB7451"/>
    <w:rsid w:val="00EB76F2"/>
    <w:rsid w:val="00EB7DDD"/>
    <w:rsid w:val="00EC0591"/>
    <w:rsid w:val="00EC082C"/>
    <w:rsid w:val="00EC0B20"/>
    <w:rsid w:val="00EC130D"/>
    <w:rsid w:val="00EC1662"/>
    <w:rsid w:val="00EC1826"/>
    <w:rsid w:val="00EC182A"/>
    <w:rsid w:val="00EC18D8"/>
    <w:rsid w:val="00EC1BAB"/>
    <w:rsid w:val="00EC1CDD"/>
    <w:rsid w:val="00EC1FBA"/>
    <w:rsid w:val="00EC2B63"/>
    <w:rsid w:val="00EC2D96"/>
    <w:rsid w:val="00EC2E25"/>
    <w:rsid w:val="00EC2E3B"/>
    <w:rsid w:val="00EC2EC7"/>
    <w:rsid w:val="00EC2F6C"/>
    <w:rsid w:val="00EC34FE"/>
    <w:rsid w:val="00EC3782"/>
    <w:rsid w:val="00EC38EB"/>
    <w:rsid w:val="00EC3BBC"/>
    <w:rsid w:val="00EC3D2B"/>
    <w:rsid w:val="00EC3FBC"/>
    <w:rsid w:val="00EC42F7"/>
    <w:rsid w:val="00EC431E"/>
    <w:rsid w:val="00EC453B"/>
    <w:rsid w:val="00EC4767"/>
    <w:rsid w:val="00EC47FA"/>
    <w:rsid w:val="00EC4B4B"/>
    <w:rsid w:val="00EC5026"/>
    <w:rsid w:val="00EC5494"/>
    <w:rsid w:val="00EC5566"/>
    <w:rsid w:val="00EC57FF"/>
    <w:rsid w:val="00EC58D4"/>
    <w:rsid w:val="00EC5ACF"/>
    <w:rsid w:val="00EC5B06"/>
    <w:rsid w:val="00EC5D1E"/>
    <w:rsid w:val="00EC5ED1"/>
    <w:rsid w:val="00EC5F7A"/>
    <w:rsid w:val="00EC60C0"/>
    <w:rsid w:val="00EC64B9"/>
    <w:rsid w:val="00EC6582"/>
    <w:rsid w:val="00EC6632"/>
    <w:rsid w:val="00EC6ADE"/>
    <w:rsid w:val="00EC6F32"/>
    <w:rsid w:val="00EC701D"/>
    <w:rsid w:val="00EC713C"/>
    <w:rsid w:val="00EC7562"/>
    <w:rsid w:val="00EC7939"/>
    <w:rsid w:val="00EC795B"/>
    <w:rsid w:val="00EC7BA3"/>
    <w:rsid w:val="00EC7D65"/>
    <w:rsid w:val="00ED06B1"/>
    <w:rsid w:val="00ED091E"/>
    <w:rsid w:val="00ED096C"/>
    <w:rsid w:val="00ED102B"/>
    <w:rsid w:val="00ED1109"/>
    <w:rsid w:val="00ED119B"/>
    <w:rsid w:val="00ED15D6"/>
    <w:rsid w:val="00ED1730"/>
    <w:rsid w:val="00ED1BE8"/>
    <w:rsid w:val="00ED1C96"/>
    <w:rsid w:val="00ED1CB0"/>
    <w:rsid w:val="00ED1D26"/>
    <w:rsid w:val="00ED2105"/>
    <w:rsid w:val="00ED2114"/>
    <w:rsid w:val="00ED21C3"/>
    <w:rsid w:val="00ED2404"/>
    <w:rsid w:val="00ED2562"/>
    <w:rsid w:val="00ED2661"/>
    <w:rsid w:val="00ED267F"/>
    <w:rsid w:val="00ED2739"/>
    <w:rsid w:val="00ED278D"/>
    <w:rsid w:val="00ED27F5"/>
    <w:rsid w:val="00ED28CC"/>
    <w:rsid w:val="00ED2C8F"/>
    <w:rsid w:val="00ED2DE1"/>
    <w:rsid w:val="00ED2E9B"/>
    <w:rsid w:val="00ED2E9C"/>
    <w:rsid w:val="00ED2EB6"/>
    <w:rsid w:val="00ED31AB"/>
    <w:rsid w:val="00ED365D"/>
    <w:rsid w:val="00ED3B77"/>
    <w:rsid w:val="00ED3C1F"/>
    <w:rsid w:val="00ED451F"/>
    <w:rsid w:val="00ED4531"/>
    <w:rsid w:val="00ED4F0C"/>
    <w:rsid w:val="00ED50C2"/>
    <w:rsid w:val="00ED5386"/>
    <w:rsid w:val="00ED5692"/>
    <w:rsid w:val="00ED5938"/>
    <w:rsid w:val="00ED5A4F"/>
    <w:rsid w:val="00ED5DA9"/>
    <w:rsid w:val="00ED5EF3"/>
    <w:rsid w:val="00ED619F"/>
    <w:rsid w:val="00ED652A"/>
    <w:rsid w:val="00ED6640"/>
    <w:rsid w:val="00ED686F"/>
    <w:rsid w:val="00ED6986"/>
    <w:rsid w:val="00ED715A"/>
    <w:rsid w:val="00ED72CF"/>
    <w:rsid w:val="00ED7496"/>
    <w:rsid w:val="00ED7643"/>
    <w:rsid w:val="00ED7E9D"/>
    <w:rsid w:val="00EE00B8"/>
    <w:rsid w:val="00EE037C"/>
    <w:rsid w:val="00EE0425"/>
    <w:rsid w:val="00EE04B1"/>
    <w:rsid w:val="00EE0543"/>
    <w:rsid w:val="00EE05FB"/>
    <w:rsid w:val="00EE0C2B"/>
    <w:rsid w:val="00EE0F88"/>
    <w:rsid w:val="00EE1127"/>
    <w:rsid w:val="00EE1160"/>
    <w:rsid w:val="00EE117D"/>
    <w:rsid w:val="00EE1183"/>
    <w:rsid w:val="00EE123B"/>
    <w:rsid w:val="00EE154F"/>
    <w:rsid w:val="00EE1671"/>
    <w:rsid w:val="00EE17DF"/>
    <w:rsid w:val="00EE1AA7"/>
    <w:rsid w:val="00EE1BF1"/>
    <w:rsid w:val="00EE1C90"/>
    <w:rsid w:val="00EE1EB4"/>
    <w:rsid w:val="00EE2266"/>
    <w:rsid w:val="00EE226A"/>
    <w:rsid w:val="00EE2463"/>
    <w:rsid w:val="00EE25D1"/>
    <w:rsid w:val="00EE29A6"/>
    <w:rsid w:val="00EE2C65"/>
    <w:rsid w:val="00EE2D53"/>
    <w:rsid w:val="00EE2DD8"/>
    <w:rsid w:val="00EE4005"/>
    <w:rsid w:val="00EE43A7"/>
    <w:rsid w:val="00EE4443"/>
    <w:rsid w:val="00EE46B0"/>
    <w:rsid w:val="00EE499B"/>
    <w:rsid w:val="00EE4A93"/>
    <w:rsid w:val="00EE4E3B"/>
    <w:rsid w:val="00EE51C0"/>
    <w:rsid w:val="00EE52C4"/>
    <w:rsid w:val="00EE596C"/>
    <w:rsid w:val="00EE5F20"/>
    <w:rsid w:val="00EE5F38"/>
    <w:rsid w:val="00EE5FA9"/>
    <w:rsid w:val="00EE64BC"/>
    <w:rsid w:val="00EE6764"/>
    <w:rsid w:val="00EE67F3"/>
    <w:rsid w:val="00EE69AF"/>
    <w:rsid w:val="00EE6C3B"/>
    <w:rsid w:val="00EE6FD1"/>
    <w:rsid w:val="00EE7205"/>
    <w:rsid w:val="00EE7584"/>
    <w:rsid w:val="00EE7EF7"/>
    <w:rsid w:val="00EF028E"/>
    <w:rsid w:val="00EF047C"/>
    <w:rsid w:val="00EF0504"/>
    <w:rsid w:val="00EF0507"/>
    <w:rsid w:val="00EF07AE"/>
    <w:rsid w:val="00EF0AB1"/>
    <w:rsid w:val="00EF0ACA"/>
    <w:rsid w:val="00EF0C30"/>
    <w:rsid w:val="00EF0CA8"/>
    <w:rsid w:val="00EF0EED"/>
    <w:rsid w:val="00EF1027"/>
    <w:rsid w:val="00EF1184"/>
    <w:rsid w:val="00EF1427"/>
    <w:rsid w:val="00EF14E0"/>
    <w:rsid w:val="00EF1532"/>
    <w:rsid w:val="00EF15A2"/>
    <w:rsid w:val="00EF1740"/>
    <w:rsid w:val="00EF1837"/>
    <w:rsid w:val="00EF1927"/>
    <w:rsid w:val="00EF199D"/>
    <w:rsid w:val="00EF1C62"/>
    <w:rsid w:val="00EF24A5"/>
    <w:rsid w:val="00EF25BA"/>
    <w:rsid w:val="00EF2658"/>
    <w:rsid w:val="00EF27B9"/>
    <w:rsid w:val="00EF2F9B"/>
    <w:rsid w:val="00EF3010"/>
    <w:rsid w:val="00EF3128"/>
    <w:rsid w:val="00EF312C"/>
    <w:rsid w:val="00EF3334"/>
    <w:rsid w:val="00EF3706"/>
    <w:rsid w:val="00EF3E71"/>
    <w:rsid w:val="00EF3FF4"/>
    <w:rsid w:val="00EF41E4"/>
    <w:rsid w:val="00EF44E2"/>
    <w:rsid w:val="00EF4A2C"/>
    <w:rsid w:val="00EF4E14"/>
    <w:rsid w:val="00EF4ECA"/>
    <w:rsid w:val="00EF5665"/>
    <w:rsid w:val="00EF5910"/>
    <w:rsid w:val="00EF5B24"/>
    <w:rsid w:val="00EF5BF7"/>
    <w:rsid w:val="00EF5CEF"/>
    <w:rsid w:val="00EF6092"/>
    <w:rsid w:val="00EF60BE"/>
    <w:rsid w:val="00EF626E"/>
    <w:rsid w:val="00EF631B"/>
    <w:rsid w:val="00EF6455"/>
    <w:rsid w:val="00EF6703"/>
    <w:rsid w:val="00EF67D3"/>
    <w:rsid w:val="00EF6803"/>
    <w:rsid w:val="00EF6832"/>
    <w:rsid w:val="00EF692F"/>
    <w:rsid w:val="00EF69D2"/>
    <w:rsid w:val="00EF69FD"/>
    <w:rsid w:val="00EF6E38"/>
    <w:rsid w:val="00EF6E97"/>
    <w:rsid w:val="00EF7138"/>
    <w:rsid w:val="00EF732D"/>
    <w:rsid w:val="00EF73FE"/>
    <w:rsid w:val="00EF78B5"/>
    <w:rsid w:val="00EF7AF9"/>
    <w:rsid w:val="00F0008B"/>
    <w:rsid w:val="00F00109"/>
    <w:rsid w:val="00F0035A"/>
    <w:rsid w:val="00F0043A"/>
    <w:rsid w:val="00F00561"/>
    <w:rsid w:val="00F006DE"/>
    <w:rsid w:val="00F00811"/>
    <w:rsid w:val="00F008AE"/>
    <w:rsid w:val="00F00C21"/>
    <w:rsid w:val="00F00DA9"/>
    <w:rsid w:val="00F010B2"/>
    <w:rsid w:val="00F01403"/>
    <w:rsid w:val="00F0165B"/>
    <w:rsid w:val="00F01818"/>
    <w:rsid w:val="00F01904"/>
    <w:rsid w:val="00F019C0"/>
    <w:rsid w:val="00F01EDA"/>
    <w:rsid w:val="00F01EF1"/>
    <w:rsid w:val="00F01F4C"/>
    <w:rsid w:val="00F01FF2"/>
    <w:rsid w:val="00F025CE"/>
    <w:rsid w:val="00F02926"/>
    <w:rsid w:val="00F02BE8"/>
    <w:rsid w:val="00F02EAD"/>
    <w:rsid w:val="00F03100"/>
    <w:rsid w:val="00F03261"/>
    <w:rsid w:val="00F03371"/>
    <w:rsid w:val="00F03480"/>
    <w:rsid w:val="00F036FF"/>
    <w:rsid w:val="00F03834"/>
    <w:rsid w:val="00F0397C"/>
    <w:rsid w:val="00F03C95"/>
    <w:rsid w:val="00F03CD0"/>
    <w:rsid w:val="00F042BF"/>
    <w:rsid w:val="00F045C0"/>
    <w:rsid w:val="00F04710"/>
    <w:rsid w:val="00F04C5E"/>
    <w:rsid w:val="00F04CCC"/>
    <w:rsid w:val="00F051A3"/>
    <w:rsid w:val="00F05470"/>
    <w:rsid w:val="00F0550A"/>
    <w:rsid w:val="00F05653"/>
    <w:rsid w:val="00F05702"/>
    <w:rsid w:val="00F05784"/>
    <w:rsid w:val="00F057B3"/>
    <w:rsid w:val="00F05853"/>
    <w:rsid w:val="00F0594D"/>
    <w:rsid w:val="00F05A76"/>
    <w:rsid w:val="00F05D6C"/>
    <w:rsid w:val="00F05EEC"/>
    <w:rsid w:val="00F05F61"/>
    <w:rsid w:val="00F05FFC"/>
    <w:rsid w:val="00F070DA"/>
    <w:rsid w:val="00F07243"/>
    <w:rsid w:val="00F0729E"/>
    <w:rsid w:val="00F07304"/>
    <w:rsid w:val="00F076A0"/>
    <w:rsid w:val="00F0785C"/>
    <w:rsid w:val="00F07A08"/>
    <w:rsid w:val="00F07ACA"/>
    <w:rsid w:val="00F07B5F"/>
    <w:rsid w:val="00F07BF2"/>
    <w:rsid w:val="00F07C02"/>
    <w:rsid w:val="00F10589"/>
    <w:rsid w:val="00F10631"/>
    <w:rsid w:val="00F106DF"/>
    <w:rsid w:val="00F106F7"/>
    <w:rsid w:val="00F10A78"/>
    <w:rsid w:val="00F10AD1"/>
    <w:rsid w:val="00F10ADB"/>
    <w:rsid w:val="00F10E98"/>
    <w:rsid w:val="00F1101C"/>
    <w:rsid w:val="00F1141E"/>
    <w:rsid w:val="00F11838"/>
    <w:rsid w:val="00F11988"/>
    <w:rsid w:val="00F11BF8"/>
    <w:rsid w:val="00F11D76"/>
    <w:rsid w:val="00F11E1D"/>
    <w:rsid w:val="00F12180"/>
    <w:rsid w:val="00F124CA"/>
    <w:rsid w:val="00F12690"/>
    <w:rsid w:val="00F12842"/>
    <w:rsid w:val="00F12CCE"/>
    <w:rsid w:val="00F12CFF"/>
    <w:rsid w:val="00F12D05"/>
    <w:rsid w:val="00F1302C"/>
    <w:rsid w:val="00F13109"/>
    <w:rsid w:val="00F13554"/>
    <w:rsid w:val="00F1386B"/>
    <w:rsid w:val="00F1398A"/>
    <w:rsid w:val="00F13A16"/>
    <w:rsid w:val="00F13B9D"/>
    <w:rsid w:val="00F140AB"/>
    <w:rsid w:val="00F142AF"/>
    <w:rsid w:val="00F1431C"/>
    <w:rsid w:val="00F14649"/>
    <w:rsid w:val="00F147AE"/>
    <w:rsid w:val="00F149CB"/>
    <w:rsid w:val="00F14C65"/>
    <w:rsid w:val="00F14E68"/>
    <w:rsid w:val="00F14FFE"/>
    <w:rsid w:val="00F15139"/>
    <w:rsid w:val="00F1527D"/>
    <w:rsid w:val="00F152A8"/>
    <w:rsid w:val="00F15686"/>
    <w:rsid w:val="00F15803"/>
    <w:rsid w:val="00F15CAB"/>
    <w:rsid w:val="00F164DD"/>
    <w:rsid w:val="00F16847"/>
    <w:rsid w:val="00F168E6"/>
    <w:rsid w:val="00F16C91"/>
    <w:rsid w:val="00F16EC6"/>
    <w:rsid w:val="00F1753B"/>
    <w:rsid w:val="00F1790A"/>
    <w:rsid w:val="00F17D2C"/>
    <w:rsid w:val="00F17E55"/>
    <w:rsid w:val="00F17FCF"/>
    <w:rsid w:val="00F17FF7"/>
    <w:rsid w:val="00F2057C"/>
    <w:rsid w:val="00F20FA3"/>
    <w:rsid w:val="00F210B6"/>
    <w:rsid w:val="00F211D7"/>
    <w:rsid w:val="00F212EE"/>
    <w:rsid w:val="00F21639"/>
    <w:rsid w:val="00F21766"/>
    <w:rsid w:val="00F2180B"/>
    <w:rsid w:val="00F219C3"/>
    <w:rsid w:val="00F21B39"/>
    <w:rsid w:val="00F21BD6"/>
    <w:rsid w:val="00F21D7B"/>
    <w:rsid w:val="00F21F4B"/>
    <w:rsid w:val="00F2215C"/>
    <w:rsid w:val="00F2221E"/>
    <w:rsid w:val="00F2256B"/>
    <w:rsid w:val="00F2276F"/>
    <w:rsid w:val="00F227A5"/>
    <w:rsid w:val="00F229B9"/>
    <w:rsid w:val="00F22B6F"/>
    <w:rsid w:val="00F22E2C"/>
    <w:rsid w:val="00F22EAF"/>
    <w:rsid w:val="00F2326C"/>
    <w:rsid w:val="00F23367"/>
    <w:rsid w:val="00F23468"/>
    <w:rsid w:val="00F234B7"/>
    <w:rsid w:val="00F238C2"/>
    <w:rsid w:val="00F23CD6"/>
    <w:rsid w:val="00F23EF1"/>
    <w:rsid w:val="00F23F47"/>
    <w:rsid w:val="00F241D0"/>
    <w:rsid w:val="00F243A6"/>
    <w:rsid w:val="00F243DA"/>
    <w:rsid w:val="00F24667"/>
    <w:rsid w:val="00F247F0"/>
    <w:rsid w:val="00F24A39"/>
    <w:rsid w:val="00F24E8C"/>
    <w:rsid w:val="00F2513B"/>
    <w:rsid w:val="00F25464"/>
    <w:rsid w:val="00F257A1"/>
    <w:rsid w:val="00F257AD"/>
    <w:rsid w:val="00F2588B"/>
    <w:rsid w:val="00F259B5"/>
    <w:rsid w:val="00F25C04"/>
    <w:rsid w:val="00F25D4E"/>
    <w:rsid w:val="00F25E76"/>
    <w:rsid w:val="00F25EA7"/>
    <w:rsid w:val="00F26157"/>
    <w:rsid w:val="00F261A3"/>
    <w:rsid w:val="00F26284"/>
    <w:rsid w:val="00F26461"/>
    <w:rsid w:val="00F26731"/>
    <w:rsid w:val="00F2676F"/>
    <w:rsid w:val="00F2692F"/>
    <w:rsid w:val="00F26AFB"/>
    <w:rsid w:val="00F26EC3"/>
    <w:rsid w:val="00F2712D"/>
    <w:rsid w:val="00F27359"/>
    <w:rsid w:val="00F274D6"/>
    <w:rsid w:val="00F274DF"/>
    <w:rsid w:val="00F275A9"/>
    <w:rsid w:val="00F278B8"/>
    <w:rsid w:val="00F2799D"/>
    <w:rsid w:val="00F279A4"/>
    <w:rsid w:val="00F27A2A"/>
    <w:rsid w:val="00F27D29"/>
    <w:rsid w:val="00F27ED5"/>
    <w:rsid w:val="00F27EFE"/>
    <w:rsid w:val="00F27F18"/>
    <w:rsid w:val="00F30238"/>
    <w:rsid w:val="00F30731"/>
    <w:rsid w:val="00F309F1"/>
    <w:rsid w:val="00F30BCA"/>
    <w:rsid w:val="00F30C87"/>
    <w:rsid w:val="00F30E3F"/>
    <w:rsid w:val="00F3146A"/>
    <w:rsid w:val="00F31E56"/>
    <w:rsid w:val="00F31EEB"/>
    <w:rsid w:val="00F31F36"/>
    <w:rsid w:val="00F324E1"/>
    <w:rsid w:val="00F32DF8"/>
    <w:rsid w:val="00F32E1B"/>
    <w:rsid w:val="00F334CE"/>
    <w:rsid w:val="00F337EC"/>
    <w:rsid w:val="00F3380C"/>
    <w:rsid w:val="00F33811"/>
    <w:rsid w:val="00F33A1F"/>
    <w:rsid w:val="00F33AD3"/>
    <w:rsid w:val="00F34020"/>
    <w:rsid w:val="00F3404D"/>
    <w:rsid w:val="00F34070"/>
    <w:rsid w:val="00F342CC"/>
    <w:rsid w:val="00F3430D"/>
    <w:rsid w:val="00F346C8"/>
    <w:rsid w:val="00F34AE1"/>
    <w:rsid w:val="00F34C3D"/>
    <w:rsid w:val="00F34E17"/>
    <w:rsid w:val="00F34F44"/>
    <w:rsid w:val="00F3537F"/>
    <w:rsid w:val="00F357B0"/>
    <w:rsid w:val="00F35BFC"/>
    <w:rsid w:val="00F35F7B"/>
    <w:rsid w:val="00F365B4"/>
    <w:rsid w:val="00F36C48"/>
    <w:rsid w:val="00F36CAB"/>
    <w:rsid w:val="00F36D2B"/>
    <w:rsid w:val="00F371B2"/>
    <w:rsid w:val="00F37720"/>
    <w:rsid w:val="00F37AEB"/>
    <w:rsid w:val="00F37B3A"/>
    <w:rsid w:val="00F37FE9"/>
    <w:rsid w:val="00F400D3"/>
    <w:rsid w:val="00F40216"/>
    <w:rsid w:val="00F40278"/>
    <w:rsid w:val="00F40817"/>
    <w:rsid w:val="00F40A4B"/>
    <w:rsid w:val="00F40AFD"/>
    <w:rsid w:val="00F40D37"/>
    <w:rsid w:val="00F40E17"/>
    <w:rsid w:val="00F41470"/>
    <w:rsid w:val="00F417F8"/>
    <w:rsid w:val="00F41B63"/>
    <w:rsid w:val="00F41CE7"/>
    <w:rsid w:val="00F41D41"/>
    <w:rsid w:val="00F41E09"/>
    <w:rsid w:val="00F41E87"/>
    <w:rsid w:val="00F41F6D"/>
    <w:rsid w:val="00F4202C"/>
    <w:rsid w:val="00F420BC"/>
    <w:rsid w:val="00F425D1"/>
    <w:rsid w:val="00F42C69"/>
    <w:rsid w:val="00F431EF"/>
    <w:rsid w:val="00F433FC"/>
    <w:rsid w:val="00F4358A"/>
    <w:rsid w:val="00F438E0"/>
    <w:rsid w:val="00F43C33"/>
    <w:rsid w:val="00F43C9F"/>
    <w:rsid w:val="00F43E70"/>
    <w:rsid w:val="00F43EBD"/>
    <w:rsid w:val="00F43ED2"/>
    <w:rsid w:val="00F44199"/>
    <w:rsid w:val="00F4427C"/>
    <w:rsid w:val="00F4445F"/>
    <w:rsid w:val="00F44665"/>
    <w:rsid w:val="00F4469C"/>
    <w:rsid w:val="00F447A9"/>
    <w:rsid w:val="00F448F9"/>
    <w:rsid w:val="00F44A09"/>
    <w:rsid w:val="00F44A38"/>
    <w:rsid w:val="00F44D41"/>
    <w:rsid w:val="00F44FD1"/>
    <w:rsid w:val="00F4525C"/>
    <w:rsid w:val="00F454F4"/>
    <w:rsid w:val="00F45A09"/>
    <w:rsid w:val="00F45B46"/>
    <w:rsid w:val="00F46076"/>
    <w:rsid w:val="00F4613C"/>
    <w:rsid w:val="00F469F2"/>
    <w:rsid w:val="00F46AC7"/>
    <w:rsid w:val="00F46C25"/>
    <w:rsid w:val="00F46C32"/>
    <w:rsid w:val="00F46F04"/>
    <w:rsid w:val="00F4700B"/>
    <w:rsid w:val="00F4704B"/>
    <w:rsid w:val="00F471D3"/>
    <w:rsid w:val="00F47204"/>
    <w:rsid w:val="00F472E3"/>
    <w:rsid w:val="00F47645"/>
    <w:rsid w:val="00F47A3A"/>
    <w:rsid w:val="00F47C71"/>
    <w:rsid w:val="00F47DCC"/>
    <w:rsid w:val="00F47E21"/>
    <w:rsid w:val="00F50170"/>
    <w:rsid w:val="00F50497"/>
    <w:rsid w:val="00F5061F"/>
    <w:rsid w:val="00F506B4"/>
    <w:rsid w:val="00F50820"/>
    <w:rsid w:val="00F50827"/>
    <w:rsid w:val="00F50C75"/>
    <w:rsid w:val="00F50D99"/>
    <w:rsid w:val="00F5119A"/>
    <w:rsid w:val="00F511F7"/>
    <w:rsid w:val="00F512A5"/>
    <w:rsid w:val="00F51754"/>
    <w:rsid w:val="00F51759"/>
    <w:rsid w:val="00F51D65"/>
    <w:rsid w:val="00F5222E"/>
    <w:rsid w:val="00F5271F"/>
    <w:rsid w:val="00F52B00"/>
    <w:rsid w:val="00F52F37"/>
    <w:rsid w:val="00F53066"/>
    <w:rsid w:val="00F53336"/>
    <w:rsid w:val="00F536E0"/>
    <w:rsid w:val="00F538F0"/>
    <w:rsid w:val="00F539B0"/>
    <w:rsid w:val="00F54622"/>
    <w:rsid w:val="00F546E0"/>
    <w:rsid w:val="00F54790"/>
    <w:rsid w:val="00F548C3"/>
    <w:rsid w:val="00F548CD"/>
    <w:rsid w:val="00F54A70"/>
    <w:rsid w:val="00F54DFE"/>
    <w:rsid w:val="00F558D1"/>
    <w:rsid w:val="00F55B16"/>
    <w:rsid w:val="00F55D40"/>
    <w:rsid w:val="00F56147"/>
    <w:rsid w:val="00F5633F"/>
    <w:rsid w:val="00F5643A"/>
    <w:rsid w:val="00F56595"/>
    <w:rsid w:val="00F56B32"/>
    <w:rsid w:val="00F56B76"/>
    <w:rsid w:val="00F56CC4"/>
    <w:rsid w:val="00F56F49"/>
    <w:rsid w:val="00F571FC"/>
    <w:rsid w:val="00F57321"/>
    <w:rsid w:val="00F57471"/>
    <w:rsid w:val="00F575D6"/>
    <w:rsid w:val="00F57AA2"/>
    <w:rsid w:val="00F57E7E"/>
    <w:rsid w:val="00F57F4E"/>
    <w:rsid w:val="00F602AC"/>
    <w:rsid w:val="00F604C7"/>
    <w:rsid w:val="00F6065C"/>
    <w:rsid w:val="00F606B6"/>
    <w:rsid w:val="00F607A5"/>
    <w:rsid w:val="00F60839"/>
    <w:rsid w:val="00F60952"/>
    <w:rsid w:val="00F60C2F"/>
    <w:rsid w:val="00F60E15"/>
    <w:rsid w:val="00F613EC"/>
    <w:rsid w:val="00F61D21"/>
    <w:rsid w:val="00F62143"/>
    <w:rsid w:val="00F623DB"/>
    <w:rsid w:val="00F624A2"/>
    <w:rsid w:val="00F62979"/>
    <w:rsid w:val="00F62988"/>
    <w:rsid w:val="00F629A9"/>
    <w:rsid w:val="00F62A96"/>
    <w:rsid w:val="00F62E1F"/>
    <w:rsid w:val="00F63130"/>
    <w:rsid w:val="00F6326C"/>
    <w:rsid w:val="00F63320"/>
    <w:rsid w:val="00F63712"/>
    <w:rsid w:val="00F637AB"/>
    <w:rsid w:val="00F6381E"/>
    <w:rsid w:val="00F63951"/>
    <w:rsid w:val="00F63A9E"/>
    <w:rsid w:val="00F63C65"/>
    <w:rsid w:val="00F63CA8"/>
    <w:rsid w:val="00F63E51"/>
    <w:rsid w:val="00F63FEB"/>
    <w:rsid w:val="00F63FED"/>
    <w:rsid w:val="00F64265"/>
    <w:rsid w:val="00F64439"/>
    <w:rsid w:val="00F6452E"/>
    <w:rsid w:val="00F648D4"/>
    <w:rsid w:val="00F6498C"/>
    <w:rsid w:val="00F649A3"/>
    <w:rsid w:val="00F64A30"/>
    <w:rsid w:val="00F64A88"/>
    <w:rsid w:val="00F64BE7"/>
    <w:rsid w:val="00F64D89"/>
    <w:rsid w:val="00F64D94"/>
    <w:rsid w:val="00F64E83"/>
    <w:rsid w:val="00F64EE5"/>
    <w:rsid w:val="00F64F07"/>
    <w:rsid w:val="00F64F58"/>
    <w:rsid w:val="00F651C6"/>
    <w:rsid w:val="00F652B3"/>
    <w:rsid w:val="00F652F7"/>
    <w:rsid w:val="00F65B4C"/>
    <w:rsid w:val="00F65D15"/>
    <w:rsid w:val="00F66055"/>
    <w:rsid w:val="00F661EA"/>
    <w:rsid w:val="00F664AF"/>
    <w:rsid w:val="00F667C1"/>
    <w:rsid w:val="00F66835"/>
    <w:rsid w:val="00F66BEF"/>
    <w:rsid w:val="00F67643"/>
    <w:rsid w:val="00F6766F"/>
    <w:rsid w:val="00F677E6"/>
    <w:rsid w:val="00F67804"/>
    <w:rsid w:val="00F67894"/>
    <w:rsid w:val="00F678B8"/>
    <w:rsid w:val="00F67967"/>
    <w:rsid w:val="00F679A9"/>
    <w:rsid w:val="00F67A44"/>
    <w:rsid w:val="00F67C41"/>
    <w:rsid w:val="00F67D29"/>
    <w:rsid w:val="00F67E7C"/>
    <w:rsid w:val="00F70133"/>
    <w:rsid w:val="00F701F9"/>
    <w:rsid w:val="00F7070B"/>
    <w:rsid w:val="00F70794"/>
    <w:rsid w:val="00F70955"/>
    <w:rsid w:val="00F70B1F"/>
    <w:rsid w:val="00F70DBC"/>
    <w:rsid w:val="00F70F5B"/>
    <w:rsid w:val="00F7132D"/>
    <w:rsid w:val="00F71565"/>
    <w:rsid w:val="00F716E2"/>
    <w:rsid w:val="00F7195C"/>
    <w:rsid w:val="00F71A86"/>
    <w:rsid w:val="00F71AAB"/>
    <w:rsid w:val="00F72173"/>
    <w:rsid w:val="00F725BA"/>
    <w:rsid w:val="00F72612"/>
    <w:rsid w:val="00F72673"/>
    <w:rsid w:val="00F72723"/>
    <w:rsid w:val="00F729A3"/>
    <w:rsid w:val="00F72AB4"/>
    <w:rsid w:val="00F7348A"/>
    <w:rsid w:val="00F73A91"/>
    <w:rsid w:val="00F73C05"/>
    <w:rsid w:val="00F73CEF"/>
    <w:rsid w:val="00F73DCE"/>
    <w:rsid w:val="00F74122"/>
    <w:rsid w:val="00F745A7"/>
    <w:rsid w:val="00F74724"/>
    <w:rsid w:val="00F7481C"/>
    <w:rsid w:val="00F74853"/>
    <w:rsid w:val="00F74C80"/>
    <w:rsid w:val="00F74F01"/>
    <w:rsid w:val="00F754FA"/>
    <w:rsid w:val="00F7572A"/>
    <w:rsid w:val="00F7591E"/>
    <w:rsid w:val="00F759F7"/>
    <w:rsid w:val="00F75B15"/>
    <w:rsid w:val="00F75BAA"/>
    <w:rsid w:val="00F75EED"/>
    <w:rsid w:val="00F75F00"/>
    <w:rsid w:val="00F763C2"/>
    <w:rsid w:val="00F76862"/>
    <w:rsid w:val="00F769E0"/>
    <w:rsid w:val="00F76B10"/>
    <w:rsid w:val="00F76C20"/>
    <w:rsid w:val="00F76DE8"/>
    <w:rsid w:val="00F76FD6"/>
    <w:rsid w:val="00F77193"/>
    <w:rsid w:val="00F77B25"/>
    <w:rsid w:val="00F77D3C"/>
    <w:rsid w:val="00F77D3F"/>
    <w:rsid w:val="00F77ECC"/>
    <w:rsid w:val="00F8010C"/>
    <w:rsid w:val="00F805B9"/>
    <w:rsid w:val="00F8081F"/>
    <w:rsid w:val="00F80BD8"/>
    <w:rsid w:val="00F80C00"/>
    <w:rsid w:val="00F80CFE"/>
    <w:rsid w:val="00F80D58"/>
    <w:rsid w:val="00F80D5E"/>
    <w:rsid w:val="00F80D69"/>
    <w:rsid w:val="00F80DF2"/>
    <w:rsid w:val="00F80F0C"/>
    <w:rsid w:val="00F81372"/>
    <w:rsid w:val="00F814B0"/>
    <w:rsid w:val="00F818DD"/>
    <w:rsid w:val="00F81952"/>
    <w:rsid w:val="00F819BB"/>
    <w:rsid w:val="00F81B2A"/>
    <w:rsid w:val="00F81BA3"/>
    <w:rsid w:val="00F82393"/>
    <w:rsid w:val="00F82754"/>
    <w:rsid w:val="00F82836"/>
    <w:rsid w:val="00F82D09"/>
    <w:rsid w:val="00F82D13"/>
    <w:rsid w:val="00F83476"/>
    <w:rsid w:val="00F836F1"/>
    <w:rsid w:val="00F83A99"/>
    <w:rsid w:val="00F83AD7"/>
    <w:rsid w:val="00F83EB7"/>
    <w:rsid w:val="00F83EC7"/>
    <w:rsid w:val="00F83F59"/>
    <w:rsid w:val="00F840A1"/>
    <w:rsid w:val="00F841C1"/>
    <w:rsid w:val="00F841E4"/>
    <w:rsid w:val="00F8435C"/>
    <w:rsid w:val="00F844B6"/>
    <w:rsid w:val="00F846E6"/>
    <w:rsid w:val="00F8480A"/>
    <w:rsid w:val="00F84A68"/>
    <w:rsid w:val="00F84D2E"/>
    <w:rsid w:val="00F84D99"/>
    <w:rsid w:val="00F84F4D"/>
    <w:rsid w:val="00F84F7A"/>
    <w:rsid w:val="00F851F2"/>
    <w:rsid w:val="00F8523E"/>
    <w:rsid w:val="00F852D1"/>
    <w:rsid w:val="00F855B9"/>
    <w:rsid w:val="00F856FD"/>
    <w:rsid w:val="00F85A3C"/>
    <w:rsid w:val="00F85A92"/>
    <w:rsid w:val="00F85C79"/>
    <w:rsid w:val="00F85D8B"/>
    <w:rsid w:val="00F8648D"/>
    <w:rsid w:val="00F86537"/>
    <w:rsid w:val="00F867CC"/>
    <w:rsid w:val="00F86946"/>
    <w:rsid w:val="00F86AAD"/>
    <w:rsid w:val="00F86CDA"/>
    <w:rsid w:val="00F86CF8"/>
    <w:rsid w:val="00F86D77"/>
    <w:rsid w:val="00F86E16"/>
    <w:rsid w:val="00F870B0"/>
    <w:rsid w:val="00F871AD"/>
    <w:rsid w:val="00F8723B"/>
    <w:rsid w:val="00F875C3"/>
    <w:rsid w:val="00F87865"/>
    <w:rsid w:val="00F87A9A"/>
    <w:rsid w:val="00F87B28"/>
    <w:rsid w:val="00F87CC3"/>
    <w:rsid w:val="00F87D06"/>
    <w:rsid w:val="00F87DEF"/>
    <w:rsid w:val="00F87F92"/>
    <w:rsid w:val="00F908CB"/>
    <w:rsid w:val="00F9092B"/>
    <w:rsid w:val="00F90995"/>
    <w:rsid w:val="00F90D13"/>
    <w:rsid w:val="00F90E16"/>
    <w:rsid w:val="00F90E49"/>
    <w:rsid w:val="00F910C1"/>
    <w:rsid w:val="00F913E2"/>
    <w:rsid w:val="00F9167B"/>
    <w:rsid w:val="00F9167D"/>
    <w:rsid w:val="00F9172B"/>
    <w:rsid w:val="00F91966"/>
    <w:rsid w:val="00F9199E"/>
    <w:rsid w:val="00F91BCA"/>
    <w:rsid w:val="00F91D91"/>
    <w:rsid w:val="00F92056"/>
    <w:rsid w:val="00F92114"/>
    <w:rsid w:val="00F92118"/>
    <w:rsid w:val="00F923C1"/>
    <w:rsid w:val="00F9270A"/>
    <w:rsid w:val="00F92757"/>
    <w:rsid w:val="00F929BF"/>
    <w:rsid w:val="00F92E28"/>
    <w:rsid w:val="00F9309A"/>
    <w:rsid w:val="00F9361F"/>
    <w:rsid w:val="00F93A2B"/>
    <w:rsid w:val="00F9450C"/>
    <w:rsid w:val="00F9469A"/>
    <w:rsid w:val="00F94754"/>
    <w:rsid w:val="00F94FD0"/>
    <w:rsid w:val="00F9534C"/>
    <w:rsid w:val="00F9567F"/>
    <w:rsid w:val="00F95AA8"/>
    <w:rsid w:val="00F95AA9"/>
    <w:rsid w:val="00F96031"/>
    <w:rsid w:val="00F961CE"/>
    <w:rsid w:val="00F963C1"/>
    <w:rsid w:val="00F96C62"/>
    <w:rsid w:val="00F96CEE"/>
    <w:rsid w:val="00F96D88"/>
    <w:rsid w:val="00F97872"/>
    <w:rsid w:val="00F979CD"/>
    <w:rsid w:val="00F97C2E"/>
    <w:rsid w:val="00F97CA1"/>
    <w:rsid w:val="00F97CB0"/>
    <w:rsid w:val="00FA006E"/>
    <w:rsid w:val="00FA0A8B"/>
    <w:rsid w:val="00FA0AF3"/>
    <w:rsid w:val="00FA0B71"/>
    <w:rsid w:val="00FA12EF"/>
    <w:rsid w:val="00FA17ED"/>
    <w:rsid w:val="00FA185D"/>
    <w:rsid w:val="00FA1BF5"/>
    <w:rsid w:val="00FA1D50"/>
    <w:rsid w:val="00FA1DBE"/>
    <w:rsid w:val="00FA1EF4"/>
    <w:rsid w:val="00FA241B"/>
    <w:rsid w:val="00FA24A2"/>
    <w:rsid w:val="00FA2515"/>
    <w:rsid w:val="00FA2631"/>
    <w:rsid w:val="00FA2665"/>
    <w:rsid w:val="00FA2DC9"/>
    <w:rsid w:val="00FA312E"/>
    <w:rsid w:val="00FA32A5"/>
    <w:rsid w:val="00FA3852"/>
    <w:rsid w:val="00FA3A8B"/>
    <w:rsid w:val="00FA3B01"/>
    <w:rsid w:val="00FA3C1D"/>
    <w:rsid w:val="00FA3C70"/>
    <w:rsid w:val="00FA418A"/>
    <w:rsid w:val="00FA45F5"/>
    <w:rsid w:val="00FA4AA7"/>
    <w:rsid w:val="00FA4B35"/>
    <w:rsid w:val="00FA5683"/>
    <w:rsid w:val="00FA5C28"/>
    <w:rsid w:val="00FA5C4B"/>
    <w:rsid w:val="00FA5E71"/>
    <w:rsid w:val="00FA6161"/>
    <w:rsid w:val="00FA65BD"/>
    <w:rsid w:val="00FA66E5"/>
    <w:rsid w:val="00FA69AA"/>
    <w:rsid w:val="00FA6A19"/>
    <w:rsid w:val="00FA6BE9"/>
    <w:rsid w:val="00FA6D28"/>
    <w:rsid w:val="00FA6DD8"/>
    <w:rsid w:val="00FA6EDF"/>
    <w:rsid w:val="00FA71EE"/>
    <w:rsid w:val="00FA74DD"/>
    <w:rsid w:val="00FA77B1"/>
    <w:rsid w:val="00FA79DE"/>
    <w:rsid w:val="00FA7CB8"/>
    <w:rsid w:val="00FB0082"/>
    <w:rsid w:val="00FB00EC"/>
    <w:rsid w:val="00FB08A6"/>
    <w:rsid w:val="00FB0A72"/>
    <w:rsid w:val="00FB0F89"/>
    <w:rsid w:val="00FB10EA"/>
    <w:rsid w:val="00FB1296"/>
    <w:rsid w:val="00FB135A"/>
    <w:rsid w:val="00FB14C1"/>
    <w:rsid w:val="00FB17B9"/>
    <w:rsid w:val="00FB1DBB"/>
    <w:rsid w:val="00FB200D"/>
    <w:rsid w:val="00FB247C"/>
    <w:rsid w:val="00FB24F3"/>
    <w:rsid w:val="00FB28AB"/>
    <w:rsid w:val="00FB28B3"/>
    <w:rsid w:val="00FB2D12"/>
    <w:rsid w:val="00FB2E8B"/>
    <w:rsid w:val="00FB3438"/>
    <w:rsid w:val="00FB381C"/>
    <w:rsid w:val="00FB3877"/>
    <w:rsid w:val="00FB43A1"/>
    <w:rsid w:val="00FB44EA"/>
    <w:rsid w:val="00FB44EC"/>
    <w:rsid w:val="00FB4616"/>
    <w:rsid w:val="00FB46E0"/>
    <w:rsid w:val="00FB489B"/>
    <w:rsid w:val="00FB5847"/>
    <w:rsid w:val="00FB585E"/>
    <w:rsid w:val="00FB591B"/>
    <w:rsid w:val="00FB597F"/>
    <w:rsid w:val="00FB5EDB"/>
    <w:rsid w:val="00FB5EF8"/>
    <w:rsid w:val="00FB5F0F"/>
    <w:rsid w:val="00FB633F"/>
    <w:rsid w:val="00FB65B9"/>
    <w:rsid w:val="00FB6932"/>
    <w:rsid w:val="00FB69B5"/>
    <w:rsid w:val="00FB6ABF"/>
    <w:rsid w:val="00FB6E0D"/>
    <w:rsid w:val="00FB6E18"/>
    <w:rsid w:val="00FB6FD1"/>
    <w:rsid w:val="00FB70BA"/>
    <w:rsid w:val="00FB7299"/>
    <w:rsid w:val="00FB7497"/>
    <w:rsid w:val="00FB74A5"/>
    <w:rsid w:val="00FB75D9"/>
    <w:rsid w:val="00FB7664"/>
    <w:rsid w:val="00FB7A76"/>
    <w:rsid w:val="00FB7B34"/>
    <w:rsid w:val="00FC019B"/>
    <w:rsid w:val="00FC024B"/>
    <w:rsid w:val="00FC02AB"/>
    <w:rsid w:val="00FC0A44"/>
    <w:rsid w:val="00FC0BB4"/>
    <w:rsid w:val="00FC0D28"/>
    <w:rsid w:val="00FC0E76"/>
    <w:rsid w:val="00FC124F"/>
    <w:rsid w:val="00FC1373"/>
    <w:rsid w:val="00FC13CD"/>
    <w:rsid w:val="00FC1577"/>
    <w:rsid w:val="00FC1589"/>
    <w:rsid w:val="00FC1BF8"/>
    <w:rsid w:val="00FC1E48"/>
    <w:rsid w:val="00FC252B"/>
    <w:rsid w:val="00FC29F3"/>
    <w:rsid w:val="00FC2FD8"/>
    <w:rsid w:val="00FC341A"/>
    <w:rsid w:val="00FC366D"/>
    <w:rsid w:val="00FC3899"/>
    <w:rsid w:val="00FC405C"/>
    <w:rsid w:val="00FC426E"/>
    <w:rsid w:val="00FC450B"/>
    <w:rsid w:val="00FC481D"/>
    <w:rsid w:val="00FC490E"/>
    <w:rsid w:val="00FC4CAB"/>
    <w:rsid w:val="00FC4F01"/>
    <w:rsid w:val="00FC500A"/>
    <w:rsid w:val="00FC5505"/>
    <w:rsid w:val="00FC5814"/>
    <w:rsid w:val="00FC58A0"/>
    <w:rsid w:val="00FC5F7D"/>
    <w:rsid w:val="00FC61EB"/>
    <w:rsid w:val="00FC66F6"/>
    <w:rsid w:val="00FC6C91"/>
    <w:rsid w:val="00FC6E9E"/>
    <w:rsid w:val="00FC71D7"/>
    <w:rsid w:val="00FC7298"/>
    <w:rsid w:val="00FC7586"/>
    <w:rsid w:val="00FC759A"/>
    <w:rsid w:val="00FC7A1B"/>
    <w:rsid w:val="00FC7C73"/>
    <w:rsid w:val="00FC7CFF"/>
    <w:rsid w:val="00FC7EFF"/>
    <w:rsid w:val="00FD0035"/>
    <w:rsid w:val="00FD013B"/>
    <w:rsid w:val="00FD016C"/>
    <w:rsid w:val="00FD036F"/>
    <w:rsid w:val="00FD07DD"/>
    <w:rsid w:val="00FD0A5D"/>
    <w:rsid w:val="00FD0B23"/>
    <w:rsid w:val="00FD0BFB"/>
    <w:rsid w:val="00FD0D70"/>
    <w:rsid w:val="00FD1180"/>
    <w:rsid w:val="00FD1550"/>
    <w:rsid w:val="00FD165E"/>
    <w:rsid w:val="00FD1919"/>
    <w:rsid w:val="00FD19EE"/>
    <w:rsid w:val="00FD1B66"/>
    <w:rsid w:val="00FD1BC8"/>
    <w:rsid w:val="00FD1C57"/>
    <w:rsid w:val="00FD1EDF"/>
    <w:rsid w:val="00FD2013"/>
    <w:rsid w:val="00FD22B0"/>
    <w:rsid w:val="00FD2361"/>
    <w:rsid w:val="00FD24DC"/>
    <w:rsid w:val="00FD278F"/>
    <w:rsid w:val="00FD28FC"/>
    <w:rsid w:val="00FD2900"/>
    <w:rsid w:val="00FD2DAB"/>
    <w:rsid w:val="00FD2DDD"/>
    <w:rsid w:val="00FD3047"/>
    <w:rsid w:val="00FD365E"/>
    <w:rsid w:val="00FD3AE7"/>
    <w:rsid w:val="00FD3C89"/>
    <w:rsid w:val="00FD3F33"/>
    <w:rsid w:val="00FD444F"/>
    <w:rsid w:val="00FD4516"/>
    <w:rsid w:val="00FD4BBA"/>
    <w:rsid w:val="00FD5ABC"/>
    <w:rsid w:val="00FD5B90"/>
    <w:rsid w:val="00FD5BB0"/>
    <w:rsid w:val="00FD5E05"/>
    <w:rsid w:val="00FD5EEC"/>
    <w:rsid w:val="00FD5F90"/>
    <w:rsid w:val="00FD66CC"/>
    <w:rsid w:val="00FD66F0"/>
    <w:rsid w:val="00FD678A"/>
    <w:rsid w:val="00FD6968"/>
    <w:rsid w:val="00FD70E2"/>
    <w:rsid w:val="00FD7294"/>
    <w:rsid w:val="00FD7464"/>
    <w:rsid w:val="00FD7803"/>
    <w:rsid w:val="00FD7AA7"/>
    <w:rsid w:val="00FD7CEA"/>
    <w:rsid w:val="00FE054B"/>
    <w:rsid w:val="00FE0684"/>
    <w:rsid w:val="00FE097D"/>
    <w:rsid w:val="00FE0DC1"/>
    <w:rsid w:val="00FE13F7"/>
    <w:rsid w:val="00FE1647"/>
    <w:rsid w:val="00FE1679"/>
    <w:rsid w:val="00FE1E4C"/>
    <w:rsid w:val="00FE1F10"/>
    <w:rsid w:val="00FE225A"/>
    <w:rsid w:val="00FE241B"/>
    <w:rsid w:val="00FE26A7"/>
    <w:rsid w:val="00FE27A8"/>
    <w:rsid w:val="00FE2D34"/>
    <w:rsid w:val="00FE2DC5"/>
    <w:rsid w:val="00FE2F61"/>
    <w:rsid w:val="00FE3269"/>
    <w:rsid w:val="00FE345D"/>
    <w:rsid w:val="00FE35D2"/>
    <w:rsid w:val="00FE3C8E"/>
    <w:rsid w:val="00FE40FF"/>
    <w:rsid w:val="00FE45E3"/>
    <w:rsid w:val="00FE4ACA"/>
    <w:rsid w:val="00FE4B6D"/>
    <w:rsid w:val="00FE4E58"/>
    <w:rsid w:val="00FE4E62"/>
    <w:rsid w:val="00FE4F14"/>
    <w:rsid w:val="00FE50B6"/>
    <w:rsid w:val="00FE527B"/>
    <w:rsid w:val="00FE540D"/>
    <w:rsid w:val="00FE5CE5"/>
    <w:rsid w:val="00FE5D50"/>
    <w:rsid w:val="00FE5DC5"/>
    <w:rsid w:val="00FE5FF2"/>
    <w:rsid w:val="00FE6BB6"/>
    <w:rsid w:val="00FE6C1D"/>
    <w:rsid w:val="00FE6E30"/>
    <w:rsid w:val="00FE6EE9"/>
    <w:rsid w:val="00FE722C"/>
    <w:rsid w:val="00FE737A"/>
    <w:rsid w:val="00FE73C4"/>
    <w:rsid w:val="00FE789F"/>
    <w:rsid w:val="00FE7985"/>
    <w:rsid w:val="00FE7B72"/>
    <w:rsid w:val="00FE7D33"/>
    <w:rsid w:val="00FF0369"/>
    <w:rsid w:val="00FF0440"/>
    <w:rsid w:val="00FF06CA"/>
    <w:rsid w:val="00FF0D21"/>
    <w:rsid w:val="00FF0D5E"/>
    <w:rsid w:val="00FF0D83"/>
    <w:rsid w:val="00FF0EAA"/>
    <w:rsid w:val="00FF0FED"/>
    <w:rsid w:val="00FF12EA"/>
    <w:rsid w:val="00FF1374"/>
    <w:rsid w:val="00FF140B"/>
    <w:rsid w:val="00FF1830"/>
    <w:rsid w:val="00FF2188"/>
    <w:rsid w:val="00FF230A"/>
    <w:rsid w:val="00FF255A"/>
    <w:rsid w:val="00FF2841"/>
    <w:rsid w:val="00FF2A0E"/>
    <w:rsid w:val="00FF2BB8"/>
    <w:rsid w:val="00FF2DB4"/>
    <w:rsid w:val="00FF2FB4"/>
    <w:rsid w:val="00FF3241"/>
    <w:rsid w:val="00FF33E5"/>
    <w:rsid w:val="00FF3490"/>
    <w:rsid w:val="00FF3694"/>
    <w:rsid w:val="00FF3E32"/>
    <w:rsid w:val="00FF3E6E"/>
    <w:rsid w:val="00FF41AD"/>
    <w:rsid w:val="00FF4431"/>
    <w:rsid w:val="00FF45F6"/>
    <w:rsid w:val="00FF48CE"/>
    <w:rsid w:val="00FF4D8A"/>
    <w:rsid w:val="00FF4DDA"/>
    <w:rsid w:val="00FF5D3E"/>
    <w:rsid w:val="00FF5E1A"/>
    <w:rsid w:val="00FF5EBA"/>
    <w:rsid w:val="00FF6292"/>
    <w:rsid w:val="00FF62E7"/>
    <w:rsid w:val="00FF648A"/>
    <w:rsid w:val="00FF6515"/>
    <w:rsid w:val="00FF6B6F"/>
    <w:rsid w:val="00FF6BBD"/>
    <w:rsid w:val="00FF6EBD"/>
    <w:rsid w:val="00FF6FD1"/>
    <w:rsid w:val="00FF72D8"/>
    <w:rsid w:val="00FF735D"/>
    <w:rsid w:val="00FF74E9"/>
    <w:rsid w:val="00FF75A2"/>
    <w:rsid w:val="00FF76EB"/>
    <w:rsid w:val="00FF7E6E"/>
    <w:rsid w:val="68C55C2E"/>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BE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51"/>
    <w:pPr>
      <w:widowControl w:val="0"/>
      <w:suppressAutoHyphens/>
      <w:spacing w:after="360" w:line="264" w:lineRule="auto"/>
    </w:pPr>
    <w:rPr>
      <w:rFonts w:asciiTheme="majorHAnsi" w:hAnsiTheme="majorHAnsi" w:cs="Calibri"/>
      <w:sz w:val="22"/>
      <w:szCs w:val="22"/>
    </w:rPr>
  </w:style>
  <w:style w:type="paragraph" w:styleId="Heading1">
    <w:name w:val="heading 1"/>
    <w:basedOn w:val="Normal"/>
    <w:next w:val="Normal"/>
    <w:link w:val="Heading1Char"/>
    <w:autoRedefine/>
    <w:uiPriority w:val="9"/>
    <w:qFormat/>
    <w:rsid w:val="00764C60"/>
    <w:pPr>
      <w:keepNext/>
      <w:keepLines/>
      <w:spacing w:before="480"/>
      <w:outlineLvl w:val="0"/>
    </w:pPr>
    <w:rPr>
      <w:bCs/>
      <w:color w:val="365F91"/>
      <w:sz w:val="32"/>
    </w:rPr>
  </w:style>
  <w:style w:type="paragraph" w:styleId="Heading2">
    <w:name w:val="heading 2"/>
    <w:basedOn w:val="Normal"/>
    <w:next w:val="Normal"/>
    <w:link w:val="Heading2Char"/>
    <w:autoRedefine/>
    <w:uiPriority w:val="99"/>
    <w:qFormat/>
    <w:rsid w:val="009B3E66"/>
    <w:pPr>
      <w:keepNext/>
      <w:keepLines/>
      <w:spacing w:before="480" w:after="240" w:line="240" w:lineRule="auto"/>
      <w:outlineLvl w:val="1"/>
    </w:pPr>
    <w:rPr>
      <w:bCs/>
      <w:color w:val="4F81BD"/>
      <w:sz w:val="28"/>
      <w:szCs w:val="26"/>
    </w:rPr>
  </w:style>
  <w:style w:type="paragraph" w:styleId="Heading3">
    <w:name w:val="heading 3"/>
    <w:aliases w:val="Heading 3 not indexed"/>
    <w:basedOn w:val="Heading2notindexed"/>
    <w:next w:val="Normal"/>
    <w:link w:val="Heading3Char"/>
    <w:uiPriority w:val="99"/>
    <w:qFormat/>
    <w:rsid w:val="00CD5E87"/>
    <w:pPr>
      <w:spacing w:before="360" w:after="120"/>
      <w:outlineLvl w:val="2"/>
    </w:pPr>
    <w:rPr>
      <w:color w:val="548DD4" w:themeColor="text2" w:themeTint="99"/>
      <w:sz w:val="24"/>
    </w:rPr>
  </w:style>
  <w:style w:type="paragraph" w:styleId="Heading4">
    <w:name w:val="heading 4"/>
    <w:basedOn w:val="Normal"/>
    <w:next w:val="Normal"/>
    <w:link w:val="Heading4Char"/>
    <w:uiPriority w:val="99"/>
    <w:qFormat/>
    <w:rsid w:val="003E6F94"/>
    <w:pPr>
      <w:keepNext/>
      <w:keepLines/>
      <w:tabs>
        <w:tab w:val="num" w:pos="0"/>
      </w:tab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3E6F94"/>
    <w:pPr>
      <w:keepNext/>
      <w:keepLines/>
      <w:tabs>
        <w:tab w:val="num" w:pos="0"/>
      </w:tabs>
      <w:spacing w:before="200" w:after="0"/>
      <w:outlineLvl w:val="4"/>
    </w:pPr>
    <w:rPr>
      <w:rFonts w:ascii="Cambria" w:hAnsi="Cambria" w:cs="Times New Roman"/>
      <w:color w:val="243F60"/>
    </w:rPr>
  </w:style>
  <w:style w:type="paragraph" w:styleId="Heading6">
    <w:name w:val="heading 6"/>
    <w:basedOn w:val="Normal"/>
    <w:next w:val="Normal"/>
    <w:link w:val="Heading6Char"/>
    <w:uiPriority w:val="99"/>
    <w:qFormat/>
    <w:rsid w:val="003E6F94"/>
    <w:pPr>
      <w:keepNext/>
      <w:keepLines/>
      <w:tabs>
        <w:tab w:val="num" w:pos="0"/>
      </w:tabs>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3E6F94"/>
    <w:pPr>
      <w:keepNext/>
      <w:keepLines/>
      <w:tabs>
        <w:tab w:val="num" w:pos="0"/>
      </w:tab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3E6F94"/>
    <w:pPr>
      <w:keepNext/>
      <w:keepLines/>
      <w:tabs>
        <w:tab w:val="num" w:pos="0"/>
      </w:tabs>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9"/>
    <w:qFormat/>
    <w:rsid w:val="003E6F94"/>
    <w:pPr>
      <w:keepNext/>
      <w:keepLines/>
      <w:tabs>
        <w:tab w:val="num" w:pos="0"/>
      </w:tab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1"/>
    <w:link w:val="Heading1"/>
    <w:uiPriority w:val="9"/>
    <w:rsid w:val="00764C60"/>
    <w:rPr>
      <w:rFonts w:asciiTheme="majorHAnsi" w:hAnsiTheme="majorHAnsi" w:cs="Calibri"/>
      <w:bCs/>
      <w:color w:val="365F91"/>
      <w:sz w:val="32"/>
      <w:szCs w:val="22"/>
    </w:rPr>
  </w:style>
  <w:style w:type="character" w:customStyle="1" w:styleId="Heading2Char">
    <w:name w:val="Heading 2 Char"/>
    <w:basedOn w:val="DefaultParagraphFont1"/>
    <w:link w:val="Heading2"/>
    <w:uiPriority w:val="99"/>
    <w:rsid w:val="009B3E66"/>
    <w:rPr>
      <w:rFonts w:asciiTheme="majorHAnsi" w:hAnsiTheme="majorHAnsi" w:cs="Calibri"/>
      <w:bCs/>
      <w:color w:val="4F81BD"/>
      <w:sz w:val="28"/>
      <w:szCs w:val="26"/>
    </w:rPr>
  </w:style>
  <w:style w:type="character" w:customStyle="1" w:styleId="Heading3Char">
    <w:name w:val="Heading 3 Char"/>
    <w:aliases w:val="Heading 3 not indexed Char"/>
    <w:basedOn w:val="DefaultParagraphFont1"/>
    <w:link w:val="Heading3"/>
    <w:uiPriority w:val="9"/>
    <w:rsid w:val="00CD5E87"/>
    <w:rPr>
      <w:rFonts w:asciiTheme="majorHAnsi" w:hAnsiTheme="majorHAnsi" w:cs="Calibri"/>
      <w:bCs/>
      <w:color w:val="548DD4" w:themeColor="text2" w:themeTint="99"/>
      <w:sz w:val="24"/>
      <w:szCs w:val="26"/>
    </w:rPr>
  </w:style>
  <w:style w:type="character" w:customStyle="1" w:styleId="Heading4Char">
    <w:name w:val="Heading 4 Char"/>
    <w:basedOn w:val="DefaultParagraphFont1"/>
    <w:link w:val="Heading4"/>
    <w:uiPriority w:val="99"/>
    <w:rsid w:val="003E6F94"/>
    <w:rPr>
      <w:rFonts w:ascii="Cambria" w:hAnsi="Cambria" w:cs="Times New Roman"/>
      <w:b/>
      <w:bCs/>
      <w:i/>
      <w:iCs/>
      <w:color w:val="4F81BD"/>
      <w:sz w:val="22"/>
      <w:lang w:eastAsia="en-US"/>
    </w:rPr>
  </w:style>
  <w:style w:type="character" w:customStyle="1" w:styleId="Heading5Char">
    <w:name w:val="Heading 5 Char"/>
    <w:basedOn w:val="DefaultParagraphFont1"/>
    <w:link w:val="Heading5"/>
    <w:uiPriority w:val="99"/>
    <w:rsid w:val="003E6F94"/>
    <w:rPr>
      <w:rFonts w:ascii="Cambria" w:hAnsi="Cambria" w:cs="Times New Roman"/>
      <w:color w:val="243F60"/>
      <w:sz w:val="22"/>
      <w:lang w:eastAsia="en-US"/>
    </w:rPr>
  </w:style>
  <w:style w:type="character" w:customStyle="1" w:styleId="Heading6Char">
    <w:name w:val="Heading 6 Char"/>
    <w:basedOn w:val="DefaultParagraphFont1"/>
    <w:link w:val="Heading6"/>
    <w:uiPriority w:val="99"/>
    <w:rsid w:val="003E6F94"/>
    <w:rPr>
      <w:rFonts w:ascii="Cambria" w:hAnsi="Cambria" w:cs="Times New Roman"/>
      <w:i/>
      <w:iCs/>
      <w:color w:val="243F60"/>
      <w:sz w:val="22"/>
      <w:lang w:eastAsia="en-US"/>
    </w:rPr>
  </w:style>
  <w:style w:type="character" w:customStyle="1" w:styleId="Heading7Char">
    <w:name w:val="Heading 7 Char"/>
    <w:basedOn w:val="DefaultParagraphFont1"/>
    <w:link w:val="Heading7"/>
    <w:uiPriority w:val="99"/>
    <w:rsid w:val="003E6F94"/>
    <w:rPr>
      <w:rFonts w:ascii="Cambria" w:hAnsi="Cambria" w:cs="Times New Roman"/>
      <w:i/>
      <w:iCs/>
      <w:color w:val="404040"/>
      <w:sz w:val="22"/>
      <w:lang w:eastAsia="en-US"/>
    </w:rPr>
  </w:style>
  <w:style w:type="character" w:customStyle="1" w:styleId="Heading8Char">
    <w:name w:val="Heading 8 Char"/>
    <w:basedOn w:val="DefaultParagraphFont1"/>
    <w:link w:val="Heading8"/>
    <w:uiPriority w:val="99"/>
    <w:rsid w:val="003E6F94"/>
    <w:rPr>
      <w:rFonts w:ascii="Cambria" w:hAnsi="Cambria" w:cs="Times New Roman"/>
      <w:color w:val="4F81BD"/>
      <w:lang w:eastAsia="en-US"/>
    </w:rPr>
  </w:style>
  <w:style w:type="character" w:customStyle="1" w:styleId="Heading9Char">
    <w:name w:val="Heading 9 Char"/>
    <w:basedOn w:val="DefaultParagraphFont1"/>
    <w:link w:val="Heading9"/>
    <w:uiPriority w:val="99"/>
    <w:rsid w:val="003E6F94"/>
    <w:rPr>
      <w:rFonts w:ascii="Cambria" w:hAnsi="Cambria" w:cs="Times New Roman"/>
      <w:i/>
      <w:iCs/>
      <w:color w:val="404040"/>
      <w:lang w:eastAsia="en-US"/>
    </w:rPr>
  </w:style>
  <w:style w:type="character" w:customStyle="1" w:styleId="WW8Num2z0">
    <w:name w:val="WW8Num2z0"/>
    <w:uiPriority w:val="99"/>
    <w:rsid w:val="003E6F94"/>
    <w:rPr>
      <w:rFonts w:ascii="Symbol" w:hAnsi="Symbol"/>
    </w:rPr>
  </w:style>
  <w:style w:type="character" w:customStyle="1" w:styleId="WW8Num2z1">
    <w:name w:val="WW8Num2z1"/>
    <w:uiPriority w:val="99"/>
    <w:rsid w:val="003E6F94"/>
    <w:rPr>
      <w:rFonts w:ascii="Courier New" w:hAnsi="Courier New"/>
    </w:rPr>
  </w:style>
  <w:style w:type="character" w:customStyle="1" w:styleId="WW8Num2z2">
    <w:name w:val="WW8Num2z2"/>
    <w:uiPriority w:val="99"/>
    <w:rsid w:val="003E6F94"/>
    <w:rPr>
      <w:rFonts w:ascii="Wingdings" w:hAnsi="Wingdings"/>
    </w:rPr>
  </w:style>
  <w:style w:type="character" w:customStyle="1" w:styleId="WW8Num3z0">
    <w:name w:val="WW8Num3z0"/>
    <w:uiPriority w:val="99"/>
    <w:rsid w:val="003E6F94"/>
    <w:rPr>
      <w:rFonts w:ascii="Symbol" w:hAnsi="Symbol"/>
    </w:rPr>
  </w:style>
  <w:style w:type="character" w:customStyle="1" w:styleId="WW8Num3z1">
    <w:name w:val="WW8Num3z1"/>
    <w:uiPriority w:val="99"/>
    <w:rsid w:val="003E6F94"/>
    <w:rPr>
      <w:rFonts w:ascii="Courier New" w:hAnsi="Courier New"/>
    </w:rPr>
  </w:style>
  <w:style w:type="character" w:customStyle="1" w:styleId="WW8Num3z2">
    <w:name w:val="WW8Num3z2"/>
    <w:uiPriority w:val="99"/>
    <w:rsid w:val="003E6F94"/>
    <w:rPr>
      <w:rFonts w:ascii="Wingdings" w:hAnsi="Wingdings"/>
    </w:rPr>
  </w:style>
  <w:style w:type="character" w:customStyle="1" w:styleId="WW8Num6z0">
    <w:name w:val="WW8Num6z0"/>
    <w:uiPriority w:val="99"/>
    <w:rsid w:val="003E6F94"/>
    <w:rPr>
      <w:rFonts w:ascii="Symbol" w:hAnsi="Symbol"/>
    </w:rPr>
  </w:style>
  <w:style w:type="character" w:customStyle="1" w:styleId="WW8Num6z1">
    <w:name w:val="WW8Num6z1"/>
    <w:uiPriority w:val="99"/>
    <w:rsid w:val="003E6F94"/>
    <w:rPr>
      <w:rFonts w:ascii="Courier New" w:hAnsi="Courier New"/>
    </w:rPr>
  </w:style>
  <w:style w:type="character" w:customStyle="1" w:styleId="WW8Num6z2">
    <w:name w:val="WW8Num6z2"/>
    <w:uiPriority w:val="99"/>
    <w:rsid w:val="003E6F94"/>
    <w:rPr>
      <w:rFonts w:ascii="Wingdings" w:hAnsi="Wingdings"/>
    </w:rPr>
  </w:style>
  <w:style w:type="character" w:customStyle="1" w:styleId="WW8Num8z0">
    <w:name w:val="WW8Num8z0"/>
    <w:uiPriority w:val="99"/>
    <w:rsid w:val="003E6F94"/>
    <w:rPr>
      <w:rFonts w:ascii="Symbol" w:hAnsi="Symbol"/>
    </w:rPr>
  </w:style>
  <w:style w:type="character" w:customStyle="1" w:styleId="WW8Num8z1">
    <w:name w:val="WW8Num8z1"/>
    <w:uiPriority w:val="99"/>
    <w:rsid w:val="003E6F94"/>
    <w:rPr>
      <w:rFonts w:ascii="Courier New" w:hAnsi="Courier New"/>
    </w:rPr>
  </w:style>
  <w:style w:type="character" w:customStyle="1" w:styleId="WW8Num8z2">
    <w:name w:val="WW8Num8z2"/>
    <w:uiPriority w:val="99"/>
    <w:rsid w:val="003E6F94"/>
    <w:rPr>
      <w:rFonts w:ascii="Wingdings" w:hAnsi="Wingdings"/>
    </w:rPr>
  </w:style>
  <w:style w:type="character" w:customStyle="1" w:styleId="WW8Num9z0">
    <w:name w:val="WW8Num9z0"/>
    <w:uiPriority w:val="99"/>
    <w:rsid w:val="003E6F94"/>
    <w:rPr>
      <w:rFonts w:ascii="Symbol" w:hAnsi="Symbol"/>
    </w:rPr>
  </w:style>
  <w:style w:type="character" w:customStyle="1" w:styleId="WW8Num9z1">
    <w:name w:val="WW8Num9z1"/>
    <w:uiPriority w:val="99"/>
    <w:rsid w:val="003E6F94"/>
    <w:rPr>
      <w:rFonts w:ascii="Courier New" w:hAnsi="Courier New"/>
    </w:rPr>
  </w:style>
  <w:style w:type="character" w:customStyle="1" w:styleId="WW8Num9z2">
    <w:name w:val="WW8Num9z2"/>
    <w:uiPriority w:val="99"/>
    <w:rsid w:val="003E6F94"/>
    <w:rPr>
      <w:rFonts w:ascii="Wingdings" w:hAnsi="Wingdings"/>
    </w:rPr>
  </w:style>
  <w:style w:type="character" w:customStyle="1" w:styleId="WW8Num13z0">
    <w:name w:val="WW8Num13z0"/>
    <w:uiPriority w:val="99"/>
    <w:rsid w:val="003E6F94"/>
    <w:rPr>
      <w:rFonts w:ascii="Symbol" w:hAnsi="Symbol"/>
    </w:rPr>
  </w:style>
  <w:style w:type="character" w:customStyle="1" w:styleId="WW8Num13z1">
    <w:name w:val="WW8Num13z1"/>
    <w:uiPriority w:val="99"/>
    <w:rsid w:val="003E6F94"/>
    <w:rPr>
      <w:rFonts w:ascii="Courier New" w:hAnsi="Courier New"/>
    </w:rPr>
  </w:style>
  <w:style w:type="character" w:customStyle="1" w:styleId="WW8Num13z2">
    <w:name w:val="WW8Num13z2"/>
    <w:uiPriority w:val="99"/>
    <w:rsid w:val="003E6F94"/>
    <w:rPr>
      <w:rFonts w:ascii="Wingdings" w:hAnsi="Wingdings"/>
    </w:rPr>
  </w:style>
  <w:style w:type="character" w:customStyle="1" w:styleId="WW8Num14z0">
    <w:name w:val="WW8Num14z0"/>
    <w:uiPriority w:val="99"/>
    <w:rsid w:val="003E6F94"/>
    <w:rPr>
      <w:rFonts w:ascii="Symbol" w:hAnsi="Symbol"/>
    </w:rPr>
  </w:style>
  <w:style w:type="character" w:customStyle="1" w:styleId="WW8Num14z1">
    <w:name w:val="WW8Num14z1"/>
    <w:uiPriority w:val="99"/>
    <w:rsid w:val="003E6F94"/>
    <w:rPr>
      <w:rFonts w:ascii="Courier New" w:hAnsi="Courier New"/>
    </w:rPr>
  </w:style>
  <w:style w:type="character" w:customStyle="1" w:styleId="WW8Num14z2">
    <w:name w:val="WW8Num14z2"/>
    <w:uiPriority w:val="99"/>
    <w:rsid w:val="003E6F94"/>
    <w:rPr>
      <w:rFonts w:ascii="Wingdings" w:hAnsi="Wingdings"/>
    </w:rPr>
  </w:style>
  <w:style w:type="character" w:customStyle="1" w:styleId="WW8Num15z0">
    <w:name w:val="WW8Num15z0"/>
    <w:uiPriority w:val="99"/>
    <w:rsid w:val="003E6F94"/>
    <w:rPr>
      <w:rFonts w:ascii="Symbol" w:hAnsi="Symbol"/>
    </w:rPr>
  </w:style>
  <w:style w:type="character" w:customStyle="1" w:styleId="WW8Num18z0">
    <w:name w:val="WW8Num18z0"/>
    <w:uiPriority w:val="99"/>
    <w:rsid w:val="003E6F94"/>
    <w:rPr>
      <w:rFonts w:ascii="Symbol" w:hAnsi="Symbol"/>
    </w:rPr>
  </w:style>
  <w:style w:type="character" w:customStyle="1" w:styleId="WW8Num18z1">
    <w:name w:val="WW8Num18z1"/>
    <w:uiPriority w:val="99"/>
    <w:rsid w:val="003E6F94"/>
    <w:rPr>
      <w:rFonts w:ascii="Courier New" w:hAnsi="Courier New"/>
    </w:rPr>
  </w:style>
  <w:style w:type="character" w:customStyle="1" w:styleId="WW8Num18z2">
    <w:name w:val="WW8Num18z2"/>
    <w:uiPriority w:val="99"/>
    <w:rsid w:val="003E6F94"/>
    <w:rPr>
      <w:rFonts w:ascii="Wingdings" w:hAnsi="Wingdings"/>
    </w:rPr>
  </w:style>
  <w:style w:type="character" w:customStyle="1" w:styleId="WW8Num19z0">
    <w:name w:val="WW8Num19z0"/>
    <w:uiPriority w:val="99"/>
    <w:rsid w:val="003E6F94"/>
    <w:rPr>
      <w:rFonts w:ascii="Symbol" w:hAnsi="Symbol"/>
    </w:rPr>
  </w:style>
  <w:style w:type="character" w:customStyle="1" w:styleId="WW8Num19z1">
    <w:name w:val="WW8Num19z1"/>
    <w:uiPriority w:val="99"/>
    <w:rsid w:val="003E6F94"/>
    <w:rPr>
      <w:rFonts w:ascii="Courier New" w:hAnsi="Courier New"/>
    </w:rPr>
  </w:style>
  <w:style w:type="character" w:customStyle="1" w:styleId="WW8Num19z2">
    <w:name w:val="WW8Num19z2"/>
    <w:uiPriority w:val="99"/>
    <w:rsid w:val="003E6F94"/>
    <w:rPr>
      <w:rFonts w:ascii="Wingdings" w:hAnsi="Wingdings"/>
    </w:rPr>
  </w:style>
  <w:style w:type="character" w:customStyle="1" w:styleId="WW8Num21z0">
    <w:name w:val="WW8Num21z0"/>
    <w:uiPriority w:val="99"/>
    <w:rsid w:val="003E6F94"/>
    <w:rPr>
      <w:rFonts w:ascii="Symbol" w:hAnsi="Symbol"/>
    </w:rPr>
  </w:style>
  <w:style w:type="character" w:customStyle="1" w:styleId="WW8Num21z1">
    <w:name w:val="WW8Num21z1"/>
    <w:uiPriority w:val="99"/>
    <w:rsid w:val="003E6F94"/>
    <w:rPr>
      <w:rFonts w:ascii="Courier New" w:hAnsi="Courier New"/>
    </w:rPr>
  </w:style>
  <w:style w:type="character" w:customStyle="1" w:styleId="WW8Num21z2">
    <w:name w:val="WW8Num21z2"/>
    <w:uiPriority w:val="99"/>
    <w:rsid w:val="003E6F94"/>
    <w:rPr>
      <w:rFonts w:ascii="Wingdings" w:hAnsi="Wingdings"/>
    </w:rPr>
  </w:style>
  <w:style w:type="character" w:customStyle="1" w:styleId="WW8Num22z0">
    <w:name w:val="WW8Num22z0"/>
    <w:uiPriority w:val="99"/>
    <w:rsid w:val="003E6F94"/>
    <w:rPr>
      <w:rFonts w:ascii="Symbol" w:hAnsi="Symbol"/>
    </w:rPr>
  </w:style>
  <w:style w:type="character" w:customStyle="1" w:styleId="WW8Num22z1">
    <w:name w:val="WW8Num22z1"/>
    <w:uiPriority w:val="99"/>
    <w:rsid w:val="003E6F94"/>
    <w:rPr>
      <w:rFonts w:ascii="Courier New" w:hAnsi="Courier New"/>
    </w:rPr>
  </w:style>
  <w:style w:type="character" w:customStyle="1" w:styleId="WW8Num22z2">
    <w:name w:val="WW8Num22z2"/>
    <w:uiPriority w:val="99"/>
    <w:rsid w:val="003E6F94"/>
    <w:rPr>
      <w:rFonts w:ascii="Wingdings" w:hAnsi="Wingdings"/>
    </w:rPr>
  </w:style>
  <w:style w:type="character" w:customStyle="1" w:styleId="WW8Num23z0">
    <w:name w:val="WW8Num23z0"/>
    <w:uiPriority w:val="99"/>
    <w:rsid w:val="003E6F94"/>
    <w:rPr>
      <w:rFonts w:ascii="Symbol" w:hAnsi="Symbol"/>
    </w:rPr>
  </w:style>
  <w:style w:type="character" w:customStyle="1" w:styleId="WW8Num23z1">
    <w:name w:val="WW8Num23z1"/>
    <w:uiPriority w:val="99"/>
    <w:rsid w:val="003E6F94"/>
    <w:rPr>
      <w:rFonts w:ascii="Courier New" w:hAnsi="Courier New"/>
    </w:rPr>
  </w:style>
  <w:style w:type="character" w:customStyle="1" w:styleId="WW8Num23z2">
    <w:name w:val="WW8Num23z2"/>
    <w:uiPriority w:val="99"/>
    <w:rsid w:val="003E6F94"/>
    <w:rPr>
      <w:rFonts w:ascii="Wingdings" w:hAnsi="Wingdings"/>
    </w:rPr>
  </w:style>
  <w:style w:type="character" w:customStyle="1" w:styleId="WW8Num23z3">
    <w:name w:val="WW8Num23z3"/>
    <w:uiPriority w:val="99"/>
    <w:rsid w:val="003E6F94"/>
    <w:rPr>
      <w:rFonts w:ascii="Symbol" w:hAnsi="Symbol"/>
    </w:rPr>
  </w:style>
  <w:style w:type="character" w:customStyle="1" w:styleId="WW8Num24z0">
    <w:name w:val="WW8Num24z0"/>
    <w:uiPriority w:val="99"/>
    <w:rsid w:val="003E6F94"/>
    <w:rPr>
      <w:rFonts w:ascii="Symbol" w:hAnsi="Symbol"/>
    </w:rPr>
  </w:style>
  <w:style w:type="character" w:customStyle="1" w:styleId="WW8Num24z2">
    <w:name w:val="WW8Num24z2"/>
    <w:uiPriority w:val="99"/>
    <w:rsid w:val="003E6F94"/>
    <w:rPr>
      <w:rFonts w:ascii="Wingdings" w:hAnsi="Wingdings"/>
    </w:rPr>
  </w:style>
  <w:style w:type="character" w:customStyle="1" w:styleId="WW8Num24z4">
    <w:name w:val="WW8Num24z4"/>
    <w:uiPriority w:val="99"/>
    <w:rsid w:val="003E6F94"/>
    <w:rPr>
      <w:rFonts w:ascii="Courier New" w:hAnsi="Courier New"/>
    </w:rPr>
  </w:style>
  <w:style w:type="character" w:customStyle="1" w:styleId="WW8Num26z0">
    <w:name w:val="WW8Num26z0"/>
    <w:uiPriority w:val="99"/>
    <w:rsid w:val="003E6F94"/>
    <w:rPr>
      <w:rFonts w:ascii="Symbol" w:hAnsi="Symbol"/>
    </w:rPr>
  </w:style>
  <w:style w:type="character" w:customStyle="1" w:styleId="WW8Num26z1">
    <w:name w:val="WW8Num26z1"/>
    <w:uiPriority w:val="99"/>
    <w:rsid w:val="003E6F94"/>
    <w:rPr>
      <w:rFonts w:ascii="Courier New" w:hAnsi="Courier New"/>
    </w:rPr>
  </w:style>
  <w:style w:type="character" w:customStyle="1" w:styleId="WW8Num26z2">
    <w:name w:val="WW8Num26z2"/>
    <w:uiPriority w:val="99"/>
    <w:rsid w:val="003E6F94"/>
    <w:rPr>
      <w:rFonts w:ascii="Wingdings" w:hAnsi="Wingdings"/>
    </w:rPr>
  </w:style>
  <w:style w:type="character" w:customStyle="1" w:styleId="WW8Num27z0">
    <w:name w:val="WW8Num27z0"/>
    <w:uiPriority w:val="99"/>
    <w:rsid w:val="003E6F94"/>
    <w:rPr>
      <w:rFonts w:ascii="Symbol" w:hAnsi="Symbol"/>
    </w:rPr>
  </w:style>
  <w:style w:type="character" w:customStyle="1" w:styleId="WW8Num27z1">
    <w:name w:val="WW8Num27z1"/>
    <w:uiPriority w:val="99"/>
    <w:rsid w:val="003E6F94"/>
    <w:rPr>
      <w:rFonts w:ascii="Courier New" w:hAnsi="Courier New"/>
    </w:rPr>
  </w:style>
  <w:style w:type="character" w:customStyle="1" w:styleId="WW8Num27z2">
    <w:name w:val="WW8Num27z2"/>
    <w:uiPriority w:val="99"/>
    <w:rsid w:val="003E6F94"/>
    <w:rPr>
      <w:rFonts w:ascii="Wingdings" w:hAnsi="Wingdings"/>
    </w:rPr>
  </w:style>
  <w:style w:type="character" w:customStyle="1" w:styleId="DefaultParagraphFont1">
    <w:name w:val="Default Paragraph Font1"/>
    <w:uiPriority w:val="99"/>
    <w:rsid w:val="003E6F94"/>
  </w:style>
  <w:style w:type="character" w:customStyle="1" w:styleId="TitleChar">
    <w:name w:val="Title Char"/>
    <w:basedOn w:val="DefaultParagraphFont1"/>
    <w:rsid w:val="003E6F94"/>
    <w:rPr>
      <w:rFonts w:ascii="Myriad Pro SemiCond" w:hAnsi="Myriad Pro SemiCond" w:cs="Times New Roman"/>
      <w:caps/>
      <w:color w:val="17365D"/>
      <w:spacing w:val="5"/>
      <w:kern w:val="1"/>
      <w:sz w:val="52"/>
      <w:lang w:eastAsia="en-US"/>
    </w:rPr>
  </w:style>
  <w:style w:type="character" w:customStyle="1" w:styleId="SubtitleChar">
    <w:name w:val="Subtitle Char"/>
    <w:basedOn w:val="DefaultParagraphFont1"/>
    <w:uiPriority w:val="11"/>
    <w:rsid w:val="003E6F94"/>
    <w:rPr>
      <w:rFonts w:ascii="Myriad Pro SemiCond" w:hAnsi="Myriad Pro SemiCond" w:cs="Times New Roman"/>
      <w:i/>
      <w:iCs/>
      <w:color w:val="4F81BD"/>
      <w:spacing w:val="15"/>
      <w:sz w:val="24"/>
      <w:lang w:eastAsia="en-US"/>
    </w:rPr>
  </w:style>
  <w:style w:type="character" w:styleId="Strong">
    <w:name w:val="Strong"/>
    <w:basedOn w:val="DefaultParagraphFont1"/>
    <w:uiPriority w:val="22"/>
    <w:qFormat/>
    <w:rsid w:val="003E6F94"/>
    <w:rPr>
      <w:rFonts w:cs="Times New Roman"/>
      <w:b/>
      <w:bCs/>
    </w:rPr>
  </w:style>
  <w:style w:type="character" w:styleId="Emphasis">
    <w:name w:val="Emphasis"/>
    <w:basedOn w:val="DefaultParagraphFont1"/>
    <w:uiPriority w:val="20"/>
    <w:qFormat/>
    <w:rsid w:val="003E6F94"/>
    <w:rPr>
      <w:rFonts w:cs="Times New Roman"/>
      <w:i/>
      <w:iCs/>
    </w:rPr>
  </w:style>
  <w:style w:type="character" w:customStyle="1" w:styleId="QuoteChar">
    <w:name w:val="Quote Char"/>
    <w:basedOn w:val="DefaultParagraphFont1"/>
    <w:uiPriority w:val="99"/>
    <w:rsid w:val="003E6F94"/>
    <w:rPr>
      <w:rFonts w:ascii="Myriad Pro Light SemiCond" w:hAnsi="Myriad Pro Light SemiCond" w:cs="Times New Roman"/>
      <w:i/>
      <w:iCs/>
      <w:color w:val="000000"/>
      <w:sz w:val="22"/>
      <w:lang w:eastAsia="en-US"/>
    </w:rPr>
  </w:style>
  <w:style w:type="character" w:customStyle="1" w:styleId="IntenseQuoteChar">
    <w:name w:val="Intense Quote Char"/>
    <w:basedOn w:val="DefaultParagraphFont1"/>
    <w:uiPriority w:val="99"/>
    <w:rsid w:val="003E6F94"/>
    <w:rPr>
      <w:rFonts w:cs="Times New Roman"/>
      <w:b/>
      <w:bCs/>
      <w:i/>
      <w:iCs/>
      <w:color w:val="4F81BD"/>
    </w:rPr>
  </w:style>
  <w:style w:type="character" w:styleId="SubtleEmphasis">
    <w:name w:val="Subtle Emphasis"/>
    <w:uiPriority w:val="19"/>
    <w:qFormat/>
    <w:rsid w:val="00F2215C"/>
    <w:rPr>
      <w:rFonts w:ascii="Calibri" w:hAnsi="Calibri"/>
      <w:u w:val="single"/>
      <w:lang w:val="en-GB" w:eastAsia="nb-NO" w:bidi="en-US"/>
    </w:rPr>
  </w:style>
  <w:style w:type="character" w:styleId="IntenseEmphasis">
    <w:name w:val="Intense Emphasis"/>
    <w:basedOn w:val="DefaultParagraphFont1"/>
    <w:uiPriority w:val="21"/>
    <w:qFormat/>
    <w:rsid w:val="003E6F94"/>
    <w:rPr>
      <w:rFonts w:cs="Times New Roman"/>
      <w:b/>
      <w:bCs/>
      <w:i/>
      <w:iCs/>
      <w:color w:val="4F81BD"/>
    </w:rPr>
  </w:style>
  <w:style w:type="character" w:styleId="SubtleReference">
    <w:name w:val="Subtle Reference"/>
    <w:basedOn w:val="DefaultParagraphFont1"/>
    <w:uiPriority w:val="31"/>
    <w:qFormat/>
    <w:rsid w:val="003E6F94"/>
    <w:rPr>
      <w:rFonts w:cs="Times New Roman"/>
      <w:smallCaps/>
      <w:color w:val="C0504D"/>
      <w:u w:val="single"/>
    </w:rPr>
  </w:style>
  <w:style w:type="character" w:styleId="IntenseReference">
    <w:name w:val="Intense Reference"/>
    <w:basedOn w:val="DefaultParagraphFont1"/>
    <w:uiPriority w:val="32"/>
    <w:qFormat/>
    <w:rsid w:val="003E6F94"/>
    <w:rPr>
      <w:rFonts w:cs="Times New Roman"/>
      <w:b/>
      <w:bCs/>
      <w:smallCaps/>
      <w:color w:val="C0504D"/>
      <w:spacing w:val="5"/>
      <w:u w:val="single"/>
    </w:rPr>
  </w:style>
  <w:style w:type="character" w:styleId="BookTitle">
    <w:name w:val="Book Title"/>
    <w:basedOn w:val="DefaultParagraphFont1"/>
    <w:uiPriority w:val="33"/>
    <w:qFormat/>
    <w:rsid w:val="003E6F94"/>
    <w:rPr>
      <w:rFonts w:cs="Times New Roman"/>
      <w:b/>
      <w:bCs/>
      <w:smallCaps/>
      <w:spacing w:val="5"/>
    </w:rPr>
  </w:style>
  <w:style w:type="character" w:customStyle="1" w:styleId="FootnoteTextChar">
    <w:name w:val="Footnote Text Char"/>
    <w:basedOn w:val="DefaultParagraphFont1"/>
    <w:uiPriority w:val="99"/>
    <w:rsid w:val="003E6F94"/>
    <w:rPr>
      <w:rFonts w:cs="Times New Roman"/>
      <w:lang w:val="en-US" w:eastAsia="en-US"/>
    </w:rPr>
  </w:style>
  <w:style w:type="character" w:customStyle="1" w:styleId="Funotenzeichen1">
    <w:name w:val="Fußnotenzeichen1"/>
    <w:basedOn w:val="DefaultParagraphFont1"/>
    <w:uiPriority w:val="99"/>
    <w:rsid w:val="003E6F94"/>
    <w:rPr>
      <w:rFonts w:cs="Times New Roman"/>
      <w:vertAlign w:val="superscript"/>
    </w:rPr>
  </w:style>
  <w:style w:type="character" w:customStyle="1" w:styleId="NoSpacingChar">
    <w:name w:val="No Spacing Char"/>
    <w:basedOn w:val="DefaultParagraphFont1"/>
    <w:uiPriority w:val="99"/>
    <w:rsid w:val="003E6F94"/>
    <w:rPr>
      <w:rFonts w:cs="Times New Roman"/>
      <w:sz w:val="22"/>
      <w:lang w:val="en-US" w:eastAsia="en-US"/>
    </w:rPr>
  </w:style>
  <w:style w:type="character" w:customStyle="1" w:styleId="BalloonTextChar">
    <w:name w:val="Balloon Text Char"/>
    <w:basedOn w:val="DefaultParagraphFont1"/>
    <w:uiPriority w:val="99"/>
    <w:rsid w:val="003E6F94"/>
    <w:rPr>
      <w:rFonts w:ascii="Tahoma" w:hAnsi="Tahoma" w:cs="Tahoma"/>
      <w:sz w:val="16"/>
      <w:lang w:eastAsia="en-US"/>
    </w:rPr>
  </w:style>
  <w:style w:type="character" w:customStyle="1" w:styleId="CommentReference1">
    <w:name w:val="Comment Reference1"/>
    <w:basedOn w:val="DefaultParagraphFont1"/>
    <w:uiPriority w:val="99"/>
    <w:rsid w:val="003E6F94"/>
    <w:rPr>
      <w:rFonts w:cs="Times New Roman"/>
      <w:sz w:val="16"/>
    </w:rPr>
  </w:style>
  <w:style w:type="character" w:styleId="Hyperlink">
    <w:name w:val="Hyperlink"/>
    <w:basedOn w:val="DefaultParagraphFont1"/>
    <w:uiPriority w:val="99"/>
    <w:rsid w:val="003E6F94"/>
    <w:rPr>
      <w:rFonts w:cs="Times New Roman"/>
      <w:color w:val="0000FF"/>
      <w:u w:val="single"/>
    </w:rPr>
  </w:style>
  <w:style w:type="character" w:customStyle="1" w:styleId="HeaderChar">
    <w:name w:val="Header Char"/>
    <w:basedOn w:val="DefaultParagraphFont1"/>
    <w:rsid w:val="003E6F94"/>
    <w:rPr>
      <w:rFonts w:ascii="Myriad Pro SemiCond" w:hAnsi="Myriad Pro SemiCond" w:cs="Times New Roman"/>
      <w:sz w:val="22"/>
      <w:lang w:val="en-GB" w:eastAsia="en-US"/>
    </w:rPr>
  </w:style>
  <w:style w:type="character" w:customStyle="1" w:styleId="apple-style-span">
    <w:name w:val="apple-style-span"/>
    <w:basedOn w:val="DefaultParagraphFont1"/>
    <w:uiPriority w:val="99"/>
    <w:rsid w:val="003E6F94"/>
    <w:rPr>
      <w:rFonts w:cs="Times New Roman"/>
    </w:rPr>
  </w:style>
  <w:style w:type="paragraph" w:customStyle="1" w:styleId="berschrift">
    <w:name w:val="Überschrift"/>
    <w:basedOn w:val="Normal"/>
    <w:next w:val="BodyText"/>
    <w:uiPriority w:val="99"/>
    <w:rsid w:val="003E6F94"/>
    <w:pPr>
      <w:keepNext/>
      <w:spacing w:before="240"/>
    </w:pPr>
    <w:rPr>
      <w:rFonts w:ascii="Arial" w:eastAsia="MS Mincho" w:hAnsi="Arial" w:cs="Tahoma"/>
      <w:sz w:val="28"/>
      <w:szCs w:val="28"/>
    </w:rPr>
  </w:style>
  <w:style w:type="paragraph" w:styleId="BodyText">
    <w:name w:val="Body Text"/>
    <w:basedOn w:val="Normal"/>
    <w:link w:val="BodyTextChar"/>
    <w:uiPriority w:val="99"/>
    <w:rsid w:val="003E6F94"/>
  </w:style>
  <w:style w:type="character" w:customStyle="1" w:styleId="BodyTextChar">
    <w:name w:val="Body Text Char"/>
    <w:basedOn w:val="DefaultParagraphFont"/>
    <w:link w:val="BodyText"/>
    <w:uiPriority w:val="99"/>
    <w:rsid w:val="000044D8"/>
    <w:rPr>
      <w:rFonts w:ascii="Myriad Pro SemiCond" w:hAnsi="Myriad Pro SemiCond" w:cs="Calibri"/>
      <w:sz w:val="22"/>
      <w:szCs w:val="22"/>
    </w:rPr>
  </w:style>
  <w:style w:type="paragraph" w:styleId="List">
    <w:name w:val="List"/>
    <w:basedOn w:val="BodyText"/>
    <w:uiPriority w:val="99"/>
    <w:rsid w:val="003E6F94"/>
    <w:rPr>
      <w:rFonts w:cs="Tahoma"/>
    </w:rPr>
  </w:style>
  <w:style w:type="paragraph" w:customStyle="1" w:styleId="Beschriftung1">
    <w:name w:val="Beschriftung1"/>
    <w:basedOn w:val="Normal"/>
    <w:uiPriority w:val="99"/>
    <w:rsid w:val="003E6F94"/>
    <w:pPr>
      <w:suppressLineNumbers/>
      <w:spacing w:before="120"/>
    </w:pPr>
    <w:rPr>
      <w:rFonts w:cs="Tahoma"/>
      <w:i/>
      <w:iCs/>
      <w:sz w:val="24"/>
      <w:szCs w:val="24"/>
    </w:rPr>
  </w:style>
  <w:style w:type="paragraph" w:customStyle="1" w:styleId="Verzeichnis">
    <w:name w:val="Verzeichnis"/>
    <w:basedOn w:val="Normal"/>
    <w:uiPriority w:val="99"/>
    <w:rsid w:val="003E6F94"/>
    <w:pPr>
      <w:suppressLineNumbers/>
    </w:pPr>
    <w:rPr>
      <w:rFonts w:cs="Tahoma"/>
    </w:rPr>
  </w:style>
  <w:style w:type="paragraph" w:styleId="Header">
    <w:name w:val="header"/>
    <w:basedOn w:val="Normal"/>
    <w:link w:val="HeaderChar1"/>
    <w:rsid w:val="003E6F94"/>
    <w:pPr>
      <w:tabs>
        <w:tab w:val="center" w:pos="4320"/>
        <w:tab w:val="right" w:pos="8640"/>
      </w:tabs>
    </w:pPr>
  </w:style>
  <w:style w:type="character" w:customStyle="1" w:styleId="HeaderChar1">
    <w:name w:val="Header Char1"/>
    <w:basedOn w:val="DefaultParagraphFont"/>
    <w:link w:val="Header"/>
    <w:rsid w:val="000044D8"/>
    <w:rPr>
      <w:rFonts w:ascii="Myriad Pro SemiCond" w:hAnsi="Myriad Pro SemiCond" w:cs="Calibri"/>
      <w:sz w:val="22"/>
      <w:szCs w:val="22"/>
    </w:rPr>
  </w:style>
  <w:style w:type="paragraph" w:styleId="Footer">
    <w:name w:val="footer"/>
    <w:basedOn w:val="Normal"/>
    <w:link w:val="FooterChar"/>
    <w:rsid w:val="003E6F94"/>
    <w:pPr>
      <w:tabs>
        <w:tab w:val="center" w:pos="4320"/>
        <w:tab w:val="right" w:pos="8640"/>
      </w:tabs>
    </w:pPr>
  </w:style>
  <w:style w:type="character" w:customStyle="1" w:styleId="FooterChar">
    <w:name w:val="Footer Char"/>
    <w:basedOn w:val="DefaultParagraphFont"/>
    <w:link w:val="Footer"/>
    <w:rsid w:val="000044D8"/>
    <w:rPr>
      <w:rFonts w:ascii="Myriad Pro SemiCond" w:hAnsi="Myriad Pro SemiCond" w:cs="Calibri"/>
      <w:sz w:val="22"/>
      <w:szCs w:val="22"/>
    </w:rPr>
  </w:style>
  <w:style w:type="paragraph" w:customStyle="1" w:styleId="Caption1">
    <w:name w:val="Caption1"/>
    <w:basedOn w:val="Normal"/>
    <w:next w:val="Normal"/>
    <w:uiPriority w:val="99"/>
    <w:rsid w:val="003E6F94"/>
    <w:pPr>
      <w:spacing w:line="240" w:lineRule="auto"/>
    </w:pPr>
    <w:rPr>
      <w:b/>
      <w:bCs/>
      <w:color w:val="4F81BD"/>
      <w:sz w:val="18"/>
      <w:szCs w:val="18"/>
    </w:rPr>
  </w:style>
  <w:style w:type="paragraph" w:styleId="Title">
    <w:name w:val="Title"/>
    <w:basedOn w:val="Normal"/>
    <w:next w:val="Normal"/>
    <w:link w:val="TitleChar1"/>
    <w:qFormat/>
    <w:rsid w:val="00A65719"/>
    <w:pPr>
      <w:spacing w:after="300" w:line="240" w:lineRule="auto"/>
    </w:pPr>
    <w:rPr>
      <w:color w:val="000000" w:themeColor="text1"/>
      <w:spacing w:val="5"/>
      <w:kern w:val="52"/>
      <w:sz w:val="96"/>
      <w:szCs w:val="52"/>
    </w:rPr>
  </w:style>
  <w:style w:type="character" w:customStyle="1" w:styleId="TitleChar1">
    <w:name w:val="Title Char1"/>
    <w:basedOn w:val="DefaultParagraphFont"/>
    <w:link w:val="Title"/>
    <w:rsid w:val="00A65719"/>
    <w:rPr>
      <w:rFonts w:asciiTheme="majorHAnsi" w:hAnsiTheme="majorHAnsi" w:cs="Calibri"/>
      <w:color w:val="000000" w:themeColor="text1"/>
      <w:spacing w:val="5"/>
      <w:kern w:val="52"/>
      <w:sz w:val="96"/>
      <w:szCs w:val="52"/>
    </w:rPr>
  </w:style>
  <w:style w:type="paragraph" w:styleId="Subtitle">
    <w:name w:val="Subtitle"/>
    <w:basedOn w:val="Normal"/>
    <w:next w:val="Normal"/>
    <w:link w:val="SubtitleChar1"/>
    <w:uiPriority w:val="11"/>
    <w:qFormat/>
    <w:rsid w:val="003E6F94"/>
    <w:rPr>
      <w:i/>
      <w:iCs/>
      <w:color w:val="4F81BD"/>
      <w:spacing w:val="15"/>
      <w:sz w:val="24"/>
      <w:szCs w:val="24"/>
    </w:rPr>
  </w:style>
  <w:style w:type="character" w:customStyle="1" w:styleId="SubtitleChar1">
    <w:name w:val="Subtitle Char1"/>
    <w:basedOn w:val="DefaultParagraphFont"/>
    <w:link w:val="Subtitle"/>
    <w:uiPriority w:val="11"/>
    <w:rsid w:val="000044D8"/>
    <w:rPr>
      <w:rFonts w:asciiTheme="majorHAnsi" w:eastAsiaTheme="majorEastAsia" w:hAnsiTheme="majorHAnsi" w:cstheme="majorBidi"/>
      <w:sz w:val="24"/>
      <w:szCs w:val="24"/>
    </w:rPr>
  </w:style>
  <w:style w:type="paragraph" w:styleId="NoSpacing">
    <w:name w:val="No Spacing"/>
    <w:uiPriority w:val="1"/>
    <w:qFormat/>
    <w:rsid w:val="003E6F94"/>
    <w:pPr>
      <w:widowControl w:val="0"/>
      <w:suppressAutoHyphens/>
    </w:pPr>
    <w:rPr>
      <w:rFonts w:ascii="Calibri" w:hAnsi="Calibri" w:cs="Calibri"/>
      <w:sz w:val="22"/>
      <w:szCs w:val="22"/>
      <w:lang w:val="en-US"/>
    </w:rPr>
  </w:style>
  <w:style w:type="paragraph" w:styleId="ListParagraph">
    <w:name w:val="List Paragraph"/>
    <w:basedOn w:val="Normal"/>
    <w:link w:val="ListParagraphChar"/>
    <w:autoRedefine/>
    <w:uiPriority w:val="34"/>
    <w:qFormat/>
    <w:rsid w:val="005A49E3"/>
    <w:pPr>
      <w:numPr>
        <w:numId w:val="78"/>
      </w:numPr>
      <w:spacing w:before="120" w:after="240"/>
      <w:contextualSpacing/>
    </w:pPr>
  </w:style>
  <w:style w:type="paragraph" w:styleId="Quote">
    <w:name w:val="Quote"/>
    <w:basedOn w:val="Normal"/>
    <w:next w:val="Normal"/>
    <w:link w:val="QuoteChar1"/>
    <w:uiPriority w:val="29"/>
    <w:qFormat/>
    <w:rsid w:val="003E6F94"/>
    <w:pPr>
      <w:ind w:left="720"/>
    </w:pPr>
    <w:rPr>
      <w:rFonts w:ascii="Myriad Pro Light SemiCond" w:hAnsi="Myriad Pro Light SemiCond"/>
      <w:i/>
      <w:iCs/>
      <w:color w:val="000000"/>
    </w:rPr>
  </w:style>
  <w:style w:type="character" w:customStyle="1" w:styleId="QuoteChar1">
    <w:name w:val="Quote Char1"/>
    <w:basedOn w:val="DefaultParagraphFont"/>
    <w:link w:val="Quote"/>
    <w:uiPriority w:val="29"/>
    <w:rsid w:val="000044D8"/>
    <w:rPr>
      <w:rFonts w:ascii="Myriad Pro SemiCond" w:hAnsi="Myriad Pro SemiCond" w:cs="Calibri"/>
      <w:sz w:val="22"/>
      <w:szCs w:val="22"/>
    </w:rPr>
  </w:style>
  <w:style w:type="paragraph" w:styleId="IntenseQuote">
    <w:name w:val="Intense Quote"/>
    <w:basedOn w:val="Normal"/>
    <w:next w:val="Normal"/>
    <w:link w:val="IntenseQuoteChar1"/>
    <w:uiPriority w:val="30"/>
    <w:qFormat/>
    <w:rsid w:val="003E6F94"/>
    <w:pPr>
      <w:pBdr>
        <w:bottom w:val="single" w:sz="4" w:space="4" w:color="FFFF00"/>
      </w:pBdr>
      <w:spacing w:before="200" w:after="280"/>
      <w:ind w:left="936" w:right="936"/>
    </w:pPr>
    <w:rPr>
      <w:b/>
      <w:bCs/>
      <w:i/>
      <w:iCs/>
      <w:color w:val="4F81BD"/>
    </w:rPr>
  </w:style>
  <w:style w:type="character" w:customStyle="1" w:styleId="IntenseQuoteChar1">
    <w:name w:val="Intense Quote Char1"/>
    <w:basedOn w:val="DefaultParagraphFont"/>
    <w:link w:val="IntenseQuote"/>
    <w:uiPriority w:val="30"/>
    <w:rsid w:val="000044D8"/>
    <w:rPr>
      <w:rFonts w:ascii="Myriad Pro SemiCond" w:hAnsi="Myriad Pro SemiCond" w:cs="Calibri"/>
      <w:sz w:val="22"/>
      <w:szCs w:val="22"/>
    </w:rPr>
  </w:style>
  <w:style w:type="paragraph" w:styleId="TOCHeading">
    <w:name w:val="TOC Heading"/>
    <w:basedOn w:val="Heading1"/>
    <w:next w:val="Normal"/>
    <w:autoRedefine/>
    <w:uiPriority w:val="39"/>
    <w:qFormat/>
    <w:rsid w:val="00A800F7"/>
    <w:pPr>
      <w:spacing w:before="120"/>
      <w:outlineLvl w:val="9"/>
    </w:pPr>
  </w:style>
  <w:style w:type="paragraph" w:styleId="FootnoteText">
    <w:name w:val="footnote text"/>
    <w:basedOn w:val="NoSpacing"/>
    <w:link w:val="FootnoteTextChar1"/>
    <w:uiPriority w:val="99"/>
    <w:rsid w:val="00203FC3"/>
    <w:rPr>
      <w:sz w:val="20"/>
      <w:szCs w:val="20"/>
    </w:rPr>
  </w:style>
  <w:style w:type="character" w:customStyle="1" w:styleId="FootnoteTextChar1">
    <w:name w:val="Footnote Text Char1"/>
    <w:basedOn w:val="DefaultParagraphFont"/>
    <w:link w:val="FootnoteText"/>
    <w:uiPriority w:val="99"/>
    <w:rsid w:val="000C5685"/>
    <w:rPr>
      <w:rFonts w:ascii="Calibri" w:hAnsi="Calibri" w:cs="Calibri"/>
      <w:lang w:val="en-US"/>
    </w:rPr>
  </w:style>
  <w:style w:type="paragraph" w:customStyle="1" w:styleId="BalloonText1">
    <w:name w:val="Balloon Text1"/>
    <w:basedOn w:val="Normal"/>
    <w:uiPriority w:val="99"/>
    <w:rsid w:val="003E6F94"/>
    <w:pPr>
      <w:spacing w:after="0" w:line="240" w:lineRule="auto"/>
    </w:pPr>
    <w:rPr>
      <w:rFonts w:ascii="Tahoma" w:hAnsi="Tahoma" w:cs="Tahoma"/>
      <w:sz w:val="16"/>
      <w:szCs w:val="16"/>
    </w:rPr>
  </w:style>
  <w:style w:type="paragraph" w:customStyle="1" w:styleId="CommentText1">
    <w:name w:val="Comment Text1"/>
    <w:basedOn w:val="Normal"/>
    <w:uiPriority w:val="99"/>
    <w:rsid w:val="003E6F94"/>
    <w:rPr>
      <w:sz w:val="20"/>
      <w:szCs w:val="20"/>
    </w:rPr>
  </w:style>
  <w:style w:type="paragraph" w:customStyle="1" w:styleId="CommentSubject1">
    <w:name w:val="Comment Subject1"/>
    <w:basedOn w:val="CommentText1"/>
    <w:next w:val="CommentText1"/>
    <w:uiPriority w:val="99"/>
    <w:rsid w:val="003E6F94"/>
    <w:rPr>
      <w:b/>
      <w:bCs/>
    </w:rPr>
  </w:style>
  <w:style w:type="paragraph" w:customStyle="1" w:styleId="NormalWeb1">
    <w:name w:val="Normal (Web)1"/>
    <w:basedOn w:val="Normal"/>
    <w:uiPriority w:val="99"/>
    <w:rsid w:val="003E6F94"/>
    <w:pPr>
      <w:spacing w:before="280" w:after="280" w:line="240" w:lineRule="auto"/>
    </w:pPr>
    <w:rPr>
      <w:sz w:val="24"/>
      <w:szCs w:val="24"/>
      <w:lang w:val="en-US" w:eastAsia="ar-SA"/>
    </w:rPr>
  </w:style>
  <w:style w:type="paragraph" w:customStyle="1" w:styleId="listparagraph0">
    <w:name w:val="listparagraph"/>
    <w:basedOn w:val="Normal"/>
    <w:uiPriority w:val="99"/>
    <w:rsid w:val="003E6F94"/>
    <w:pPr>
      <w:spacing w:before="280" w:after="280" w:line="240" w:lineRule="auto"/>
    </w:pPr>
    <w:rPr>
      <w:sz w:val="24"/>
      <w:szCs w:val="24"/>
      <w:lang w:eastAsia="ar-SA"/>
    </w:rPr>
  </w:style>
  <w:style w:type="paragraph" w:customStyle="1" w:styleId="TabellenInhalt">
    <w:name w:val="Tabellen Inhalt"/>
    <w:basedOn w:val="Normal"/>
    <w:uiPriority w:val="99"/>
    <w:rsid w:val="003E6F94"/>
    <w:pPr>
      <w:suppressLineNumbers/>
    </w:pPr>
  </w:style>
  <w:style w:type="paragraph" w:customStyle="1" w:styleId="Tabellenberschrift">
    <w:name w:val="Tabellen Überschrift"/>
    <w:basedOn w:val="TabellenInhalt"/>
    <w:uiPriority w:val="99"/>
    <w:rsid w:val="003E6F94"/>
    <w:pPr>
      <w:jc w:val="center"/>
    </w:pPr>
    <w:rPr>
      <w:b/>
      <w:bCs/>
    </w:rPr>
  </w:style>
  <w:style w:type="paragraph" w:customStyle="1" w:styleId="Rahmeninhalt">
    <w:name w:val="Rahmeninhalt"/>
    <w:basedOn w:val="BodyText"/>
    <w:uiPriority w:val="99"/>
    <w:rsid w:val="003E6F94"/>
  </w:style>
  <w:style w:type="character" w:styleId="CommentReference">
    <w:name w:val="annotation reference"/>
    <w:basedOn w:val="DefaultParagraphFont"/>
    <w:uiPriority w:val="99"/>
    <w:semiHidden/>
    <w:rsid w:val="00AF7641"/>
    <w:rPr>
      <w:rFonts w:cs="Times New Roman"/>
      <w:sz w:val="16"/>
    </w:rPr>
  </w:style>
  <w:style w:type="paragraph" w:styleId="CommentText">
    <w:name w:val="annotation text"/>
    <w:basedOn w:val="Normal"/>
    <w:link w:val="CommentTextChar"/>
    <w:uiPriority w:val="99"/>
    <w:semiHidden/>
    <w:rsid w:val="00AF7641"/>
    <w:rPr>
      <w:sz w:val="20"/>
      <w:szCs w:val="20"/>
    </w:rPr>
  </w:style>
  <w:style w:type="character" w:customStyle="1" w:styleId="CommentTextChar">
    <w:name w:val="Comment Text Char"/>
    <w:basedOn w:val="DefaultParagraphFont"/>
    <w:link w:val="CommentText"/>
    <w:uiPriority w:val="99"/>
    <w:semiHidden/>
    <w:rsid w:val="000044D8"/>
    <w:rPr>
      <w:rFonts w:ascii="Myriad Pro SemiCond" w:hAnsi="Myriad Pro SemiCond" w:cs="Calibri"/>
      <w:sz w:val="24"/>
      <w:szCs w:val="24"/>
    </w:rPr>
  </w:style>
  <w:style w:type="paragraph" w:styleId="CommentSubject">
    <w:name w:val="annotation subject"/>
    <w:basedOn w:val="CommentText"/>
    <w:next w:val="CommentText"/>
    <w:link w:val="CommentSubjectChar"/>
    <w:uiPriority w:val="99"/>
    <w:semiHidden/>
    <w:rsid w:val="00AF7641"/>
    <w:rPr>
      <w:b/>
      <w:bCs/>
    </w:rPr>
  </w:style>
  <w:style w:type="character" w:customStyle="1" w:styleId="CommentSubjectChar">
    <w:name w:val="Comment Subject Char"/>
    <w:basedOn w:val="CommentTextChar"/>
    <w:link w:val="CommentSubject"/>
    <w:uiPriority w:val="99"/>
    <w:semiHidden/>
    <w:rsid w:val="000044D8"/>
    <w:rPr>
      <w:rFonts w:ascii="Myriad Pro SemiCond" w:hAnsi="Myriad Pro SemiCond" w:cs="Calibri"/>
      <w:b/>
      <w:bCs/>
      <w:sz w:val="24"/>
      <w:szCs w:val="24"/>
    </w:rPr>
  </w:style>
  <w:style w:type="paragraph" w:styleId="BalloonText">
    <w:name w:val="Balloon Text"/>
    <w:basedOn w:val="Normal"/>
    <w:link w:val="BalloonTextChar1"/>
    <w:uiPriority w:val="99"/>
    <w:semiHidden/>
    <w:rsid w:val="00AF7641"/>
    <w:rPr>
      <w:rFonts w:ascii="Tahoma" w:hAnsi="Tahoma" w:cs="Tahoma"/>
      <w:sz w:val="16"/>
      <w:szCs w:val="16"/>
    </w:rPr>
  </w:style>
  <w:style w:type="character" w:customStyle="1" w:styleId="BalloonTextChar1">
    <w:name w:val="Balloon Text Char1"/>
    <w:basedOn w:val="DefaultParagraphFont"/>
    <w:link w:val="BalloonText"/>
    <w:uiPriority w:val="99"/>
    <w:semiHidden/>
    <w:rsid w:val="000044D8"/>
    <w:rPr>
      <w:rFonts w:ascii="Lucida Grande" w:hAnsi="Lucida Grande" w:cs="Calibri"/>
      <w:sz w:val="18"/>
      <w:szCs w:val="18"/>
    </w:rPr>
  </w:style>
  <w:style w:type="character" w:styleId="FootnoteReference">
    <w:name w:val="footnote reference"/>
    <w:basedOn w:val="DefaultParagraphFont"/>
    <w:uiPriority w:val="99"/>
    <w:rsid w:val="00AF7641"/>
    <w:rPr>
      <w:rFonts w:cs="Times New Roman"/>
      <w:vertAlign w:val="superscript"/>
    </w:rPr>
  </w:style>
  <w:style w:type="paragraph" w:customStyle="1" w:styleId="Abbreviations">
    <w:name w:val="Abbreviations"/>
    <w:basedOn w:val="Normal"/>
    <w:link w:val="AbbreviationsChar"/>
    <w:qFormat/>
    <w:rsid w:val="00263937"/>
    <w:pPr>
      <w:spacing w:after="0"/>
    </w:pPr>
    <w:rPr>
      <w:rFonts w:ascii="Calibri" w:hAnsi="Calibri"/>
      <w:lang w:eastAsia="x-none" w:bidi="en-US"/>
    </w:rPr>
  </w:style>
  <w:style w:type="character" w:customStyle="1" w:styleId="AbbreviationsChar">
    <w:name w:val="Abbreviations Char"/>
    <w:link w:val="Abbreviations"/>
    <w:rsid w:val="00263937"/>
    <w:rPr>
      <w:rFonts w:ascii="Calibri" w:hAnsi="Calibri" w:cs="Calibri"/>
      <w:sz w:val="22"/>
      <w:szCs w:val="22"/>
      <w:lang w:eastAsia="x-none" w:bidi="en-US"/>
    </w:rPr>
  </w:style>
  <w:style w:type="character" w:customStyle="1" w:styleId="Heading1Char1">
    <w:name w:val="Heading 1 Char1"/>
    <w:uiPriority w:val="99"/>
    <w:locked/>
    <w:rsid w:val="003F2CA5"/>
    <w:rPr>
      <w:rFonts w:ascii="Myriad Pro" w:hAnsi="Myriad Pro"/>
      <w:color w:val="365F91"/>
      <w:sz w:val="28"/>
      <w:szCs w:val="28"/>
      <w:lang w:val="en-GB"/>
    </w:rPr>
  </w:style>
  <w:style w:type="character" w:customStyle="1" w:styleId="TableTitle">
    <w:name w:val="Table Title"/>
    <w:uiPriority w:val="21"/>
    <w:qFormat/>
    <w:rsid w:val="006B163E"/>
    <w:rPr>
      <w:b/>
      <w:bCs/>
      <w:i/>
      <w:iCs/>
      <w:color w:val="4F81BD"/>
    </w:rPr>
  </w:style>
  <w:style w:type="table" w:styleId="LightList-Accent1">
    <w:name w:val="Light List Accent 1"/>
    <w:basedOn w:val="TableNormal"/>
    <w:uiPriority w:val="61"/>
    <w:rsid w:val="006B163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9A34B5"/>
    <w:pPr>
      <w:pBdr>
        <w:bottom w:val="dashSmallGap" w:sz="4" w:space="1" w:color="auto"/>
      </w:pBdr>
      <w:spacing w:before="120" w:after="0"/>
    </w:pPr>
    <w:rPr>
      <w:rFonts w:asciiTheme="minorHAnsi" w:hAnsiTheme="minorHAnsi"/>
      <w:b/>
      <w:bCs/>
      <w:sz w:val="24"/>
      <w:szCs w:val="24"/>
    </w:rPr>
  </w:style>
  <w:style w:type="paragraph" w:styleId="TOC2">
    <w:name w:val="toc 2"/>
    <w:basedOn w:val="Normal"/>
    <w:next w:val="Normal"/>
    <w:autoRedefine/>
    <w:uiPriority w:val="39"/>
    <w:unhideWhenUsed/>
    <w:qFormat/>
    <w:rsid w:val="000A2748"/>
    <w:pPr>
      <w:spacing w:after="0"/>
      <w:ind w:left="220"/>
    </w:pPr>
    <w:rPr>
      <w:rFonts w:asciiTheme="minorHAnsi" w:hAnsiTheme="minorHAnsi"/>
      <w:b/>
      <w:bCs/>
    </w:rPr>
  </w:style>
  <w:style w:type="paragraph" w:styleId="TOC3">
    <w:name w:val="toc 3"/>
    <w:basedOn w:val="Normal"/>
    <w:next w:val="Normal"/>
    <w:autoRedefine/>
    <w:uiPriority w:val="39"/>
    <w:unhideWhenUsed/>
    <w:qFormat/>
    <w:rsid w:val="007E1A89"/>
    <w:pPr>
      <w:spacing w:after="0"/>
      <w:ind w:left="440"/>
    </w:pPr>
    <w:rPr>
      <w:rFonts w:asciiTheme="minorHAnsi" w:hAnsiTheme="minorHAnsi"/>
    </w:rPr>
  </w:style>
  <w:style w:type="paragraph" w:styleId="TOC4">
    <w:name w:val="toc 4"/>
    <w:basedOn w:val="Normal"/>
    <w:next w:val="Normal"/>
    <w:autoRedefine/>
    <w:uiPriority w:val="39"/>
    <w:unhideWhenUsed/>
    <w:rsid w:val="007E1A89"/>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7E1A89"/>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7E1A89"/>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7E1A89"/>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7E1A89"/>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7E1A89"/>
    <w:pPr>
      <w:spacing w:after="0"/>
      <w:ind w:left="1760"/>
    </w:pPr>
    <w:rPr>
      <w:rFonts w:asciiTheme="minorHAnsi" w:hAnsiTheme="minorHAnsi"/>
      <w:sz w:val="20"/>
      <w:szCs w:val="20"/>
    </w:rPr>
  </w:style>
  <w:style w:type="numbering" w:customStyle="1" w:styleId="NoList1">
    <w:name w:val="No List1"/>
    <w:next w:val="NoList"/>
    <w:uiPriority w:val="99"/>
    <w:semiHidden/>
    <w:unhideWhenUsed/>
    <w:rsid w:val="00743FAE"/>
  </w:style>
  <w:style w:type="character" w:customStyle="1" w:styleId="Heading2Char2">
    <w:name w:val="Heading 2 Char2"/>
    <w:basedOn w:val="DefaultParagraphFont"/>
    <w:uiPriority w:val="99"/>
    <w:rsid w:val="00743FAE"/>
    <w:rPr>
      <w:rFonts w:ascii="Myriad Pro SemiCond" w:hAnsi="Myriad Pro SemiCond"/>
      <w:b/>
      <w:bCs/>
      <w:color w:val="4F81BD"/>
      <w:sz w:val="26"/>
      <w:szCs w:val="26"/>
      <w:lang w:val="en-GB" w:eastAsia="en-US" w:bidi="en-US"/>
    </w:rPr>
  </w:style>
  <w:style w:type="paragraph" w:styleId="Caption">
    <w:name w:val="caption"/>
    <w:basedOn w:val="Normal"/>
    <w:next w:val="Normal"/>
    <w:autoRedefine/>
    <w:uiPriority w:val="35"/>
    <w:qFormat/>
    <w:rsid w:val="00F97CA1"/>
    <w:pPr>
      <w:widowControl/>
      <w:suppressAutoHyphens w:val="0"/>
      <w:spacing w:after="240" w:line="240" w:lineRule="auto"/>
    </w:pPr>
    <w:rPr>
      <w:rFonts w:cs="Times New Roman"/>
      <w:b/>
      <w:bCs/>
      <w:color w:val="1F497D" w:themeColor="text2"/>
      <w:sz w:val="20"/>
      <w:szCs w:val="20"/>
      <w:lang w:bidi="en-US"/>
    </w:rPr>
  </w:style>
  <w:style w:type="character" w:styleId="FollowedHyperlink">
    <w:name w:val="FollowedHyperlink"/>
    <w:basedOn w:val="DefaultParagraphFont"/>
    <w:uiPriority w:val="99"/>
    <w:rsid w:val="00743FAE"/>
    <w:rPr>
      <w:color w:val="606420"/>
      <w:u w:val="single"/>
    </w:rPr>
  </w:style>
  <w:style w:type="character" w:styleId="PageNumber">
    <w:name w:val="page number"/>
    <w:basedOn w:val="DefaultParagraphFont"/>
    <w:rsid w:val="00743FAE"/>
  </w:style>
  <w:style w:type="character" w:customStyle="1" w:styleId="text">
    <w:name w:val="text"/>
    <w:basedOn w:val="DefaultParagraphFont"/>
    <w:rsid w:val="00743FAE"/>
  </w:style>
  <w:style w:type="character" w:customStyle="1" w:styleId="CommentTextChar1">
    <w:name w:val="Comment Text Char1"/>
    <w:basedOn w:val="DefaultParagraphFont"/>
    <w:uiPriority w:val="99"/>
    <w:semiHidden/>
    <w:rsid w:val="00743FAE"/>
    <w:rPr>
      <w:rFonts w:ascii="Myriad Pro SemiCond" w:hAnsi="Myriad Pro SemiCond"/>
      <w:lang w:val="en-GB" w:eastAsia="en-US" w:bidi="en-US"/>
    </w:rPr>
  </w:style>
  <w:style w:type="character" w:customStyle="1" w:styleId="CommentSubjectChar1">
    <w:name w:val="Comment Subject Char1"/>
    <w:basedOn w:val="CommentTextChar1"/>
    <w:uiPriority w:val="99"/>
    <w:semiHidden/>
    <w:rsid w:val="00743FAE"/>
    <w:rPr>
      <w:rFonts w:ascii="Myriad Pro SemiCond" w:hAnsi="Myriad Pro SemiCond"/>
      <w:lang w:val="en-GB" w:eastAsia="en-US" w:bidi="en-US"/>
    </w:rPr>
  </w:style>
  <w:style w:type="paragraph" w:customStyle="1" w:styleId="ListBullet1">
    <w:name w:val="List Bullet1"/>
    <w:basedOn w:val="Normal"/>
    <w:rsid w:val="00743FAE"/>
    <w:pPr>
      <w:widowControl/>
      <w:numPr>
        <w:numId w:val="1"/>
      </w:numPr>
      <w:suppressAutoHyphens w:val="0"/>
      <w:spacing w:after="60"/>
    </w:pPr>
    <w:rPr>
      <w:rFonts w:ascii="Arial" w:hAnsi="Arial" w:cs="Times New Roman"/>
      <w:sz w:val="20"/>
      <w:szCs w:val="20"/>
      <w:lang w:val="en-US" w:bidi="en-US"/>
    </w:rPr>
  </w:style>
  <w:style w:type="character" w:customStyle="1" w:styleId="a1">
    <w:name w:val="a1"/>
    <w:basedOn w:val="DefaultParagraphFont"/>
    <w:rsid w:val="00743FAE"/>
    <w:rPr>
      <w:color w:val="008000"/>
    </w:rPr>
  </w:style>
  <w:style w:type="table" w:customStyle="1" w:styleId="MediumList1-Accent11">
    <w:name w:val="Medium List 1 - Accent 11"/>
    <w:basedOn w:val="TableNormal"/>
    <w:uiPriority w:val="65"/>
    <w:rsid w:val="00743FAE"/>
    <w:rPr>
      <w:rFonts w:ascii="Calibri" w:hAnsi="Calibri"/>
      <w:color w:val="000000"/>
      <w:lang w:val="nb-NO" w:eastAsia="nb-NO"/>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ystem" w:eastAsia="Times New Roman" w:hAnsi="System"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HTMLPreformatted">
    <w:name w:val="HTML Preformatted"/>
    <w:basedOn w:val="Normal"/>
    <w:link w:val="HTMLPreformattedChar"/>
    <w:rsid w:val="00743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4"/>
      <w:szCs w:val="24"/>
      <w:lang w:val="en-US"/>
    </w:rPr>
  </w:style>
  <w:style w:type="character" w:customStyle="1" w:styleId="HTMLPreformattedChar">
    <w:name w:val="HTML Preformatted Char"/>
    <w:basedOn w:val="DefaultParagraphFont"/>
    <w:link w:val="HTMLPreformatted"/>
    <w:rsid w:val="00743FAE"/>
    <w:rPr>
      <w:rFonts w:ascii="Courier New" w:hAnsi="Courier New" w:cs="Courier New"/>
      <w:sz w:val="24"/>
      <w:szCs w:val="24"/>
      <w:lang w:val="en-US"/>
    </w:rPr>
  </w:style>
  <w:style w:type="character" w:styleId="HTMLTypewriter">
    <w:name w:val="HTML Typewriter"/>
    <w:basedOn w:val="DefaultParagraphFont"/>
    <w:rsid w:val="00743FAE"/>
    <w:rPr>
      <w:rFonts w:ascii="Courier New" w:eastAsia="Times New Roman" w:hAnsi="Courier New" w:cs="Courier New"/>
      <w:sz w:val="20"/>
      <w:szCs w:val="20"/>
    </w:rPr>
  </w:style>
  <w:style w:type="table" w:customStyle="1" w:styleId="LightList-Accent11">
    <w:name w:val="Light List - Accent 11"/>
    <w:basedOn w:val="TableNormal"/>
    <w:uiPriority w:val="61"/>
    <w:rsid w:val="00743FAE"/>
    <w:rPr>
      <w:rFonts w:ascii="Calibri" w:hAnsi="Calibri"/>
      <w:lang w:val="nb-NO" w:eastAsia="nb-N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yle1">
    <w:name w:val="Style1"/>
    <w:basedOn w:val="LightList-Accent11"/>
    <w:rsid w:val="00743FAE"/>
    <w:rPr>
      <w:rFonts w:ascii="Myriad Pro SemiCond" w:hAnsi="Myriad Pro SemiCond"/>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743FAE"/>
    <w:rPr>
      <w:rFonts w:ascii="Calibri" w:hAnsi="Calibri"/>
      <w:lang w:val="nb-NO" w:eastAsia="nb-N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spacing0">
    <w:name w:val="msonospacing"/>
    <w:basedOn w:val="Normal"/>
    <w:rsid w:val="00743FAE"/>
    <w:pPr>
      <w:widowControl/>
      <w:suppressAutoHyphens w:val="0"/>
      <w:spacing w:after="0"/>
    </w:pPr>
    <w:rPr>
      <w:rFonts w:cs="Times New Roman"/>
      <w:sz w:val="20"/>
      <w:szCs w:val="20"/>
      <w:lang w:val="nb-NO" w:eastAsia="nb-NO"/>
    </w:rPr>
  </w:style>
  <w:style w:type="paragraph" w:styleId="NormalWeb">
    <w:name w:val="Normal (Web)"/>
    <w:basedOn w:val="Normal"/>
    <w:uiPriority w:val="99"/>
    <w:rsid w:val="00743FAE"/>
    <w:pPr>
      <w:widowControl/>
      <w:suppressAutoHyphens w:val="0"/>
      <w:spacing w:before="100" w:beforeAutospacing="1" w:after="100" w:afterAutospacing="1" w:line="240" w:lineRule="auto"/>
    </w:pPr>
    <w:rPr>
      <w:rFonts w:eastAsia="Calibri" w:cs="Times New Roman"/>
      <w:sz w:val="24"/>
      <w:szCs w:val="24"/>
      <w:lang w:val="en-US"/>
    </w:rPr>
  </w:style>
  <w:style w:type="paragraph" w:styleId="Revision">
    <w:name w:val="Revision"/>
    <w:hidden/>
    <w:uiPriority w:val="99"/>
    <w:semiHidden/>
    <w:rsid w:val="00743FAE"/>
    <w:rPr>
      <w:rFonts w:ascii="Myriad Pro SemiCond" w:hAnsi="Myriad Pro SemiCond"/>
      <w:sz w:val="22"/>
      <w:szCs w:val="22"/>
      <w:lang w:bidi="en-US"/>
    </w:rPr>
  </w:style>
  <w:style w:type="paragraph" w:styleId="PlainText">
    <w:name w:val="Plain Text"/>
    <w:basedOn w:val="Normal"/>
    <w:link w:val="PlainTextChar"/>
    <w:uiPriority w:val="99"/>
    <w:semiHidden/>
    <w:unhideWhenUsed/>
    <w:rsid w:val="00743FAE"/>
    <w:pPr>
      <w:widowControl/>
      <w:suppressAutoHyphens w:val="0"/>
      <w:spacing w:after="0" w:line="240" w:lineRule="auto"/>
    </w:pPr>
    <w:rPr>
      <w:rFonts w:ascii="Calibri" w:hAnsi="Calibri" w:cs="Times New Roman"/>
      <w:sz w:val="20"/>
      <w:szCs w:val="21"/>
    </w:rPr>
  </w:style>
  <w:style w:type="character" w:customStyle="1" w:styleId="PlainTextChar">
    <w:name w:val="Plain Text Char"/>
    <w:basedOn w:val="DefaultParagraphFont"/>
    <w:link w:val="PlainText"/>
    <w:uiPriority w:val="99"/>
    <w:semiHidden/>
    <w:rsid w:val="00743FAE"/>
    <w:rPr>
      <w:rFonts w:ascii="Calibri" w:hAnsi="Calibri"/>
      <w:szCs w:val="21"/>
    </w:rPr>
  </w:style>
  <w:style w:type="paragraph" w:styleId="ListBullet">
    <w:name w:val="List Bullet"/>
    <w:basedOn w:val="Normal"/>
    <w:uiPriority w:val="99"/>
    <w:unhideWhenUsed/>
    <w:rsid w:val="00743FAE"/>
    <w:pPr>
      <w:widowControl/>
      <w:numPr>
        <w:numId w:val="2"/>
      </w:numPr>
      <w:suppressAutoHyphens w:val="0"/>
      <w:contextualSpacing/>
    </w:pPr>
    <w:rPr>
      <w:rFonts w:cs="Times New Roman"/>
      <w:sz w:val="20"/>
      <w:lang w:bidi="en-US"/>
    </w:rPr>
  </w:style>
  <w:style w:type="paragraph" w:styleId="ListBullet2">
    <w:name w:val="List Bullet 2"/>
    <w:basedOn w:val="Normal"/>
    <w:uiPriority w:val="99"/>
    <w:unhideWhenUsed/>
    <w:rsid w:val="00743FAE"/>
    <w:pPr>
      <w:widowControl/>
      <w:numPr>
        <w:numId w:val="3"/>
      </w:numPr>
      <w:suppressAutoHyphens w:val="0"/>
      <w:contextualSpacing/>
    </w:pPr>
    <w:rPr>
      <w:rFonts w:cs="Times New Roman"/>
      <w:sz w:val="20"/>
      <w:lang w:bidi="en-US"/>
    </w:rPr>
  </w:style>
  <w:style w:type="character" w:customStyle="1" w:styleId="BodyTextChar1">
    <w:name w:val="Body Text Char1"/>
    <w:basedOn w:val="DefaultParagraphFont"/>
    <w:uiPriority w:val="99"/>
    <w:rsid w:val="00743FAE"/>
    <w:rPr>
      <w:rFonts w:ascii="Myriad Pro SemiCond" w:hAnsi="Myriad Pro SemiCond"/>
      <w:szCs w:val="22"/>
      <w:lang w:val="en-GB" w:eastAsia="en-US" w:bidi="en-US"/>
    </w:rPr>
  </w:style>
  <w:style w:type="paragraph" w:styleId="BodyTextIndent">
    <w:name w:val="Body Text Indent"/>
    <w:basedOn w:val="Normal"/>
    <w:link w:val="BodyTextIndentChar"/>
    <w:uiPriority w:val="99"/>
    <w:semiHidden/>
    <w:unhideWhenUsed/>
    <w:rsid w:val="00743FAE"/>
    <w:pPr>
      <w:widowControl/>
      <w:suppressAutoHyphens w:val="0"/>
      <w:ind w:left="360"/>
    </w:pPr>
    <w:rPr>
      <w:rFonts w:cs="Times New Roman"/>
      <w:sz w:val="20"/>
      <w:lang w:bidi="en-US"/>
    </w:rPr>
  </w:style>
  <w:style w:type="character" w:customStyle="1" w:styleId="BodyTextIndentChar">
    <w:name w:val="Body Text Indent Char"/>
    <w:basedOn w:val="DefaultParagraphFont"/>
    <w:link w:val="BodyTextIndent"/>
    <w:uiPriority w:val="99"/>
    <w:semiHidden/>
    <w:rsid w:val="00743FAE"/>
    <w:rPr>
      <w:rFonts w:ascii="Myriad Pro SemiCond" w:hAnsi="Myriad Pro SemiCond"/>
      <w:szCs w:val="22"/>
      <w:lang w:bidi="en-US"/>
    </w:rPr>
  </w:style>
  <w:style w:type="paragraph" w:styleId="BodyTextFirstIndent2">
    <w:name w:val="Body Text First Indent 2"/>
    <w:basedOn w:val="BodyTextIndent"/>
    <w:link w:val="BodyTextFirstIndent2Char"/>
    <w:uiPriority w:val="99"/>
    <w:unhideWhenUsed/>
    <w:rsid w:val="00743FAE"/>
    <w:pPr>
      <w:ind w:firstLine="210"/>
    </w:pPr>
  </w:style>
  <w:style w:type="character" w:customStyle="1" w:styleId="BodyTextFirstIndent2Char">
    <w:name w:val="Body Text First Indent 2 Char"/>
    <w:basedOn w:val="BodyTextIndentChar"/>
    <w:link w:val="BodyTextFirstIndent2"/>
    <w:uiPriority w:val="99"/>
    <w:rsid w:val="00743FAE"/>
    <w:rPr>
      <w:rFonts w:ascii="Myriad Pro SemiCond" w:hAnsi="Myriad Pro SemiCond"/>
      <w:szCs w:val="22"/>
      <w:lang w:bidi="en-US"/>
    </w:rPr>
  </w:style>
  <w:style w:type="character" w:customStyle="1" w:styleId="Heading2Char1">
    <w:name w:val="Heading 2 Char1"/>
    <w:basedOn w:val="DefaultParagraphFont"/>
    <w:locked/>
    <w:rsid w:val="00743FAE"/>
    <w:rPr>
      <w:rFonts w:ascii="Myriad Pro SemiCond" w:hAnsi="Myriad Pro SemiCond"/>
      <w:b/>
      <w:bCs/>
      <w:color w:val="4F81BD"/>
      <w:sz w:val="26"/>
      <w:szCs w:val="26"/>
      <w:lang w:val="en-GB" w:eastAsia="en-US" w:bidi="ar-SA"/>
    </w:rPr>
  </w:style>
  <w:style w:type="character" w:customStyle="1" w:styleId="bodytext1">
    <w:name w:val="bodytext1"/>
    <w:basedOn w:val="DefaultParagraphFont"/>
    <w:rsid w:val="00743FAE"/>
    <w:rPr>
      <w:rFonts w:ascii="Tahoma" w:hAnsi="Tahoma" w:cs="Tahoma" w:hint="default"/>
      <w:sz w:val="18"/>
      <w:szCs w:val="18"/>
    </w:rPr>
  </w:style>
  <w:style w:type="table" w:customStyle="1" w:styleId="LightShading1">
    <w:name w:val="Light Shading1"/>
    <w:basedOn w:val="TableNormal"/>
    <w:uiPriority w:val="60"/>
    <w:rsid w:val="00743FAE"/>
    <w:rPr>
      <w:rFonts w:ascii="Calibri" w:hAnsi="Calibri"/>
      <w:color w:val="000000"/>
      <w:lang w:val="nb-NO" w:eastAsia="nb-N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B86EA7"/>
  </w:style>
  <w:style w:type="character" w:customStyle="1" w:styleId="SubtleEmphasis1">
    <w:name w:val="Subtle Emphasis1"/>
    <w:uiPriority w:val="99"/>
    <w:rsid w:val="009A38A3"/>
    <w:rPr>
      <w:rFonts w:cs="Times New Roman"/>
      <w:i/>
      <w:iCs/>
      <w:color w:val="808080"/>
    </w:rPr>
  </w:style>
  <w:style w:type="character" w:customStyle="1" w:styleId="IntenseEmphasis1">
    <w:name w:val="Intense Emphasis1"/>
    <w:uiPriority w:val="99"/>
    <w:rsid w:val="009A38A3"/>
    <w:rPr>
      <w:rFonts w:cs="Times New Roman"/>
      <w:b/>
      <w:bCs/>
      <w:i/>
      <w:iCs/>
      <w:color w:val="4F81BD"/>
    </w:rPr>
  </w:style>
  <w:style w:type="character" w:customStyle="1" w:styleId="SubtleReference1">
    <w:name w:val="Subtle Reference1"/>
    <w:uiPriority w:val="99"/>
    <w:rsid w:val="009A38A3"/>
    <w:rPr>
      <w:rFonts w:cs="Times New Roman"/>
      <w:smallCaps/>
      <w:color w:val="C0504D"/>
      <w:u w:val="single"/>
    </w:rPr>
  </w:style>
  <w:style w:type="character" w:customStyle="1" w:styleId="IntenseReference1">
    <w:name w:val="Intense Reference1"/>
    <w:uiPriority w:val="99"/>
    <w:rsid w:val="009A38A3"/>
    <w:rPr>
      <w:rFonts w:cs="Times New Roman"/>
      <w:b/>
      <w:bCs/>
      <w:smallCaps/>
      <w:color w:val="C0504D"/>
      <w:spacing w:val="5"/>
      <w:u w:val="single"/>
    </w:rPr>
  </w:style>
  <w:style w:type="character" w:customStyle="1" w:styleId="BookTitle1">
    <w:name w:val="Book Title1"/>
    <w:uiPriority w:val="99"/>
    <w:rsid w:val="009A38A3"/>
    <w:rPr>
      <w:rFonts w:cs="Times New Roman"/>
      <w:b/>
      <w:bCs/>
      <w:smallCaps/>
      <w:spacing w:val="5"/>
    </w:rPr>
  </w:style>
  <w:style w:type="paragraph" w:customStyle="1" w:styleId="MediumGrid22">
    <w:name w:val="Medium Grid 22"/>
    <w:uiPriority w:val="99"/>
    <w:semiHidden/>
    <w:qFormat/>
    <w:rsid w:val="009A38A3"/>
    <w:pPr>
      <w:widowControl w:val="0"/>
      <w:suppressAutoHyphens/>
    </w:pPr>
    <w:rPr>
      <w:rFonts w:ascii="Calibri" w:hAnsi="Calibri" w:cs="Calibri"/>
      <w:sz w:val="22"/>
      <w:szCs w:val="22"/>
      <w:lang w:val="en-US"/>
    </w:rPr>
  </w:style>
  <w:style w:type="paragraph" w:customStyle="1" w:styleId="ColorfulList-Accent11">
    <w:name w:val="Colorful List - Accent 11"/>
    <w:basedOn w:val="Normal"/>
    <w:uiPriority w:val="99"/>
    <w:qFormat/>
    <w:rsid w:val="009A38A3"/>
    <w:pPr>
      <w:ind w:left="720"/>
    </w:pPr>
  </w:style>
  <w:style w:type="paragraph" w:customStyle="1" w:styleId="ColorfulGrid-Accent11">
    <w:name w:val="Colorful Grid - Accent 11"/>
    <w:basedOn w:val="Normal"/>
    <w:next w:val="Normal"/>
    <w:link w:val="ColorfulGrid-Accent1Char"/>
    <w:uiPriority w:val="99"/>
    <w:rsid w:val="009A38A3"/>
    <w:pPr>
      <w:ind w:left="720"/>
    </w:pPr>
    <w:rPr>
      <w:rFonts w:ascii="Myriad Pro Light SemiCond" w:hAnsi="Myriad Pro Light SemiCond"/>
      <w:i/>
      <w:iCs/>
      <w:color w:val="000000"/>
    </w:rPr>
  </w:style>
  <w:style w:type="character" w:customStyle="1" w:styleId="ColorfulGrid-Accent1Char">
    <w:name w:val="Colorful Grid - Accent 1 Char"/>
    <w:link w:val="ColorfulGrid-Accent11"/>
    <w:uiPriority w:val="99"/>
    <w:rsid w:val="009A38A3"/>
    <w:rPr>
      <w:rFonts w:ascii="Myriad Pro Light SemiCond" w:hAnsi="Myriad Pro Light SemiCond" w:cs="Calibri"/>
      <w:i/>
      <w:iCs/>
      <w:color w:val="000000"/>
      <w:sz w:val="22"/>
      <w:szCs w:val="22"/>
    </w:rPr>
  </w:style>
  <w:style w:type="paragraph" w:customStyle="1" w:styleId="LightShading-Accent21">
    <w:name w:val="Light Shading - Accent 21"/>
    <w:basedOn w:val="Normal"/>
    <w:next w:val="Normal"/>
    <w:link w:val="LightShading-Accent2Char"/>
    <w:uiPriority w:val="99"/>
    <w:rsid w:val="009A38A3"/>
    <w:pPr>
      <w:pBdr>
        <w:bottom w:val="single" w:sz="4" w:space="4" w:color="FFFF00"/>
      </w:pBdr>
      <w:spacing w:before="200" w:after="280"/>
      <w:ind w:left="936" w:right="936"/>
    </w:pPr>
    <w:rPr>
      <w:b/>
      <w:bCs/>
      <w:i/>
      <w:iCs/>
      <w:color w:val="4F81BD"/>
    </w:rPr>
  </w:style>
  <w:style w:type="character" w:customStyle="1" w:styleId="LightShading-Accent2Char">
    <w:name w:val="Light Shading - Accent 2 Char"/>
    <w:link w:val="LightShading-Accent21"/>
    <w:uiPriority w:val="99"/>
    <w:rsid w:val="009A38A3"/>
    <w:rPr>
      <w:rFonts w:ascii="Myriad Pro SemiCond" w:hAnsi="Myriad Pro SemiCond" w:cs="Calibri"/>
      <w:b/>
      <w:bCs/>
      <w:i/>
      <w:iCs/>
      <w:color w:val="4F81BD"/>
      <w:sz w:val="22"/>
      <w:szCs w:val="22"/>
    </w:rPr>
  </w:style>
  <w:style w:type="paragraph" w:customStyle="1" w:styleId="TOCHeading1">
    <w:name w:val="TOC Heading1"/>
    <w:basedOn w:val="Heading1"/>
    <w:next w:val="Normal"/>
    <w:uiPriority w:val="39"/>
    <w:qFormat/>
    <w:rsid w:val="009A38A3"/>
    <w:pPr>
      <w:outlineLvl w:val="9"/>
    </w:pPr>
  </w:style>
  <w:style w:type="table" w:styleId="LightList-Accent2">
    <w:name w:val="Light List Accent 2"/>
    <w:basedOn w:val="TableNormal"/>
    <w:uiPriority w:val="61"/>
    <w:rsid w:val="009A38A3"/>
    <w:rPr>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solistparagraph0">
    <w:name w:val="msolistparagraph"/>
    <w:basedOn w:val="Normal"/>
    <w:rsid w:val="009A38A3"/>
    <w:pPr>
      <w:widowControl/>
      <w:suppressAutoHyphens w:val="0"/>
      <w:spacing w:after="0" w:line="240" w:lineRule="auto"/>
      <w:ind w:left="720"/>
    </w:pPr>
    <w:rPr>
      <w:rFonts w:ascii="Calibri" w:eastAsia="Calibri" w:hAnsi="Calibri" w:cs="Times New Roman"/>
      <w:sz w:val="24"/>
      <w:szCs w:val="24"/>
      <w:lang w:val="en-US"/>
    </w:rPr>
  </w:style>
  <w:style w:type="character" w:customStyle="1" w:styleId="st">
    <w:name w:val="st"/>
    <w:rsid w:val="009A38A3"/>
  </w:style>
  <w:style w:type="character" w:customStyle="1" w:styleId="ColorfulGrid-Accent1Char1">
    <w:name w:val="Colorful Grid - Accent 1 Char1"/>
    <w:link w:val="ColorfulGrid-Accent1"/>
    <w:uiPriority w:val="99"/>
    <w:rsid w:val="009A38A3"/>
    <w:rPr>
      <w:rFonts w:ascii="Myriad Pro Light SemiCond" w:hAnsi="Myriad Pro Light SemiCond" w:cs="Calibri"/>
      <w:i/>
      <w:iCs/>
      <w:color w:val="000000"/>
      <w:sz w:val="22"/>
      <w:szCs w:val="22"/>
      <w:lang w:val="en-GB" w:eastAsia="en-US"/>
    </w:rPr>
  </w:style>
  <w:style w:type="character" w:customStyle="1" w:styleId="LightShading-Accent2Char1">
    <w:name w:val="Light Shading - Accent 2 Char1"/>
    <w:link w:val="LightShading-Accent2"/>
    <w:uiPriority w:val="99"/>
    <w:rsid w:val="009A38A3"/>
    <w:rPr>
      <w:rFonts w:ascii="Myriad Pro SemiCond" w:hAnsi="Myriad Pro SemiCond" w:cs="Calibri"/>
      <w:b/>
      <w:bCs/>
      <w:i/>
      <w:iCs/>
      <w:color w:val="4F81BD"/>
      <w:sz w:val="22"/>
      <w:szCs w:val="22"/>
      <w:lang w:val="en-GB" w:eastAsia="en-US"/>
    </w:rPr>
  </w:style>
  <w:style w:type="paragraph" w:customStyle="1" w:styleId="MediumGrid21">
    <w:name w:val="Medium Grid 21"/>
    <w:qFormat/>
    <w:rsid w:val="009A38A3"/>
    <w:pPr>
      <w:widowControl w:val="0"/>
      <w:suppressAutoHyphens/>
    </w:pPr>
    <w:rPr>
      <w:rFonts w:ascii="Calibri" w:eastAsia="Arial" w:hAnsi="Calibri" w:cs="Calibri"/>
      <w:sz w:val="22"/>
      <w:szCs w:val="22"/>
      <w:lang w:val="en-US" w:bidi="en-US"/>
    </w:rPr>
  </w:style>
  <w:style w:type="character" w:customStyle="1" w:styleId="hps">
    <w:name w:val="hps"/>
    <w:rsid w:val="009A38A3"/>
  </w:style>
  <w:style w:type="table" w:styleId="ColorfulGrid-Accent1">
    <w:name w:val="Colorful Grid Accent 1"/>
    <w:basedOn w:val="TableNormal"/>
    <w:link w:val="ColorfulGrid-Accent1Char1"/>
    <w:uiPriority w:val="99"/>
    <w:rsid w:val="009A38A3"/>
    <w:rPr>
      <w:rFonts w:ascii="Myriad Pro Light SemiCond" w:hAnsi="Myriad Pro Light SemiCond" w:cs="Calibri"/>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1"/>
    <w:uiPriority w:val="99"/>
    <w:rsid w:val="009A38A3"/>
    <w:rPr>
      <w:rFonts w:ascii="Myriad Pro SemiCond" w:hAnsi="Myriad Pro SemiCond" w:cs="Calibri"/>
      <w:b/>
      <w:bCs/>
      <w:i/>
      <w:iCs/>
      <w:color w:val="4F81BD"/>
      <w:sz w:val="22"/>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TableNormal"/>
    <w:next w:val="TableGrid"/>
    <w:uiPriority w:val="59"/>
    <w:rsid w:val="00ED4F0C"/>
    <w:rPr>
      <w:rFonts w:ascii="Calibri" w:hAnsi="Calibri"/>
      <w:lang w:val="nb-NO" w:eastAsia="nb-N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3">
    <w:name w:val="A3"/>
    <w:uiPriority w:val="99"/>
    <w:rsid w:val="00D47A3F"/>
    <w:rPr>
      <w:rFonts w:cs="Myriad Pro SemiCond"/>
      <w:color w:val="000000"/>
      <w:sz w:val="20"/>
      <w:szCs w:val="20"/>
    </w:rPr>
  </w:style>
  <w:style w:type="character" w:customStyle="1" w:styleId="ListParagraphChar">
    <w:name w:val="List Paragraph Char"/>
    <w:link w:val="ListParagraph"/>
    <w:uiPriority w:val="34"/>
    <w:rsid w:val="00FF1374"/>
    <w:rPr>
      <w:rFonts w:asciiTheme="majorHAnsi" w:hAnsiTheme="majorHAnsi" w:cs="Calibri"/>
      <w:sz w:val="22"/>
      <w:szCs w:val="22"/>
    </w:rPr>
  </w:style>
  <w:style w:type="paragraph" w:styleId="Bibliography">
    <w:name w:val="Bibliography"/>
    <w:basedOn w:val="Normal"/>
    <w:next w:val="Normal"/>
    <w:uiPriority w:val="37"/>
    <w:unhideWhenUsed/>
    <w:rsid w:val="002D46F5"/>
  </w:style>
  <w:style w:type="paragraph" w:customStyle="1" w:styleId="Heading2notindexed">
    <w:name w:val="Heading 2 not indexed"/>
    <w:basedOn w:val="Heading2"/>
    <w:next w:val="Abbreviations"/>
    <w:link w:val="Heading2notindexedChar"/>
    <w:autoRedefine/>
    <w:qFormat/>
    <w:rsid w:val="00CB2928"/>
    <w:pPr>
      <w:spacing w:before="240" w:line="264" w:lineRule="auto"/>
    </w:pPr>
  </w:style>
  <w:style w:type="character" w:customStyle="1" w:styleId="Heading2notindexedChar">
    <w:name w:val="Heading 2 not indexed Char"/>
    <w:basedOn w:val="Heading2Char"/>
    <w:link w:val="Heading2notindexed"/>
    <w:rsid w:val="00CB2928"/>
    <w:rPr>
      <w:rFonts w:asciiTheme="majorHAnsi" w:hAnsiTheme="majorHAnsi" w:cs="Calibri"/>
      <w:bCs/>
      <w:color w:val="4F81BD"/>
      <w:sz w:val="28"/>
      <w:szCs w:val="26"/>
    </w:rPr>
  </w:style>
  <w:style w:type="paragraph" w:styleId="EndnoteText">
    <w:name w:val="endnote text"/>
    <w:basedOn w:val="Normal"/>
    <w:link w:val="EndnoteTextChar"/>
    <w:uiPriority w:val="99"/>
    <w:semiHidden/>
    <w:unhideWhenUsed/>
    <w:rsid w:val="002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7019"/>
    <w:rPr>
      <w:rFonts w:cs="Calibri"/>
    </w:rPr>
  </w:style>
  <w:style w:type="character" w:styleId="EndnoteReference">
    <w:name w:val="endnote reference"/>
    <w:basedOn w:val="DefaultParagraphFont"/>
    <w:uiPriority w:val="99"/>
    <w:semiHidden/>
    <w:unhideWhenUsed/>
    <w:rsid w:val="002D7019"/>
    <w:rPr>
      <w:vertAlign w:val="superscript"/>
    </w:rPr>
  </w:style>
  <w:style w:type="paragraph" w:styleId="TableofFigures">
    <w:name w:val="table of figures"/>
    <w:basedOn w:val="Normal"/>
    <w:next w:val="Normal"/>
    <w:uiPriority w:val="99"/>
    <w:unhideWhenUsed/>
    <w:rsid w:val="00B33EAB"/>
    <w:pPr>
      <w:ind w:left="440" w:hanging="440"/>
    </w:pPr>
    <w:rPr>
      <w:rFonts w:ascii="Calibri" w:hAnsi="Calibri"/>
    </w:rPr>
  </w:style>
  <w:style w:type="paragraph" w:customStyle="1" w:styleId="Tabletext">
    <w:name w:val="Table text"/>
    <w:basedOn w:val="NoSpacing"/>
    <w:autoRedefine/>
    <w:qFormat/>
    <w:rsid w:val="00E10A07"/>
    <w:pPr>
      <w:spacing w:before="120" w:after="120"/>
    </w:pPr>
    <w:rPr>
      <w:rFonts w:eastAsia="Calibri"/>
    </w:rPr>
  </w:style>
  <w:style w:type="paragraph" w:customStyle="1" w:styleId="Heading2nonumbers">
    <w:name w:val="Heading 2 no numbers"/>
    <w:basedOn w:val="Heading2"/>
    <w:qFormat/>
    <w:rsid w:val="0071487C"/>
  </w:style>
  <w:style w:type="character" w:customStyle="1" w:styleId="Mention">
    <w:name w:val="Mention"/>
    <w:basedOn w:val="DefaultParagraphFont"/>
    <w:uiPriority w:val="99"/>
    <w:semiHidden/>
    <w:unhideWhenUsed/>
    <w:rsid w:val="00A04B15"/>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51"/>
    <w:pPr>
      <w:widowControl w:val="0"/>
      <w:suppressAutoHyphens/>
      <w:spacing w:after="360" w:line="264" w:lineRule="auto"/>
    </w:pPr>
    <w:rPr>
      <w:rFonts w:asciiTheme="majorHAnsi" w:hAnsiTheme="majorHAnsi" w:cs="Calibri"/>
      <w:sz w:val="22"/>
      <w:szCs w:val="22"/>
    </w:rPr>
  </w:style>
  <w:style w:type="paragraph" w:styleId="Heading1">
    <w:name w:val="heading 1"/>
    <w:basedOn w:val="Normal"/>
    <w:next w:val="Normal"/>
    <w:link w:val="Heading1Char"/>
    <w:autoRedefine/>
    <w:uiPriority w:val="9"/>
    <w:qFormat/>
    <w:rsid w:val="00764C60"/>
    <w:pPr>
      <w:keepNext/>
      <w:keepLines/>
      <w:spacing w:before="480"/>
      <w:outlineLvl w:val="0"/>
    </w:pPr>
    <w:rPr>
      <w:bCs/>
      <w:color w:val="365F91"/>
      <w:sz w:val="32"/>
    </w:rPr>
  </w:style>
  <w:style w:type="paragraph" w:styleId="Heading2">
    <w:name w:val="heading 2"/>
    <w:basedOn w:val="Normal"/>
    <w:next w:val="Normal"/>
    <w:link w:val="Heading2Char"/>
    <w:autoRedefine/>
    <w:uiPriority w:val="99"/>
    <w:qFormat/>
    <w:rsid w:val="009B3E66"/>
    <w:pPr>
      <w:keepNext/>
      <w:keepLines/>
      <w:spacing w:before="480" w:after="240" w:line="240" w:lineRule="auto"/>
      <w:outlineLvl w:val="1"/>
    </w:pPr>
    <w:rPr>
      <w:bCs/>
      <w:color w:val="4F81BD"/>
      <w:sz w:val="28"/>
      <w:szCs w:val="26"/>
    </w:rPr>
  </w:style>
  <w:style w:type="paragraph" w:styleId="Heading3">
    <w:name w:val="heading 3"/>
    <w:aliases w:val="Heading 3 not indexed"/>
    <w:basedOn w:val="Heading2notindexed"/>
    <w:next w:val="Normal"/>
    <w:link w:val="Heading3Char"/>
    <w:uiPriority w:val="99"/>
    <w:qFormat/>
    <w:rsid w:val="00CD5E87"/>
    <w:pPr>
      <w:spacing w:before="360" w:after="120"/>
      <w:outlineLvl w:val="2"/>
    </w:pPr>
    <w:rPr>
      <w:color w:val="548DD4" w:themeColor="text2" w:themeTint="99"/>
      <w:sz w:val="24"/>
    </w:rPr>
  </w:style>
  <w:style w:type="paragraph" w:styleId="Heading4">
    <w:name w:val="heading 4"/>
    <w:basedOn w:val="Normal"/>
    <w:next w:val="Normal"/>
    <w:link w:val="Heading4Char"/>
    <w:uiPriority w:val="99"/>
    <w:qFormat/>
    <w:rsid w:val="003E6F94"/>
    <w:pPr>
      <w:keepNext/>
      <w:keepLines/>
      <w:tabs>
        <w:tab w:val="num" w:pos="0"/>
      </w:tab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3E6F94"/>
    <w:pPr>
      <w:keepNext/>
      <w:keepLines/>
      <w:tabs>
        <w:tab w:val="num" w:pos="0"/>
      </w:tabs>
      <w:spacing w:before="200" w:after="0"/>
      <w:outlineLvl w:val="4"/>
    </w:pPr>
    <w:rPr>
      <w:rFonts w:ascii="Cambria" w:hAnsi="Cambria" w:cs="Times New Roman"/>
      <w:color w:val="243F60"/>
    </w:rPr>
  </w:style>
  <w:style w:type="paragraph" w:styleId="Heading6">
    <w:name w:val="heading 6"/>
    <w:basedOn w:val="Normal"/>
    <w:next w:val="Normal"/>
    <w:link w:val="Heading6Char"/>
    <w:uiPriority w:val="99"/>
    <w:qFormat/>
    <w:rsid w:val="003E6F94"/>
    <w:pPr>
      <w:keepNext/>
      <w:keepLines/>
      <w:tabs>
        <w:tab w:val="num" w:pos="0"/>
      </w:tabs>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3E6F94"/>
    <w:pPr>
      <w:keepNext/>
      <w:keepLines/>
      <w:tabs>
        <w:tab w:val="num" w:pos="0"/>
      </w:tab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3E6F94"/>
    <w:pPr>
      <w:keepNext/>
      <w:keepLines/>
      <w:tabs>
        <w:tab w:val="num" w:pos="0"/>
      </w:tabs>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9"/>
    <w:qFormat/>
    <w:rsid w:val="003E6F94"/>
    <w:pPr>
      <w:keepNext/>
      <w:keepLines/>
      <w:tabs>
        <w:tab w:val="num" w:pos="0"/>
      </w:tab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1"/>
    <w:link w:val="Heading1"/>
    <w:uiPriority w:val="9"/>
    <w:rsid w:val="00764C60"/>
    <w:rPr>
      <w:rFonts w:asciiTheme="majorHAnsi" w:hAnsiTheme="majorHAnsi" w:cs="Calibri"/>
      <w:bCs/>
      <w:color w:val="365F91"/>
      <w:sz w:val="32"/>
      <w:szCs w:val="22"/>
    </w:rPr>
  </w:style>
  <w:style w:type="character" w:customStyle="1" w:styleId="Heading2Char">
    <w:name w:val="Heading 2 Char"/>
    <w:basedOn w:val="DefaultParagraphFont1"/>
    <w:link w:val="Heading2"/>
    <w:uiPriority w:val="99"/>
    <w:rsid w:val="009B3E66"/>
    <w:rPr>
      <w:rFonts w:asciiTheme="majorHAnsi" w:hAnsiTheme="majorHAnsi" w:cs="Calibri"/>
      <w:bCs/>
      <w:color w:val="4F81BD"/>
      <w:sz w:val="28"/>
      <w:szCs w:val="26"/>
    </w:rPr>
  </w:style>
  <w:style w:type="character" w:customStyle="1" w:styleId="Heading3Char">
    <w:name w:val="Heading 3 Char"/>
    <w:aliases w:val="Heading 3 not indexed Char"/>
    <w:basedOn w:val="DefaultParagraphFont1"/>
    <w:link w:val="Heading3"/>
    <w:uiPriority w:val="9"/>
    <w:rsid w:val="00CD5E87"/>
    <w:rPr>
      <w:rFonts w:asciiTheme="majorHAnsi" w:hAnsiTheme="majorHAnsi" w:cs="Calibri"/>
      <w:bCs/>
      <w:color w:val="548DD4" w:themeColor="text2" w:themeTint="99"/>
      <w:sz w:val="24"/>
      <w:szCs w:val="26"/>
    </w:rPr>
  </w:style>
  <w:style w:type="character" w:customStyle="1" w:styleId="Heading4Char">
    <w:name w:val="Heading 4 Char"/>
    <w:basedOn w:val="DefaultParagraphFont1"/>
    <w:link w:val="Heading4"/>
    <w:uiPriority w:val="99"/>
    <w:rsid w:val="003E6F94"/>
    <w:rPr>
      <w:rFonts w:ascii="Cambria" w:hAnsi="Cambria" w:cs="Times New Roman"/>
      <w:b/>
      <w:bCs/>
      <w:i/>
      <w:iCs/>
      <w:color w:val="4F81BD"/>
      <w:sz w:val="22"/>
      <w:lang w:eastAsia="en-US"/>
    </w:rPr>
  </w:style>
  <w:style w:type="character" w:customStyle="1" w:styleId="Heading5Char">
    <w:name w:val="Heading 5 Char"/>
    <w:basedOn w:val="DefaultParagraphFont1"/>
    <w:link w:val="Heading5"/>
    <w:uiPriority w:val="99"/>
    <w:rsid w:val="003E6F94"/>
    <w:rPr>
      <w:rFonts w:ascii="Cambria" w:hAnsi="Cambria" w:cs="Times New Roman"/>
      <w:color w:val="243F60"/>
      <w:sz w:val="22"/>
      <w:lang w:eastAsia="en-US"/>
    </w:rPr>
  </w:style>
  <w:style w:type="character" w:customStyle="1" w:styleId="Heading6Char">
    <w:name w:val="Heading 6 Char"/>
    <w:basedOn w:val="DefaultParagraphFont1"/>
    <w:link w:val="Heading6"/>
    <w:uiPriority w:val="99"/>
    <w:rsid w:val="003E6F94"/>
    <w:rPr>
      <w:rFonts w:ascii="Cambria" w:hAnsi="Cambria" w:cs="Times New Roman"/>
      <w:i/>
      <w:iCs/>
      <w:color w:val="243F60"/>
      <w:sz w:val="22"/>
      <w:lang w:eastAsia="en-US"/>
    </w:rPr>
  </w:style>
  <w:style w:type="character" w:customStyle="1" w:styleId="Heading7Char">
    <w:name w:val="Heading 7 Char"/>
    <w:basedOn w:val="DefaultParagraphFont1"/>
    <w:link w:val="Heading7"/>
    <w:uiPriority w:val="99"/>
    <w:rsid w:val="003E6F94"/>
    <w:rPr>
      <w:rFonts w:ascii="Cambria" w:hAnsi="Cambria" w:cs="Times New Roman"/>
      <w:i/>
      <w:iCs/>
      <w:color w:val="404040"/>
      <w:sz w:val="22"/>
      <w:lang w:eastAsia="en-US"/>
    </w:rPr>
  </w:style>
  <w:style w:type="character" w:customStyle="1" w:styleId="Heading8Char">
    <w:name w:val="Heading 8 Char"/>
    <w:basedOn w:val="DefaultParagraphFont1"/>
    <w:link w:val="Heading8"/>
    <w:uiPriority w:val="99"/>
    <w:rsid w:val="003E6F94"/>
    <w:rPr>
      <w:rFonts w:ascii="Cambria" w:hAnsi="Cambria" w:cs="Times New Roman"/>
      <w:color w:val="4F81BD"/>
      <w:lang w:eastAsia="en-US"/>
    </w:rPr>
  </w:style>
  <w:style w:type="character" w:customStyle="1" w:styleId="Heading9Char">
    <w:name w:val="Heading 9 Char"/>
    <w:basedOn w:val="DefaultParagraphFont1"/>
    <w:link w:val="Heading9"/>
    <w:uiPriority w:val="99"/>
    <w:rsid w:val="003E6F94"/>
    <w:rPr>
      <w:rFonts w:ascii="Cambria" w:hAnsi="Cambria" w:cs="Times New Roman"/>
      <w:i/>
      <w:iCs/>
      <w:color w:val="404040"/>
      <w:lang w:eastAsia="en-US"/>
    </w:rPr>
  </w:style>
  <w:style w:type="character" w:customStyle="1" w:styleId="WW8Num2z0">
    <w:name w:val="WW8Num2z0"/>
    <w:uiPriority w:val="99"/>
    <w:rsid w:val="003E6F94"/>
    <w:rPr>
      <w:rFonts w:ascii="Symbol" w:hAnsi="Symbol"/>
    </w:rPr>
  </w:style>
  <w:style w:type="character" w:customStyle="1" w:styleId="WW8Num2z1">
    <w:name w:val="WW8Num2z1"/>
    <w:uiPriority w:val="99"/>
    <w:rsid w:val="003E6F94"/>
    <w:rPr>
      <w:rFonts w:ascii="Courier New" w:hAnsi="Courier New"/>
    </w:rPr>
  </w:style>
  <w:style w:type="character" w:customStyle="1" w:styleId="WW8Num2z2">
    <w:name w:val="WW8Num2z2"/>
    <w:uiPriority w:val="99"/>
    <w:rsid w:val="003E6F94"/>
    <w:rPr>
      <w:rFonts w:ascii="Wingdings" w:hAnsi="Wingdings"/>
    </w:rPr>
  </w:style>
  <w:style w:type="character" w:customStyle="1" w:styleId="WW8Num3z0">
    <w:name w:val="WW8Num3z0"/>
    <w:uiPriority w:val="99"/>
    <w:rsid w:val="003E6F94"/>
    <w:rPr>
      <w:rFonts w:ascii="Symbol" w:hAnsi="Symbol"/>
    </w:rPr>
  </w:style>
  <w:style w:type="character" w:customStyle="1" w:styleId="WW8Num3z1">
    <w:name w:val="WW8Num3z1"/>
    <w:uiPriority w:val="99"/>
    <w:rsid w:val="003E6F94"/>
    <w:rPr>
      <w:rFonts w:ascii="Courier New" w:hAnsi="Courier New"/>
    </w:rPr>
  </w:style>
  <w:style w:type="character" w:customStyle="1" w:styleId="WW8Num3z2">
    <w:name w:val="WW8Num3z2"/>
    <w:uiPriority w:val="99"/>
    <w:rsid w:val="003E6F94"/>
    <w:rPr>
      <w:rFonts w:ascii="Wingdings" w:hAnsi="Wingdings"/>
    </w:rPr>
  </w:style>
  <w:style w:type="character" w:customStyle="1" w:styleId="WW8Num6z0">
    <w:name w:val="WW8Num6z0"/>
    <w:uiPriority w:val="99"/>
    <w:rsid w:val="003E6F94"/>
    <w:rPr>
      <w:rFonts w:ascii="Symbol" w:hAnsi="Symbol"/>
    </w:rPr>
  </w:style>
  <w:style w:type="character" w:customStyle="1" w:styleId="WW8Num6z1">
    <w:name w:val="WW8Num6z1"/>
    <w:uiPriority w:val="99"/>
    <w:rsid w:val="003E6F94"/>
    <w:rPr>
      <w:rFonts w:ascii="Courier New" w:hAnsi="Courier New"/>
    </w:rPr>
  </w:style>
  <w:style w:type="character" w:customStyle="1" w:styleId="WW8Num6z2">
    <w:name w:val="WW8Num6z2"/>
    <w:uiPriority w:val="99"/>
    <w:rsid w:val="003E6F94"/>
    <w:rPr>
      <w:rFonts w:ascii="Wingdings" w:hAnsi="Wingdings"/>
    </w:rPr>
  </w:style>
  <w:style w:type="character" w:customStyle="1" w:styleId="WW8Num8z0">
    <w:name w:val="WW8Num8z0"/>
    <w:uiPriority w:val="99"/>
    <w:rsid w:val="003E6F94"/>
    <w:rPr>
      <w:rFonts w:ascii="Symbol" w:hAnsi="Symbol"/>
    </w:rPr>
  </w:style>
  <w:style w:type="character" w:customStyle="1" w:styleId="WW8Num8z1">
    <w:name w:val="WW8Num8z1"/>
    <w:uiPriority w:val="99"/>
    <w:rsid w:val="003E6F94"/>
    <w:rPr>
      <w:rFonts w:ascii="Courier New" w:hAnsi="Courier New"/>
    </w:rPr>
  </w:style>
  <w:style w:type="character" w:customStyle="1" w:styleId="WW8Num8z2">
    <w:name w:val="WW8Num8z2"/>
    <w:uiPriority w:val="99"/>
    <w:rsid w:val="003E6F94"/>
    <w:rPr>
      <w:rFonts w:ascii="Wingdings" w:hAnsi="Wingdings"/>
    </w:rPr>
  </w:style>
  <w:style w:type="character" w:customStyle="1" w:styleId="WW8Num9z0">
    <w:name w:val="WW8Num9z0"/>
    <w:uiPriority w:val="99"/>
    <w:rsid w:val="003E6F94"/>
    <w:rPr>
      <w:rFonts w:ascii="Symbol" w:hAnsi="Symbol"/>
    </w:rPr>
  </w:style>
  <w:style w:type="character" w:customStyle="1" w:styleId="WW8Num9z1">
    <w:name w:val="WW8Num9z1"/>
    <w:uiPriority w:val="99"/>
    <w:rsid w:val="003E6F94"/>
    <w:rPr>
      <w:rFonts w:ascii="Courier New" w:hAnsi="Courier New"/>
    </w:rPr>
  </w:style>
  <w:style w:type="character" w:customStyle="1" w:styleId="WW8Num9z2">
    <w:name w:val="WW8Num9z2"/>
    <w:uiPriority w:val="99"/>
    <w:rsid w:val="003E6F94"/>
    <w:rPr>
      <w:rFonts w:ascii="Wingdings" w:hAnsi="Wingdings"/>
    </w:rPr>
  </w:style>
  <w:style w:type="character" w:customStyle="1" w:styleId="WW8Num13z0">
    <w:name w:val="WW8Num13z0"/>
    <w:uiPriority w:val="99"/>
    <w:rsid w:val="003E6F94"/>
    <w:rPr>
      <w:rFonts w:ascii="Symbol" w:hAnsi="Symbol"/>
    </w:rPr>
  </w:style>
  <w:style w:type="character" w:customStyle="1" w:styleId="WW8Num13z1">
    <w:name w:val="WW8Num13z1"/>
    <w:uiPriority w:val="99"/>
    <w:rsid w:val="003E6F94"/>
    <w:rPr>
      <w:rFonts w:ascii="Courier New" w:hAnsi="Courier New"/>
    </w:rPr>
  </w:style>
  <w:style w:type="character" w:customStyle="1" w:styleId="WW8Num13z2">
    <w:name w:val="WW8Num13z2"/>
    <w:uiPriority w:val="99"/>
    <w:rsid w:val="003E6F94"/>
    <w:rPr>
      <w:rFonts w:ascii="Wingdings" w:hAnsi="Wingdings"/>
    </w:rPr>
  </w:style>
  <w:style w:type="character" w:customStyle="1" w:styleId="WW8Num14z0">
    <w:name w:val="WW8Num14z0"/>
    <w:uiPriority w:val="99"/>
    <w:rsid w:val="003E6F94"/>
    <w:rPr>
      <w:rFonts w:ascii="Symbol" w:hAnsi="Symbol"/>
    </w:rPr>
  </w:style>
  <w:style w:type="character" w:customStyle="1" w:styleId="WW8Num14z1">
    <w:name w:val="WW8Num14z1"/>
    <w:uiPriority w:val="99"/>
    <w:rsid w:val="003E6F94"/>
    <w:rPr>
      <w:rFonts w:ascii="Courier New" w:hAnsi="Courier New"/>
    </w:rPr>
  </w:style>
  <w:style w:type="character" w:customStyle="1" w:styleId="WW8Num14z2">
    <w:name w:val="WW8Num14z2"/>
    <w:uiPriority w:val="99"/>
    <w:rsid w:val="003E6F94"/>
    <w:rPr>
      <w:rFonts w:ascii="Wingdings" w:hAnsi="Wingdings"/>
    </w:rPr>
  </w:style>
  <w:style w:type="character" w:customStyle="1" w:styleId="WW8Num15z0">
    <w:name w:val="WW8Num15z0"/>
    <w:uiPriority w:val="99"/>
    <w:rsid w:val="003E6F94"/>
    <w:rPr>
      <w:rFonts w:ascii="Symbol" w:hAnsi="Symbol"/>
    </w:rPr>
  </w:style>
  <w:style w:type="character" w:customStyle="1" w:styleId="WW8Num18z0">
    <w:name w:val="WW8Num18z0"/>
    <w:uiPriority w:val="99"/>
    <w:rsid w:val="003E6F94"/>
    <w:rPr>
      <w:rFonts w:ascii="Symbol" w:hAnsi="Symbol"/>
    </w:rPr>
  </w:style>
  <w:style w:type="character" w:customStyle="1" w:styleId="WW8Num18z1">
    <w:name w:val="WW8Num18z1"/>
    <w:uiPriority w:val="99"/>
    <w:rsid w:val="003E6F94"/>
    <w:rPr>
      <w:rFonts w:ascii="Courier New" w:hAnsi="Courier New"/>
    </w:rPr>
  </w:style>
  <w:style w:type="character" w:customStyle="1" w:styleId="WW8Num18z2">
    <w:name w:val="WW8Num18z2"/>
    <w:uiPriority w:val="99"/>
    <w:rsid w:val="003E6F94"/>
    <w:rPr>
      <w:rFonts w:ascii="Wingdings" w:hAnsi="Wingdings"/>
    </w:rPr>
  </w:style>
  <w:style w:type="character" w:customStyle="1" w:styleId="WW8Num19z0">
    <w:name w:val="WW8Num19z0"/>
    <w:uiPriority w:val="99"/>
    <w:rsid w:val="003E6F94"/>
    <w:rPr>
      <w:rFonts w:ascii="Symbol" w:hAnsi="Symbol"/>
    </w:rPr>
  </w:style>
  <w:style w:type="character" w:customStyle="1" w:styleId="WW8Num19z1">
    <w:name w:val="WW8Num19z1"/>
    <w:uiPriority w:val="99"/>
    <w:rsid w:val="003E6F94"/>
    <w:rPr>
      <w:rFonts w:ascii="Courier New" w:hAnsi="Courier New"/>
    </w:rPr>
  </w:style>
  <w:style w:type="character" w:customStyle="1" w:styleId="WW8Num19z2">
    <w:name w:val="WW8Num19z2"/>
    <w:uiPriority w:val="99"/>
    <w:rsid w:val="003E6F94"/>
    <w:rPr>
      <w:rFonts w:ascii="Wingdings" w:hAnsi="Wingdings"/>
    </w:rPr>
  </w:style>
  <w:style w:type="character" w:customStyle="1" w:styleId="WW8Num21z0">
    <w:name w:val="WW8Num21z0"/>
    <w:uiPriority w:val="99"/>
    <w:rsid w:val="003E6F94"/>
    <w:rPr>
      <w:rFonts w:ascii="Symbol" w:hAnsi="Symbol"/>
    </w:rPr>
  </w:style>
  <w:style w:type="character" w:customStyle="1" w:styleId="WW8Num21z1">
    <w:name w:val="WW8Num21z1"/>
    <w:uiPriority w:val="99"/>
    <w:rsid w:val="003E6F94"/>
    <w:rPr>
      <w:rFonts w:ascii="Courier New" w:hAnsi="Courier New"/>
    </w:rPr>
  </w:style>
  <w:style w:type="character" w:customStyle="1" w:styleId="WW8Num21z2">
    <w:name w:val="WW8Num21z2"/>
    <w:uiPriority w:val="99"/>
    <w:rsid w:val="003E6F94"/>
    <w:rPr>
      <w:rFonts w:ascii="Wingdings" w:hAnsi="Wingdings"/>
    </w:rPr>
  </w:style>
  <w:style w:type="character" w:customStyle="1" w:styleId="WW8Num22z0">
    <w:name w:val="WW8Num22z0"/>
    <w:uiPriority w:val="99"/>
    <w:rsid w:val="003E6F94"/>
    <w:rPr>
      <w:rFonts w:ascii="Symbol" w:hAnsi="Symbol"/>
    </w:rPr>
  </w:style>
  <w:style w:type="character" w:customStyle="1" w:styleId="WW8Num22z1">
    <w:name w:val="WW8Num22z1"/>
    <w:uiPriority w:val="99"/>
    <w:rsid w:val="003E6F94"/>
    <w:rPr>
      <w:rFonts w:ascii="Courier New" w:hAnsi="Courier New"/>
    </w:rPr>
  </w:style>
  <w:style w:type="character" w:customStyle="1" w:styleId="WW8Num22z2">
    <w:name w:val="WW8Num22z2"/>
    <w:uiPriority w:val="99"/>
    <w:rsid w:val="003E6F94"/>
    <w:rPr>
      <w:rFonts w:ascii="Wingdings" w:hAnsi="Wingdings"/>
    </w:rPr>
  </w:style>
  <w:style w:type="character" w:customStyle="1" w:styleId="WW8Num23z0">
    <w:name w:val="WW8Num23z0"/>
    <w:uiPriority w:val="99"/>
    <w:rsid w:val="003E6F94"/>
    <w:rPr>
      <w:rFonts w:ascii="Symbol" w:hAnsi="Symbol"/>
    </w:rPr>
  </w:style>
  <w:style w:type="character" w:customStyle="1" w:styleId="WW8Num23z1">
    <w:name w:val="WW8Num23z1"/>
    <w:uiPriority w:val="99"/>
    <w:rsid w:val="003E6F94"/>
    <w:rPr>
      <w:rFonts w:ascii="Courier New" w:hAnsi="Courier New"/>
    </w:rPr>
  </w:style>
  <w:style w:type="character" w:customStyle="1" w:styleId="WW8Num23z2">
    <w:name w:val="WW8Num23z2"/>
    <w:uiPriority w:val="99"/>
    <w:rsid w:val="003E6F94"/>
    <w:rPr>
      <w:rFonts w:ascii="Wingdings" w:hAnsi="Wingdings"/>
    </w:rPr>
  </w:style>
  <w:style w:type="character" w:customStyle="1" w:styleId="WW8Num23z3">
    <w:name w:val="WW8Num23z3"/>
    <w:uiPriority w:val="99"/>
    <w:rsid w:val="003E6F94"/>
    <w:rPr>
      <w:rFonts w:ascii="Symbol" w:hAnsi="Symbol"/>
    </w:rPr>
  </w:style>
  <w:style w:type="character" w:customStyle="1" w:styleId="WW8Num24z0">
    <w:name w:val="WW8Num24z0"/>
    <w:uiPriority w:val="99"/>
    <w:rsid w:val="003E6F94"/>
    <w:rPr>
      <w:rFonts w:ascii="Symbol" w:hAnsi="Symbol"/>
    </w:rPr>
  </w:style>
  <w:style w:type="character" w:customStyle="1" w:styleId="WW8Num24z2">
    <w:name w:val="WW8Num24z2"/>
    <w:uiPriority w:val="99"/>
    <w:rsid w:val="003E6F94"/>
    <w:rPr>
      <w:rFonts w:ascii="Wingdings" w:hAnsi="Wingdings"/>
    </w:rPr>
  </w:style>
  <w:style w:type="character" w:customStyle="1" w:styleId="WW8Num24z4">
    <w:name w:val="WW8Num24z4"/>
    <w:uiPriority w:val="99"/>
    <w:rsid w:val="003E6F94"/>
    <w:rPr>
      <w:rFonts w:ascii="Courier New" w:hAnsi="Courier New"/>
    </w:rPr>
  </w:style>
  <w:style w:type="character" w:customStyle="1" w:styleId="WW8Num26z0">
    <w:name w:val="WW8Num26z0"/>
    <w:uiPriority w:val="99"/>
    <w:rsid w:val="003E6F94"/>
    <w:rPr>
      <w:rFonts w:ascii="Symbol" w:hAnsi="Symbol"/>
    </w:rPr>
  </w:style>
  <w:style w:type="character" w:customStyle="1" w:styleId="WW8Num26z1">
    <w:name w:val="WW8Num26z1"/>
    <w:uiPriority w:val="99"/>
    <w:rsid w:val="003E6F94"/>
    <w:rPr>
      <w:rFonts w:ascii="Courier New" w:hAnsi="Courier New"/>
    </w:rPr>
  </w:style>
  <w:style w:type="character" w:customStyle="1" w:styleId="WW8Num26z2">
    <w:name w:val="WW8Num26z2"/>
    <w:uiPriority w:val="99"/>
    <w:rsid w:val="003E6F94"/>
    <w:rPr>
      <w:rFonts w:ascii="Wingdings" w:hAnsi="Wingdings"/>
    </w:rPr>
  </w:style>
  <w:style w:type="character" w:customStyle="1" w:styleId="WW8Num27z0">
    <w:name w:val="WW8Num27z0"/>
    <w:uiPriority w:val="99"/>
    <w:rsid w:val="003E6F94"/>
    <w:rPr>
      <w:rFonts w:ascii="Symbol" w:hAnsi="Symbol"/>
    </w:rPr>
  </w:style>
  <w:style w:type="character" w:customStyle="1" w:styleId="WW8Num27z1">
    <w:name w:val="WW8Num27z1"/>
    <w:uiPriority w:val="99"/>
    <w:rsid w:val="003E6F94"/>
    <w:rPr>
      <w:rFonts w:ascii="Courier New" w:hAnsi="Courier New"/>
    </w:rPr>
  </w:style>
  <w:style w:type="character" w:customStyle="1" w:styleId="WW8Num27z2">
    <w:name w:val="WW8Num27z2"/>
    <w:uiPriority w:val="99"/>
    <w:rsid w:val="003E6F94"/>
    <w:rPr>
      <w:rFonts w:ascii="Wingdings" w:hAnsi="Wingdings"/>
    </w:rPr>
  </w:style>
  <w:style w:type="character" w:customStyle="1" w:styleId="DefaultParagraphFont1">
    <w:name w:val="Default Paragraph Font1"/>
    <w:uiPriority w:val="99"/>
    <w:rsid w:val="003E6F94"/>
  </w:style>
  <w:style w:type="character" w:customStyle="1" w:styleId="TitleChar">
    <w:name w:val="Title Char"/>
    <w:basedOn w:val="DefaultParagraphFont1"/>
    <w:rsid w:val="003E6F94"/>
    <w:rPr>
      <w:rFonts w:ascii="Myriad Pro SemiCond" w:hAnsi="Myriad Pro SemiCond" w:cs="Times New Roman"/>
      <w:caps/>
      <w:color w:val="17365D"/>
      <w:spacing w:val="5"/>
      <w:kern w:val="1"/>
      <w:sz w:val="52"/>
      <w:lang w:eastAsia="en-US"/>
    </w:rPr>
  </w:style>
  <w:style w:type="character" w:customStyle="1" w:styleId="SubtitleChar">
    <w:name w:val="Subtitle Char"/>
    <w:basedOn w:val="DefaultParagraphFont1"/>
    <w:uiPriority w:val="11"/>
    <w:rsid w:val="003E6F94"/>
    <w:rPr>
      <w:rFonts w:ascii="Myriad Pro SemiCond" w:hAnsi="Myriad Pro SemiCond" w:cs="Times New Roman"/>
      <w:i/>
      <w:iCs/>
      <w:color w:val="4F81BD"/>
      <w:spacing w:val="15"/>
      <w:sz w:val="24"/>
      <w:lang w:eastAsia="en-US"/>
    </w:rPr>
  </w:style>
  <w:style w:type="character" w:styleId="Strong">
    <w:name w:val="Strong"/>
    <w:basedOn w:val="DefaultParagraphFont1"/>
    <w:uiPriority w:val="22"/>
    <w:qFormat/>
    <w:rsid w:val="003E6F94"/>
    <w:rPr>
      <w:rFonts w:cs="Times New Roman"/>
      <w:b/>
      <w:bCs/>
    </w:rPr>
  </w:style>
  <w:style w:type="character" w:styleId="Emphasis">
    <w:name w:val="Emphasis"/>
    <w:basedOn w:val="DefaultParagraphFont1"/>
    <w:uiPriority w:val="20"/>
    <w:qFormat/>
    <w:rsid w:val="003E6F94"/>
    <w:rPr>
      <w:rFonts w:cs="Times New Roman"/>
      <w:i/>
      <w:iCs/>
    </w:rPr>
  </w:style>
  <w:style w:type="character" w:customStyle="1" w:styleId="QuoteChar">
    <w:name w:val="Quote Char"/>
    <w:basedOn w:val="DefaultParagraphFont1"/>
    <w:uiPriority w:val="99"/>
    <w:rsid w:val="003E6F94"/>
    <w:rPr>
      <w:rFonts w:ascii="Myriad Pro Light SemiCond" w:hAnsi="Myriad Pro Light SemiCond" w:cs="Times New Roman"/>
      <w:i/>
      <w:iCs/>
      <w:color w:val="000000"/>
      <w:sz w:val="22"/>
      <w:lang w:eastAsia="en-US"/>
    </w:rPr>
  </w:style>
  <w:style w:type="character" w:customStyle="1" w:styleId="IntenseQuoteChar">
    <w:name w:val="Intense Quote Char"/>
    <w:basedOn w:val="DefaultParagraphFont1"/>
    <w:uiPriority w:val="99"/>
    <w:rsid w:val="003E6F94"/>
    <w:rPr>
      <w:rFonts w:cs="Times New Roman"/>
      <w:b/>
      <w:bCs/>
      <w:i/>
      <w:iCs/>
      <w:color w:val="4F81BD"/>
    </w:rPr>
  </w:style>
  <w:style w:type="character" w:styleId="SubtleEmphasis">
    <w:name w:val="Subtle Emphasis"/>
    <w:uiPriority w:val="19"/>
    <w:qFormat/>
    <w:rsid w:val="00F2215C"/>
    <w:rPr>
      <w:rFonts w:ascii="Calibri" w:hAnsi="Calibri"/>
      <w:u w:val="single"/>
      <w:lang w:val="en-GB" w:eastAsia="nb-NO" w:bidi="en-US"/>
    </w:rPr>
  </w:style>
  <w:style w:type="character" w:styleId="IntenseEmphasis">
    <w:name w:val="Intense Emphasis"/>
    <w:basedOn w:val="DefaultParagraphFont1"/>
    <w:uiPriority w:val="21"/>
    <w:qFormat/>
    <w:rsid w:val="003E6F94"/>
    <w:rPr>
      <w:rFonts w:cs="Times New Roman"/>
      <w:b/>
      <w:bCs/>
      <w:i/>
      <w:iCs/>
      <w:color w:val="4F81BD"/>
    </w:rPr>
  </w:style>
  <w:style w:type="character" w:styleId="SubtleReference">
    <w:name w:val="Subtle Reference"/>
    <w:basedOn w:val="DefaultParagraphFont1"/>
    <w:uiPriority w:val="31"/>
    <w:qFormat/>
    <w:rsid w:val="003E6F94"/>
    <w:rPr>
      <w:rFonts w:cs="Times New Roman"/>
      <w:smallCaps/>
      <w:color w:val="C0504D"/>
      <w:u w:val="single"/>
    </w:rPr>
  </w:style>
  <w:style w:type="character" w:styleId="IntenseReference">
    <w:name w:val="Intense Reference"/>
    <w:basedOn w:val="DefaultParagraphFont1"/>
    <w:uiPriority w:val="32"/>
    <w:qFormat/>
    <w:rsid w:val="003E6F94"/>
    <w:rPr>
      <w:rFonts w:cs="Times New Roman"/>
      <w:b/>
      <w:bCs/>
      <w:smallCaps/>
      <w:color w:val="C0504D"/>
      <w:spacing w:val="5"/>
      <w:u w:val="single"/>
    </w:rPr>
  </w:style>
  <w:style w:type="character" w:styleId="BookTitle">
    <w:name w:val="Book Title"/>
    <w:basedOn w:val="DefaultParagraphFont1"/>
    <w:uiPriority w:val="33"/>
    <w:qFormat/>
    <w:rsid w:val="003E6F94"/>
    <w:rPr>
      <w:rFonts w:cs="Times New Roman"/>
      <w:b/>
      <w:bCs/>
      <w:smallCaps/>
      <w:spacing w:val="5"/>
    </w:rPr>
  </w:style>
  <w:style w:type="character" w:customStyle="1" w:styleId="FootnoteTextChar">
    <w:name w:val="Footnote Text Char"/>
    <w:basedOn w:val="DefaultParagraphFont1"/>
    <w:uiPriority w:val="99"/>
    <w:rsid w:val="003E6F94"/>
    <w:rPr>
      <w:rFonts w:cs="Times New Roman"/>
      <w:lang w:val="en-US" w:eastAsia="en-US"/>
    </w:rPr>
  </w:style>
  <w:style w:type="character" w:customStyle="1" w:styleId="Funotenzeichen1">
    <w:name w:val="Fußnotenzeichen1"/>
    <w:basedOn w:val="DefaultParagraphFont1"/>
    <w:uiPriority w:val="99"/>
    <w:rsid w:val="003E6F94"/>
    <w:rPr>
      <w:rFonts w:cs="Times New Roman"/>
      <w:vertAlign w:val="superscript"/>
    </w:rPr>
  </w:style>
  <w:style w:type="character" w:customStyle="1" w:styleId="NoSpacingChar">
    <w:name w:val="No Spacing Char"/>
    <w:basedOn w:val="DefaultParagraphFont1"/>
    <w:uiPriority w:val="99"/>
    <w:rsid w:val="003E6F94"/>
    <w:rPr>
      <w:rFonts w:cs="Times New Roman"/>
      <w:sz w:val="22"/>
      <w:lang w:val="en-US" w:eastAsia="en-US"/>
    </w:rPr>
  </w:style>
  <w:style w:type="character" w:customStyle="1" w:styleId="BalloonTextChar">
    <w:name w:val="Balloon Text Char"/>
    <w:basedOn w:val="DefaultParagraphFont1"/>
    <w:uiPriority w:val="99"/>
    <w:rsid w:val="003E6F94"/>
    <w:rPr>
      <w:rFonts w:ascii="Tahoma" w:hAnsi="Tahoma" w:cs="Tahoma"/>
      <w:sz w:val="16"/>
      <w:lang w:eastAsia="en-US"/>
    </w:rPr>
  </w:style>
  <w:style w:type="character" w:customStyle="1" w:styleId="CommentReference1">
    <w:name w:val="Comment Reference1"/>
    <w:basedOn w:val="DefaultParagraphFont1"/>
    <w:uiPriority w:val="99"/>
    <w:rsid w:val="003E6F94"/>
    <w:rPr>
      <w:rFonts w:cs="Times New Roman"/>
      <w:sz w:val="16"/>
    </w:rPr>
  </w:style>
  <w:style w:type="character" w:styleId="Hyperlink">
    <w:name w:val="Hyperlink"/>
    <w:basedOn w:val="DefaultParagraphFont1"/>
    <w:uiPriority w:val="99"/>
    <w:rsid w:val="003E6F94"/>
    <w:rPr>
      <w:rFonts w:cs="Times New Roman"/>
      <w:color w:val="0000FF"/>
      <w:u w:val="single"/>
    </w:rPr>
  </w:style>
  <w:style w:type="character" w:customStyle="1" w:styleId="HeaderChar">
    <w:name w:val="Header Char"/>
    <w:basedOn w:val="DefaultParagraphFont1"/>
    <w:rsid w:val="003E6F94"/>
    <w:rPr>
      <w:rFonts w:ascii="Myriad Pro SemiCond" w:hAnsi="Myriad Pro SemiCond" w:cs="Times New Roman"/>
      <w:sz w:val="22"/>
      <w:lang w:val="en-GB" w:eastAsia="en-US"/>
    </w:rPr>
  </w:style>
  <w:style w:type="character" w:customStyle="1" w:styleId="apple-style-span">
    <w:name w:val="apple-style-span"/>
    <w:basedOn w:val="DefaultParagraphFont1"/>
    <w:uiPriority w:val="99"/>
    <w:rsid w:val="003E6F94"/>
    <w:rPr>
      <w:rFonts w:cs="Times New Roman"/>
    </w:rPr>
  </w:style>
  <w:style w:type="paragraph" w:customStyle="1" w:styleId="berschrift">
    <w:name w:val="Überschrift"/>
    <w:basedOn w:val="Normal"/>
    <w:next w:val="BodyText"/>
    <w:uiPriority w:val="99"/>
    <w:rsid w:val="003E6F94"/>
    <w:pPr>
      <w:keepNext/>
      <w:spacing w:before="240"/>
    </w:pPr>
    <w:rPr>
      <w:rFonts w:ascii="Arial" w:eastAsia="MS Mincho" w:hAnsi="Arial" w:cs="Tahoma"/>
      <w:sz w:val="28"/>
      <w:szCs w:val="28"/>
    </w:rPr>
  </w:style>
  <w:style w:type="paragraph" w:styleId="BodyText">
    <w:name w:val="Body Text"/>
    <w:basedOn w:val="Normal"/>
    <w:link w:val="BodyTextChar"/>
    <w:uiPriority w:val="99"/>
    <w:rsid w:val="003E6F94"/>
  </w:style>
  <w:style w:type="character" w:customStyle="1" w:styleId="BodyTextChar">
    <w:name w:val="Body Text Char"/>
    <w:basedOn w:val="DefaultParagraphFont"/>
    <w:link w:val="BodyText"/>
    <w:uiPriority w:val="99"/>
    <w:rsid w:val="000044D8"/>
    <w:rPr>
      <w:rFonts w:ascii="Myriad Pro SemiCond" w:hAnsi="Myriad Pro SemiCond" w:cs="Calibri"/>
      <w:sz w:val="22"/>
      <w:szCs w:val="22"/>
    </w:rPr>
  </w:style>
  <w:style w:type="paragraph" w:styleId="List">
    <w:name w:val="List"/>
    <w:basedOn w:val="BodyText"/>
    <w:uiPriority w:val="99"/>
    <w:rsid w:val="003E6F94"/>
    <w:rPr>
      <w:rFonts w:cs="Tahoma"/>
    </w:rPr>
  </w:style>
  <w:style w:type="paragraph" w:customStyle="1" w:styleId="Beschriftung1">
    <w:name w:val="Beschriftung1"/>
    <w:basedOn w:val="Normal"/>
    <w:uiPriority w:val="99"/>
    <w:rsid w:val="003E6F94"/>
    <w:pPr>
      <w:suppressLineNumbers/>
      <w:spacing w:before="120"/>
    </w:pPr>
    <w:rPr>
      <w:rFonts w:cs="Tahoma"/>
      <w:i/>
      <w:iCs/>
      <w:sz w:val="24"/>
      <w:szCs w:val="24"/>
    </w:rPr>
  </w:style>
  <w:style w:type="paragraph" w:customStyle="1" w:styleId="Verzeichnis">
    <w:name w:val="Verzeichnis"/>
    <w:basedOn w:val="Normal"/>
    <w:uiPriority w:val="99"/>
    <w:rsid w:val="003E6F94"/>
    <w:pPr>
      <w:suppressLineNumbers/>
    </w:pPr>
    <w:rPr>
      <w:rFonts w:cs="Tahoma"/>
    </w:rPr>
  </w:style>
  <w:style w:type="paragraph" w:styleId="Header">
    <w:name w:val="header"/>
    <w:basedOn w:val="Normal"/>
    <w:link w:val="HeaderChar1"/>
    <w:rsid w:val="003E6F94"/>
    <w:pPr>
      <w:tabs>
        <w:tab w:val="center" w:pos="4320"/>
        <w:tab w:val="right" w:pos="8640"/>
      </w:tabs>
    </w:pPr>
  </w:style>
  <w:style w:type="character" w:customStyle="1" w:styleId="HeaderChar1">
    <w:name w:val="Header Char1"/>
    <w:basedOn w:val="DefaultParagraphFont"/>
    <w:link w:val="Header"/>
    <w:rsid w:val="000044D8"/>
    <w:rPr>
      <w:rFonts w:ascii="Myriad Pro SemiCond" w:hAnsi="Myriad Pro SemiCond" w:cs="Calibri"/>
      <w:sz w:val="22"/>
      <w:szCs w:val="22"/>
    </w:rPr>
  </w:style>
  <w:style w:type="paragraph" w:styleId="Footer">
    <w:name w:val="footer"/>
    <w:basedOn w:val="Normal"/>
    <w:link w:val="FooterChar"/>
    <w:rsid w:val="003E6F94"/>
    <w:pPr>
      <w:tabs>
        <w:tab w:val="center" w:pos="4320"/>
        <w:tab w:val="right" w:pos="8640"/>
      </w:tabs>
    </w:pPr>
  </w:style>
  <w:style w:type="character" w:customStyle="1" w:styleId="FooterChar">
    <w:name w:val="Footer Char"/>
    <w:basedOn w:val="DefaultParagraphFont"/>
    <w:link w:val="Footer"/>
    <w:rsid w:val="000044D8"/>
    <w:rPr>
      <w:rFonts w:ascii="Myriad Pro SemiCond" w:hAnsi="Myriad Pro SemiCond" w:cs="Calibri"/>
      <w:sz w:val="22"/>
      <w:szCs w:val="22"/>
    </w:rPr>
  </w:style>
  <w:style w:type="paragraph" w:customStyle="1" w:styleId="Caption1">
    <w:name w:val="Caption1"/>
    <w:basedOn w:val="Normal"/>
    <w:next w:val="Normal"/>
    <w:uiPriority w:val="99"/>
    <w:rsid w:val="003E6F94"/>
    <w:pPr>
      <w:spacing w:line="240" w:lineRule="auto"/>
    </w:pPr>
    <w:rPr>
      <w:b/>
      <w:bCs/>
      <w:color w:val="4F81BD"/>
      <w:sz w:val="18"/>
      <w:szCs w:val="18"/>
    </w:rPr>
  </w:style>
  <w:style w:type="paragraph" w:styleId="Title">
    <w:name w:val="Title"/>
    <w:basedOn w:val="Normal"/>
    <w:next w:val="Normal"/>
    <w:link w:val="TitleChar1"/>
    <w:qFormat/>
    <w:rsid w:val="00A65719"/>
    <w:pPr>
      <w:spacing w:after="300" w:line="240" w:lineRule="auto"/>
    </w:pPr>
    <w:rPr>
      <w:color w:val="000000" w:themeColor="text1"/>
      <w:spacing w:val="5"/>
      <w:kern w:val="52"/>
      <w:sz w:val="96"/>
      <w:szCs w:val="52"/>
    </w:rPr>
  </w:style>
  <w:style w:type="character" w:customStyle="1" w:styleId="TitleChar1">
    <w:name w:val="Title Char1"/>
    <w:basedOn w:val="DefaultParagraphFont"/>
    <w:link w:val="Title"/>
    <w:rsid w:val="00A65719"/>
    <w:rPr>
      <w:rFonts w:asciiTheme="majorHAnsi" w:hAnsiTheme="majorHAnsi" w:cs="Calibri"/>
      <w:color w:val="000000" w:themeColor="text1"/>
      <w:spacing w:val="5"/>
      <w:kern w:val="52"/>
      <w:sz w:val="96"/>
      <w:szCs w:val="52"/>
    </w:rPr>
  </w:style>
  <w:style w:type="paragraph" w:styleId="Subtitle">
    <w:name w:val="Subtitle"/>
    <w:basedOn w:val="Normal"/>
    <w:next w:val="Normal"/>
    <w:link w:val="SubtitleChar1"/>
    <w:uiPriority w:val="11"/>
    <w:qFormat/>
    <w:rsid w:val="003E6F94"/>
    <w:rPr>
      <w:i/>
      <w:iCs/>
      <w:color w:val="4F81BD"/>
      <w:spacing w:val="15"/>
      <w:sz w:val="24"/>
      <w:szCs w:val="24"/>
    </w:rPr>
  </w:style>
  <w:style w:type="character" w:customStyle="1" w:styleId="SubtitleChar1">
    <w:name w:val="Subtitle Char1"/>
    <w:basedOn w:val="DefaultParagraphFont"/>
    <w:link w:val="Subtitle"/>
    <w:uiPriority w:val="11"/>
    <w:rsid w:val="000044D8"/>
    <w:rPr>
      <w:rFonts w:asciiTheme="majorHAnsi" w:eastAsiaTheme="majorEastAsia" w:hAnsiTheme="majorHAnsi" w:cstheme="majorBidi"/>
      <w:sz w:val="24"/>
      <w:szCs w:val="24"/>
    </w:rPr>
  </w:style>
  <w:style w:type="paragraph" w:styleId="NoSpacing">
    <w:name w:val="No Spacing"/>
    <w:uiPriority w:val="1"/>
    <w:qFormat/>
    <w:rsid w:val="003E6F94"/>
    <w:pPr>
      <w:widowControl w:val="0"/>
      <w:suppressAutoHyphens/>
    </w:pPr>
    <w:rPr>
      <w:rFonts w:ascii="Calibri" w:hAnsi="Calibri" w:cs="Calibri"/>
      <w:sz w:val="22"/>
      <w:szCs w:val="22"/>
      <w:lang w:val="en-US"/>
    </w:rPr>
  </w:style>
  <w:style w:type="paragraph" w:styleId="ListParagraph">
    <w:name w:val="List Paragraph"/>
    <w:basedOn w:val="Normal"/>
    <w:link w:val="ListParagraphChar"/>
    <w:autoRedefine/>
    <w:uiPriority w:val="34"/>
    <w:qFormat/>
    <w:rsid w:val="005A49E3"/>
    <w:pPr>
      <w:numPr>
        <w:numId w:val="78"/>
      </w:numPr>
      <w:spacing w:before="120" w:after="240"/>
      <w:contextualSpacing/>
    </w:pPr>
  </w:style>
  <w:style w:type="paragraph" w:styleId="Quote">
    <w:name w:val="Quote"/>
    <w:basedOn w:val="Normal"/>
    <w:next w:val="Normal"/>
    <w:link w:val="QuoteChar1"/>
    <w:uiPriority w:val="29"/>
    <w:qFormat/>
    <w:rsid w:val="003E6F94"/>
    <w:pPr>
      <w:ind w:left="720"/>
    </w:pPr>
    <w:rPr>
      <w:rFonts w:ascii="Myriad Pro Light SemiCond" w:hAnsi="Myriad Pro Light SemiCond"/>
      <w:i/>
      <w:iCs/>
      <w:color w:val="000000"/>
    </w:rPr>
  </w:style>
  <w:style w:type="character" w:customStyle="1" w:styleId="QuoteChar1">
    <w:name w:val="Quote Char1"/>
    <w:basedOn w:val="DefaultParagraphFont"/>
    <w:link w:val="Quote"/>
    <w:uiPriority w:val="29"/>
    <w:rsid w:val="000044D8"/>
    <w:rPr>
      <w:rFonts w:ascii="Myriad Pro SemiCond" w:hAnsi="Myriad Pro SemiCond" w:cs="Calibri"/>
      <w:sz w:val="22"/>
      <w:szCs w:val="22"/>
    </w:rPr>
  </w:style>
  <w:style w:type="paragraph" w:styleId="IntenseQuote">
    <w:name w:val="Intense Quote"/>
    <w:basedOn w:val="Normal"/>
    <w:next w:val="Normal"/>
    <w:link w:val="IntenseQuoteChar1"/>
    <w:uiPriority w:val="30"/>
    <w:qFormat/>
    <w:rsid w:val="003E6F94"/>
    <w:pPr>
      <w:pBdr>
        <w:bottom w:val="single" w:sz="4" w:space="4" w:color="FFFF00"/>
      </w:pBdr>
      <w:spacing w:before="200" w:after="280"/>
      <w:ind w:left="936" w:right="936"/>
    </w:pPr>
    <w:rPr>
      <w:b/>
      <w:bCs/>
      <w:i/>
      <w:iCs/>
      <w:color w:val="4F81BD"/>
    </w:rPr>
  </w:style>
  <w:style w:type="character" w:customStyle="1" w:styleId="IntenseQuoteChar1">
    <w:name w:val="Intense Quote Char1"/>
    <w:basedOn w:val="DefaultParagraphFont"/>
    <w:link w:val="IntenseQuote"/>
    <w:uiPriority w:val="30"/>
    <w:rsid w:val="000044D8"/>
    <w:rPr>
      <w:rFonts w:ascii="Myriad Pro SemiCond" w:hAnsi="Myriad Pro SemiCond" w:cs="Calibri"/>
      <w:sz w:val="22"/>
      <w:szCs w:val="22"/>
    </w:rPr>
  </w:style>
  <w:style w:type="paragraph" w:styleId="TOCHeading">
    <w:name w:val="TOC Heading"/>
    <w:basedOn w:val="Heading1"/>
    <w:next w:val="Normal"/>
    <w:autoRedefine/>
    <w:uiPriority w:val="39"/>
    <w:qFormat/>
    <w:rsid w:val="00A800F7"/>
    <w:pPr>
      <w:spacing w:before="120"/>
      <w:outlineLvl w:val="9"/>
    </w:pPr>
  </w:style>
  <w:style w:type="paragraph" w:styleId="FootnoteText">
    <w:name w:val="footnote text"/>
    <w:basedOn w:val="NoSpacing"/>
    <w:link w:val="FootnoteTextChar1"/>
    <w:uiPriority w:val="99"/>
    <w:rsid w:val="00203FC3"/>
    <w:rPr>
      <w:sz w:val="20"/>
      <w:szCs w:val="20"/>
    </w:rPr>
  </w:style>
  <w:style w:type="character" w:customStyle="1" w:styleId="FootnoteTextChar1">
    <w:name w:val="Footnote Text Char1"/>
    <w:basedOn w:val="DefaultParagraphFont"/>
    <w:link w:val="FootnoteText"/>
    <w:uiPriority w:val="99"/>
    <w:rsid w:val="000C5685"/>
    <w:rPr>
      <w:rFonts w:ascii="Calibri" w:hAnsi="Calibri" w:cs="Calibri"/>
      <w:lang w:val="en-US"/>
    </w:rPr>
  </w:style>
  <w:style w:type="paragraph" w:customStyle="1" w:styleId="BalloonText1">
    <w:name w:val="Balloon Text1"/>
    <w:basedOn w:val="Normal"/>
    <w:uiPriority w:val="99"/>
    <w:rsid w:val="003E6F94"/>
    <w:pPr>
      <w:spacing w:after="0" w:line="240" w:lineRule="auto"/>
    </w:pPr>
    <w:rPr>
      <w:rFonts w:ascii="Tahoma" w:hAnsi="Tahoma" w:cs="Tahoma"/>
      <w:sz w:val="16"/>
      <w:szCs w:val="16"/>
    </w:rPr>
  </w:style>
  <w:style w:type="paragraph" w:customStyle="1" w:styleId="CommentText1">
    <w:name w:val="Comment Text1"/>
    <w:basedOn w:val="Normal"/>
    <w:uiPriority w:val="99"/>
    <w:rsid w:val="003E6F94"/>
    <w:rPr>
      <w:sz w:val="20"/>
      <w:szCs w:val="20"/>
    </w:rPr>
  </w:style>
  <w:style w:type="paragraph" w:customStyle="1" w:styleId="CommentSubject1">
    <w:name w:val="Comment Subject1"/>
    <w:basedOn w:val="CommentText1"/>
    <w:next w:val="CommentText1"/>
    <w:uiPriority w:val="99"/>
    <w:rsid w:val="003E6F94"/>
    <w:rPr>
      <w:b/>
      <w:bCs/>
    </w:rPr>
  </w:style>
  <w:style w:type="paragraph" w:customStyle="1" w:styleId="NormalWeb1">
    <w:name w:val="Normal (Web)1"/>
    <w:basedOn w:val="Normal"/>
    <w:uiPriority w:val="99"/>
    <w:rsid w:val="003E6F94"/>
    <w:pPr>
      <w:spacing w:before="280" w:after="280" w:line="240" w:lineRule="auto"/>
    </w:pPr>
    <w:rPr>
      <w:sz w:val="24"/>
      <w:szCs w:val="24"/>
      <w:lang w:val="en-US" w:eastAsia="ar-SA"/>
    </w:rPr>
  </w:style>
  <w:style w:type="paragraph" w:customStyle="1" w:styleId="listparagraph0">
    <w:name w:val="listparagraph"/>
    <w:basedOn w:val="Normal"/>
    <w:uiPriority w:val="99"/>
    <w:rsid w:val="003E6F94"/>
    <w:pPr>
      <w:spacing w:before="280" w:after="280" w:line="240" w:lineRule="auto"/>
    </w:pPr>
    <w:rPr>
      <w:sz w:val="24"/>
      <w:szCs w:val="24"/>
      <w:lang w:eastAsia="ar-SA"/>
    </w:rPr>
  </w:style>
  <w:style w:type="paragraph" w:customStyle="1" w:styleId="TabellenInhalt">
    <w:name w:val="Tabellen Inhalt"/>
    <w:basedOn w:val="Normal"/>
    <w:uiPriority w:val="99"/>
    <w:rsid w:val="003E6F94"/>
    <w:pPr>
      <w:suppressLineNumbers/>
    </w:pPr>
  </w:style>
  <w:style w:type="paragraph" w:customStyle="1" w:styleId="Tabellenberschrift">
    <w:name w:val="Tabellen Überschrift"/>
    <w:basedOn w:val="TabellenInhalt"/>
    <w:uiPriority w:val="99"/>
    <w:rsid w:val="003E6F94"/>
    <w:pPr>
      <w:jc w:val="center"/>
    </w:pPr>
    <w:rPr>
      <w:b/>
      <w:bCs/>
    </w:rPr>
  </w:style>
  <w:style w:type="paragraph" w:customStyle="1" w:styleId="Rahmeninhalt">
    <w:name w:val="Rahmeninhalt"/>
    <w:basedOn w:val="BodyText"/>
    <w:uiPriority w:val="99"/>
    <w:rsid w:val="003E6F94"/>
  </w:style>
  <w:style w:type="character" w:styleId="CommentReference">
    <w:name w:val="annotation reference"/>
    <w:basedOn w:val="DefaultParagraphFont"/>
    <w:uiPriority w:val="99"/>
    <w:semiHidden/>
    <w:rsid w:val="00AF7641"/>
    <w:rPr>
      <w:rFonts w:cs="Times New Roman"/>
      <w:sz w:val="16"/>
    </w:rPr>
  </w:style>
  <w:style w:type="paragraph" w:styleId="CommentText">
    <w:name w:val="annotation text"/>
    <w:basedOn w:val="Normal"/>
    <w:link w:val="CommentTextChar"/>
    <w:uiPriority w:val="99"/>
    <w:semiHidden/>
    <w:rsid w:val="00AF7641"/>
    <w:rPr>
      <w:sz w:val="20"/>
      <w:szCs w:val="20"/>
    </w:rPr>
  </w:style>
  <w:style w:type="character" w:customStyle="1" w:styleId="CommentTextChar">
    <w:name w:val="Comment Text Char"/>
    <w:basedOn w:val="DefaultParagraphFont"/>
    <w:link w:val="CommentText"/>
    <w:uiPriority w:val="99"/>
    <w:semiHidden/>
    <w:rsid w:val="000044D8"/>
    <w:rPr>
      <w:rFonts w:ascii="Myriad Pro SemiCond" w:hAnsi="Myriad Pro SemiCond" w:cs="Calibri"/>
      <w:sz w:val="24"/>
      <w:szCs w:val="24"/>
    </w:rPr>
  </w:style>
  <w:style w:type="paragraph" w:styleId="CommentSubject">
    <w:name w:val="annotation subject"/>
    <w:basedOn w:val="CommentText"/>
    <w:next w:val="CommentText"/>
    <w:link w:val="CommentSubjectChar"/>
    <w:uiPriority w:val="99"/>
    <w:semiHidden/>
    <w:rsid w:val="00AF7641"/>
    <w:rPr>
      <w:b/>
      <w:bCs/>
    </w:rPr>
  </w:style>
  <w:style w:type="character" w:customStyle="1" w:styleId="CommentSubjectChar">
    <w:name w:val="Comment Subject Char"/>
    <w:basedOn w:val="CommentTextChar"/>
    <w:link w:val="CommentSubject"/>
    <w:uiPriority w:val="99"/>
    <w:semiHidden/>
    <w:rsid w:val="000044D8"/>
    <w:rPr>
      <w:rFonts w:ascii="Myriad Pro SemiCond" w:hAnsi="Myriad Pro SemiCond" w:cs="Calibri"/>
      <w:b/>
      <w:bCs/>
      <w:sz w:val="24"/>
      <w:szCs w:val="24"/>
    </w:rPr>
  </w:style>
  <w:style w:type="paragraph" w:styleId="BalloonText">
    <w:name w:val="Balloon Text"/>
    <w:basedOn w:val="Normal"/>
    <w:link w:val="BalloonTextChar1"/>
    <w:uiPriority w:val="99"/>
    <w:semiHidden/>
    <w:rsid w:val="00AF7641"/>
    <w:rPr>
      <w:rFonts w:ascii="Tahoma" w:hAnsi="Tahoma" w:cs="Tahoma"/>
      <w:sz w:val="16"/>
      <w:szCs w:val="16"/>
    </w:rPr>
  </w:style>
  <w:style w:type="character" w:customStyle="1" w:styleId="BalloonTextChar1">
    <w:name w:val="Balloon Text Char1"/>
    <w:basedOn w:val="DefaultParagraphFont"/>
    <w:link w:val="BalloonText"/>
    <w:uiPriority w:val="99"/>
    <w:semiHidden/>
    <w:rsid w:val="000044D8"/>
    <w:rPr>
      <w:rFonts w:ascii="Lucida Grande" w:hAnsi="Lucida Grande" w:cs="Calibri"/>
      <w:sz w:val="18"/>
      <w:szCs w:val="18"/>
    </w:rPr>
  </w:style>
  <w:style w:type="character" w:styleId="FootnoteReference">
    <w:name w:val="footnote reference"/>
    <w:basedOn w:val="DefaultParagraphFont"/>
    <w:uiPriority w:val="99"/>
    <w:rsid w:val="00AF7641"/>
    <w:rPr>
      <w:rFonts w:cs="Times New Roman"/>
      <w:vertAlign w:val="superscript"/>
    </w:rPr>
  </w:style>
  <w:style w:type="paragraph" w:customStyle="1" w:styleId="Abbreviations">
    <w:name w:val="Abbreviations"/>
    <w:basedOn w:val="Normal"/>
    <w:link w:val="AbbreviationsChar"/>
    <w:qFormat/>
    <w:rsid w:val="00263937"/>
    <w:pPr>
      <w:spacing w:after="0"/>
    </w:pPr>
    <w:rPr>
      <w:rFonts w:ascii="Calibri" w:hAnsi="Calibri"/>
      <w:lang w:eastAsia="x-none" w:bidi="en-US"/>
    </w:rPr>
  </w:style>
  <w:style w:type="character" w:customStyle="1" w:styleId="AbbreviationsChar">
    <w:name w:val="Abbreviations Char"/>
    <w:link w:val="Abbreviations"/>
    <w:rsid w:val="00263937"/>
    <w:rPr>
      <w:rFonts w:ascii="Calibri" w:hAnsi="Calibri" w:cs="Calibri"/>
      <w:sz w:val="22"/>
      <w:szCs w:val="22"/>
      <w:lang w:eastAsia="x-none" w:bidi="en-US"/>
    </w:rPr>
  </w:style>
  <w:style w:type="character" w:customStyle="1" w:styleId="Heading1Char1">
    <w:name w:val="Heading 1 Char1"/>
    <w:uiPriority w:val="99"/>
    <w:locked/>
    <w:rsid w:val="003F2CA5"/>
    <w:rPr>
      <w:rFonts w:ascii="Myriad Pro" w:hAnsi="Myriad Pro"/>
      <w:color w:val="365F91"/>
      <w:sz w:val="28"/>
      <w:szCs w:val="28"/>
      <w:lang w:val="en-GB"/>
    </w:rPr>
  </w:style>
  <w:style w:type="character" w:customStyle="1" w:styleId="TableTitle">
    <w:name w:val="Table Title"/>
    <w:uiPriority w:val="21"/>
    <w:qFormat/>
    <w:rsid w:val="006B163E"/>
    <w:rPr>
      <w:b/>
      <w:bCs/>
      <w:i/>
      <w:iCs/>
      <w:color w:val="4F81BD"/>
    </w:rPr>
  </w:style>
  <w:style w:type="table" w:styleId="LightList-Accent1">
    <w:name w:val="Light List Accent 1"/>
    <w:basedOn w:val="TableNormal"/>
    <w:uiPriority w:val="61"/>
    <w:rsid w:val="006B163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9A34B5"/>
    <w:pPr>
      <w:pBdr>
        <w:bottom w:val="dashSmallGap" w:sz="4" w:space="1" w:color="auto"/>
      </w:pBdr>
      <w:spacing w:before="120" w:after="0"/>
    </w:pPr>
    <w:rPr>
      <w:rFonts w:asciiTheme="minorHAnsi" w:hAnsiTheme="minorHAnsi"/>
      <w:b/>
      <w:bCs/>
      <w:sz w:val="24"/>
      <w:szCs w:val="24"/>
    </w:rPr>
  </w:style>
  <w:style w:type="paragraph" w:styleId="TOC2">
    <w:name w:val="toc 2"/>
    <w:basedOn w:val="Normal"/>
    <w:next w:val="Normal"/>
    <w:autoRedefine/>
    <w:uiPriority w:val="39"/>
    <w:unhideWhenUsed/>
    <w:qFormat/>
    <w:rsid w:val="000A2748"/>
    <w:pPr>
      <w:spacing w:after="0"/>
      <w:ind w:left="220"/>
    </w:pPr>
    <w:rPr>
      <w:rFonts w:asciiTheme="minorHAnsi" w:hAnsiTheme="minorHAnsi"/>
      <w:b/>
      <w:bCs/>
    </w:rPr>
  </w:style>
  <w:style w:type="paragraph" w:styleId="TOC3">
    <w:name w:val="toc 3"/>
    <w:basedOn w:val="Normal"/>
    <w:next w:val="Normal"/>
    <w:autoRedefine/>
    <w:uiPriority w:val="39"/>
    <w:unhideWhenUsed/>
    <w:qFormat/>
    <w:rsid w:val="007E1A89"/>
    <w:pPr>
      <w:spacing w:after="0"/>
      <w:ind w:left="440"/>
    </w:pPr>
    <w:rPr>
      <w:rFonts w:asciiTheme="minorHAnsi" w:hAnsiTheme="minorHAnsi"/>
    </w:rPr>
  </w:style>
  <w:style w:type="paragraph" w:styleId="TOC4">
    <w:name w:val="toc 4"/>
    <w:basedOn w:val="Normal"/>
    <w:next w:val="Normal"/>
    <w:autoRedefine/>
    <w:uiPriority w:val="39"/>
    <w:unhideWhenUsed/>
    <w:rsid w:val="007E1A89"/>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7E1A89"/>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7E1A89"/>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7E1A89"/>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7E1A89"/>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7E1A89"/>
    <w:pPr>
      <w:spacing w:after="0"/>
      <w:ind w:left="1760"/>
    </w:pPr>
    <w:rPr>
      <w:rFonts w:asciiTheme="minorHAnsi" w:hAnsiTheme="minorHAnsi"/>
      <w:sz w:val="20"/>
      <w:szCs w:val="20"/>
    </w:rPr>
  </w:style>
  <w:style w:type="numbering" w:customStyle="1" w:styleId="NoList1">
    <w:name w:val="No List1"/>
    <w:next w:val="NoList"/>
    <w:uiPriority w:val="99"/>
    <w:semiHidden/>
    <w:unhideWhenUsed/>
    <w:rsid w:val="00743FAE"/>
  </w:style>
  <w:style w:type="character" w:customStyle="1" w:styleId="Heading2Char2">
    <w:name w:val="Heading 2 Char2"/>
    <w:basedOn w:val="DefaultParagraphFont"/>
    <w:uiPriority w:val="99"/>
    <w:rsid w:val="00743FAE"/>
    <w:rPr>
      <w:rFonts w:ascii="Myriad Pro SemiCond" w:hAnsi="Myriad Pro SemiCond"/>
      <w:b/>
      <w:bCs/>
      <w:color w:val="4F81BD"/>
      <w:sz w:val="26"/>
      <w:szCs w:val="26"/>
      <w:lang w:val="en-GB" w:eastAsia="en-US" w:bidi="en-US"/>
    </w:rPr>
  </w:style>
  <w:style w:type="paragraph" w:styleId="Caption">
    <w:name w:val="caption"/>
    <w:basedOn w:val="Normal"/>
    <w:next w:val="Normal"/>
    <w:autoRedefine/>
    <w:uiPriority w:val="35"/>
    <w:qFormat/>
    <w:rsid w:val="00F97CA1"/>
    <w:pPr>
      <w:widowControl/>
      <w:suppressAutoHyphens w:val="0"/>
      <w:spacing w:after="240" w:line="240" w:lineRule="auto"/>
    </w:pPr>
    <w:rPr>
      <w:rFonts w:cs="Times New Roman"/>
      <w:b/>
      <w:bCs/>
      <w:color w:val="1F497D" w:themeColor="text2"/>
      <w:sz w:val="20"/>
      <w:szCs w:val="20"/>
      <w:lang w:bidi="en-US"/>
    </w:rPr>
  </w:style>
  <w:style w:type="character" w:styleId="FollowedHyperlink">
    <w:name w:val="FollowedHyperlink"/>
    <w:basedOn w:val="DefaultParagraphFont"/>
    <w:uiPriority w:val="99"/>
    <w:rsid w:val="00743FAE"/>
    <w:rPr>
      <w:color w:val="606420"/>
      <w:u w:val="single"/>
    </w:rPr>
  </w:style>
  <w:style w:type="character" w:styleId="PageNumber">
    <w:name w:val="page number"/>
    <w:basedOn w:val="DefaultParagraphFont"/>
    <w:rsid w:val="00743FAE"/>
  </w:style>
  <w:style w:type="character" w:customStyle="1" w:styleId="text">
    <w:name w:val="text"/>
    <w:basedOn w:val="DefaultParagraphFont"/>
    <w:rsid w:val="00743FAE"/>
  </w:style>
  <w:style w:type="character" w:customStyle="1" w:styleId="CommentTextChar1">
    <w:name w:val="Comment Text Char1"/>
    <w:basedOn w:val="DefaultParagraphFont"/>
    <w:uiPriority w:val="99"/>
    <w:semiHidden/>
    <w:rsid w:val="00743FAE"/>
    <w:rPr>
      <w:rFonts w:ascii="Myriad Pro SemiCond" w:hAnsi="Myriad Pro SemiCond"/>
      <w:lang w:val="en-GB" w:eastAsia="en-US" w:bidi="en-US"/>
    </w:rPr>
  </w:style>
  <w:style w:type="character" w:customStyle="1" w:styleId="CommentSubjectChar1">
    <w:name w:val="Comment Subject Char1"/>
    <w:basedOn w:val="CommentTextChar1"/>
    <w:uiPriority w:val="99"/>
    <w:semiHidden/>
    <w:rsid w:val="00743FAE"/>
    <w:rPr>
      <w:rFonts w:ascii="Myriad Pro SemiCond" w:hAnsi="Myriad Pro SemiCond"/>
      <w:lang w:val="en-GB" w:eastAsia="en-US" w:bidi="en-US"/>
    </w:rPr>
  </w:style>
  <w:style w:type="paragraph" w:customStyle="1" w:styleId="ListBullet1">
    <w:name w:val="List Bullet1"/>
    <w:basedOn w:val="Normal"/>
    <w:rsid w:val="00743FAE"/>
    <w:pPr>
      <w:widowControl/>
      <w:numPr>
        <w:numId w:val="1"/>
      </w:numPr>
      <w:suppressAutoHyphens w:val="0"/>
      <w:spacing w:after="60"/>
    </w:pPr>
    <w:rPr>
      <w:rFonts w:ascii="Arial" w:hAnsi="Arial" w:cs="Times New Roman"/>
      <w:sz w:val="20"/>
      <w:szCs w:val="20"/>
      <w:lang w:val="en-US" w:bidi="en-US"/>
    </w:rPr>
  </w:style>
  <w:style w:type="character" w:customStyle="1" w:styleId="a1">
    <w:name w:val="a1"/>
    <w:basedOn w:val="DefaultParagraphFont"/>
    <w:rsid w:val="00743FAE"/>
    <w:rPr>
      <w:color w:val="008000"/>
    </w:rPr>
  </w:style>
  <w:style w:type="table" w:customStyle="1" w:styleId="MediumList1-Accent11">
    <w:name w:val="Medium List 1 - Accent 11"/>
    <w:basedOn w:val="TableNormal"/>
    <w:uiPriority w:val="65"/>
    <w:rsid w:val="00743FAE"/>
    <w:rPr>
      <w:rFonts w:ascii="Calibri" w:hAnsi="Calibri"/>
      <w:color w:val="000000"/>
      <w:lang w:val="nb-NO" w:eastAsia="nb-NO"/>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System" w:eastAsia="Times New Roman" w:hAnsi="System"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HTMLPreformatted">
    <w:name w:val="HTML Preformatted"/>
    <w:basedOn w:val="Normal"/>
    <w:link w:val="HTMLPreformattedChar"/>
    <w:rsid w:val="00743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4"/>
      <w:szCs w:val="24"/>
      <w:lang w:val="en-US"/>
    </w:rPr>
  </w:style>
  <w:style w:type="character" w:customStyle="1" w:styleId="HTMLPreformattedChar">
    <w:name w:val="HTML Preformatted Char"/>
    <w:basedOn w:val="DefaultParagraphFont"/>
    <w:link w:val="HTMLPreformatted"/>
    <w:rsid w:val="00743FAE"/>
    <w:rPr>
      <w:rFonts w:ascii="Courier New" w:hAnsi="Courier New" w:cs="Courier New"/>
      <w:sz w:val="24"/>
      <w:szCs w:val="24"/>
      <w:lang w:val="en-US"/>
    </w:rPr>
  </w:style>
  <w:style w:type="character" w:styleId="HTMLTypewriter">
    <w:name w:val="HTML Typewriter"/>
    <w:basedOn w:val="DefaultParagraphFont"/>
    <w:rsid w:val="00743FAE"/>
    <w:rPr>
      <w:rFonts w:ascii="Courier New" w:eastAsia="Times New Roman" w:hAnsi="Courier New" w:cs="Courier New"/>
      <w:sz w:val="20"/>
      <w:szCs w:val="20"/>
    </w:rPr>
  </w:style>
  <w:style w:type="table" w:customStyle="1" w:styleId="LightList-Accent11">
    <w:name w:val="Light List - Accent 11"/>
    <w:basedOn w:val="TableNormal"/>
    <w:uiPriority w:val="61"/>
    <w:rsid w:val="00743FAE"/>
    <w:rPr>
      <w:rFonts w:ascii="Calibri" w:hAnsi="Calibri"/>
      <w:lang w:val="nb-NO" w:eastAsia="nb-N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yle1">
    <w:name w:val="Style1"/>
    <w:basedOn w:val="LightList-Accent11"/>
    <w:rsid w:val="00743FAE"/>
    <w:rPr>
      <w:rFonts w:ascii="Myriad Pro SemiCond" w:hAnsi="Myriad Pro SemiCond"/>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743FAE"/>
    <w:rPr>
      <w:rFonts w:ascii="Calibri" w:hAnsi="Calibri"/>
      <w:lang w:val="nb-NO" w:eastAsia="nb-N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spacing0">
    <w:name w:val="msonospacing"/>
    <w:basedOn w:val="Normal"/>
    <w:rsid w:val="00743FAE"/>
    <w:pPr>
      <w:widowControl/>
      <w:suppressAutoHyphens w:val="0"/>
      <w:spacing w:after="0"/>
    </w:pPr>
    <w:rPr>
      <w:rFonts w:cs="Times New Roman"/>
      <w:sz w:val="20"/>
      <w:szCs w:val="20"/>
      <w:lang w:val="nb-NO" w:eastAsia="nb-NO"/>
    </w:rPr>
  </w:style>
  <w:style w:type="paragraph" w:styleId="NormalWeb">
    <w:name w:val="Normal (Web)"/>
    <w:basedOn w:val="Normal"/>
    <w:uiPriority w:val="99"/>
    <w:rsid w:val="00743FAE"/>
    <w:pPr>
      <w:widowControl/>
      <w:suppressAutoHyphens w:val="0"/>
      <w:spacing w:before="100" w:beforeAutospacing="1" w:after="100" w:afterAutospacing="1" w:line="240" w:lineRule="auto"/>
    </w:pPr>
    <w:rPr>
      <w:rFonts w:eastAsia="Calibri" w:cs="Times New Roman"/>
      <w:sz w:val="24"/>
      <w:szCs w:val="24"/>
      <w:lang w:val="en-US"/>
    </w:rPr>
  </w:style>
  <w:style w:type="paragraph" w:styleId="Revision">
    <w:name w:val="Revision"/>
    <w:hidden/>
    <w:uiPriority w:val="99"/>
    <w:semiHidden/>
    <w:rsid w:val="00743FAE"/>
    <w:rPr>
      <w:rFonts w:ascii="Myriad Pro SemiCond" w:hAnsi="Myriad Pro SemiCond"/>
      <w:sz w:val="22"/>
      <w:szCs w:val="22"/>
      <w:lang w:bidi="en-US"/>
    </w:rPr>
  </w:style>
  <w:style w:type="paragraph" w:styleId="PlainText">
    <w:name w:val="Plain Text"/>
    <w:basedOn w:val="Normal"/>
    <w:link w:val="PlainTextChar"/>
    <w:uiPriority w:val="99"/>
    <w:semiHidden/>
    <w:unhideWhenUsed/>
    <w:rsid w:val="00743FAE"/>
    <w:pPr>
      <w:widowControl/>
      <w:suppressAutoHyphens w:val="0"/>
      <w:spacing w:after="0" w:line="240" w:lineRule="auto"/>
    </w:pPr>
    <w:rPr>
      <w:rFonts w:ascii="Calibri" w:hAnsi="Calibri" w:cs="Times New Roman"/>
      <w:sz w:val="20"/>
      <w:szCs w:val="21"/>
    </w:rPr>
  </w:style>
  <w:style w:type="character" w:customStyle="1" w:styleId="PlainTextChar">
    <w:name w:val="Plain Text Char"/>
    <w:basedOn w:val="DefaultParagraphFont"/>
    <w:link w:val="PlainText"/>
    <w:uiPriority w:val="99"/>
    <w:semiHidden/>
    <w:rsid w:val="00743FAE"/>
    <w:rPr>
      <w:rFonts w:ascii="Calibri" w:hAnsi="Calibri"/>
      <w:szCs w:val="21"/>
    </w:rPr>
  </w:style>
  <w:style w:type="paragraph" w:styleId="ListBullet">
    <w:name w:val="List Bullet"/>
    <w:basedOn w:val="Normal"/>
    <w:uiPriority w:val="99"/>
    <w:unhideWhenUsed/>
    <w:rsid w:val="00743FAE"/>
    <w:pPr>
      <w:widowControl/>
      <w:numPr>
        <w:numId w:val="2"/>
      </w:numPr>
      <w:suppressAutoHyphens w:val="0"/>
      <w:contextualSpacing/>
    </w:pPr>
    <w:rPr>
      <w:rFonts w:cs="Times New Roman"/>
      <w:sz w:val="20"/>
      <w:lang w:bidi="en-US"/>
    </w:rPr>
  </w:style>
  <w:style w:type="paragraph" w:styleId="ListBullet2">
    <w:name w:val="List Bullet 2"/>
    <w:basedOn w:val="Normal"/>
    <w:uiPriority w:val="99"/>
    <w:unhideWhenUsed/>
    <w:rsid w:val="00743FAE"/>
    <w:pPr>
      <w:widowControl/>
      <w:numPr>
        <w:numId w:val="3"/>
      </w:numPr>
      <w:suppressAutoHyphens w:val="0"/>
      <w:contextualSpacing/>
    </w:pPr>
    <w:rPr>
      <w:rFonts w:cs="Times New Roman"/>
      <w:sz w:val="20"/>
      <w:lang w:bidi="en-US"/>
    </w:rPr>
  </w:style>
  <w:style w:type="character" w:customStyle="1" w:styleId="BodyTextChar1">
    <w:name w:val="Body Text Char1"/>
    <w:basedOn w:val="DefaultParagraphFont"/>
    <w:uiPriority w:val="99"/>
    <w:rsid w:val="00743FAE"/>
    <w:rPr>
      <w:rFonts w:ascii="Myriad Pro SemiCond" w:hAnsi="Myriad Pro SemiCond"/>
      <w:szCs w:val="22"/>
      <w:lang w:val="en-GB" w:eastAsia="en-US" w:bidi="en-US"/>
    </w:rPr>
  </w:style>
  <w:style w:type="paragraph" w:styleId="BodyTextIndent">
    <w:name w:val="Body Text Indent"/>
    <w:basedOn w:val="Normal"/>
    <w:link w:val="BodyTextIndentChar"/>
    <w:uiPriority w:val="99"/>
    <w:semiHidden/>
    <w:unhideWhenUsed/>
    <w:rsid w:val="00743FAE"/>
    <w:pPr>
      <w:widowControl/>
      <w:suppressAutoHyphens w:val="0"/>
      <w:ind w:left="360"/>
    </w:pPr>
    <w:rPr>
      <w:rFonts w:cs="Times New Roman"/>
      <w:sz w:val="20"/>
      <w:lang w:bidi="en-US"/>
    </w:rPr>
  </w:style>
  <w:style w:type="character" w:customStyle="1" w:styleId="BodyTextIndentChar">
    <w:name w:val="Body Text Indent Char"/>
    <w:basedOn w:val="DefaultParagraphFont"/>
    <w:link w:val="BodyTextIndent"/>
    <w:uiPriority w:val="99"/>
    <w:semiHidden/>
    <w:rsid w:val="00743FAE"/>
    <w:rPr>
      <w:rFonts w:ascii="Myriad Pro SemiCond" w:hAnsi="Myriad Pro SemiCond"/>
      <w:szCs w:val="22"/>
      <w:lang w:bidi="en-US"/>
    </w:rPr>
  </w:style>
  <w:style w:type="paragraph" w:styleId="BodyTextFirstIndent2">
    <w:name w:val="Body Text First Indent 2"/>
    <w:basedOn w:val="BodyTextIndent"/>
    <w:link w:val="BodyTextFirstIndent2Char"/>
    <w:uiPriority w:val="99"/>
    <w:unhideWhenUsed/>
    <w:rsid w:val="00743FAE"/>
    <w:pPr>
      <w:ind w:firstLine="210"/>
    </w:pPr>
  </w:style>
  <w:style w:type="character" w:customStyle="1" w:styleId="BodyTextFirstIndent2Char">
    <w:name w:val="Body Text First Indent 2 Char"/>
    <w:basedOn w:val="BodyTextIndentChar"/>
    <w:link w:val="BodyTextFirstIndent2"/>
    <w:uiPriority w:val="99"/>
    <w:rsid w:val="00743FAE"/>
    <w:rPr>
      <w:rFonts w:ascii="Myriad Pro SemiCond" w:hAnsi="Myriad Pro SemiCond"/>
      <w:szCs w:val="22"/>
      <w:lang w:bidi="en-US"/>
    </w:rPr>
  </w:style>
  <w:style w:type="character" w:customStyle="1" w:styleId="Heading2Char1">
    <w:name w:val="Heading 2 Char1"/>
    <w:basedOn w:val="DefaultParagraphFont"/>
    <w:locked/>
    <w:rsid w:val="00743FAE"/>
    <w:rPr>
      <w:rFonts w:ascii="Myriad Pro SemiCond" w:hAnsi="Myriad Pro SemiCond"/>
      <w:b/>
      <w:bCs/>
      <w:color w:val="4F81BD"/>
      <w:sz w:val="26"/>
      <w:szCs w:val="26"/>
      <w:lang w:val="en-GB" w:eastAsia="en-US" w:bidi="ar-SA"/>
    </w:rPr>
  </w:style>
  <w:style w:type="character" w:customStyle="1" w:styleId="bodytext1">
    <w:name w:val="bodytext1"/>
    <w:basedOn w:val="DefaultParagraphFont"/>
    <w:rsid w:val="00743FAE"/>
    <w:rPr>
      <w:rFonts w:ascii="Tahoma" w:hAnsi="Tahoma" w:cs="Tahoma" w:hint="default"/>
      <w:sz w:val="18"/>
      <w:szCs w:val="18"/>
    </w:rPr>
  </w:style>
  <w:style w:type="table" w:customStyle="1" w:styleId="LightShading1">
    <w:name w:val="Light Shading1"/>
    <w:basedOn w:val="TableNormal"/>
    <w:uiPriority w:val="60"/>
    <w:rsid w:val="00743FAE"/>
    <w:rPr>
      <w:rFonts w:ascii="Calibri" w:hAnsi="Calibri"/>
      <w:color w:val="000000"/>
      <w:lang w:val="nb-NO" w:eastAsia="nb-N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B86EA7"/>
  </w:style>
  <w:style w:type="character" w:customStyle="1" w:styleId="SubtleEmphasis1">
    <w:name w:val="Subtle Emphasis1"/>
    <w:uiPriority w:val="99"/>
    <w:rsid w:val="009A38A3"/>
    <w:rPr>
      <w:rFonts w:cs="Times New Roman"/>
      <w:i/>
      <w:iCs/>
      <w:color w:val="808080"/>
    </w:rPr>
  </w:style>
  <w:style w:type="character" w:customStyle="1" w:styleId="IntenseEmphasis1">
    <w:name w:val="Intense Emphasis1"/>
    <w:uiPriority w:val="99"/>
    <w:rsid w:val="009A38A3"/>
    <w:rPr>
      <w:rFonts w:cs="Times New Roman"/>
      <w:b/>
      <w:bCs/>
      <w:i/>
      <w:iCs/>
      <w:color w:val="4F81BD"/>
    </w:rPr>
  </w:style>
  <w:style w:type="character" w:customStyle="1" w:styleId="SubtleReference1">
    <w:name w:val="Subtle Reference1"/>
    <w:uiPriority w:val="99"/>
    <w:rsid w:val="009A38A3"/>
    <w:rPr>
      <w:rFonts w:cs="Times New Roman"/>
      <w:smallCaps/>
      <w:color w:val="C0504D"/>
      <w:u w:val="single"/>
    </w:rPr>
  </w:style>
  <w:style w:type="character" w:customStyle="1" w:styleId="IntenseReference1">
    <w:name w:val="Intense Reference1"/>
    <w:uiPriority w:val="99"/>
    <w:rsid w:val="009A38A3"/>
    <w:rPr>
      <w:rFonts w:cs="Times New Roman"/>
      <w:b/>
      <w:bCs/>
      <w:smallCaps/>
      <w:color w:val="C0504D"/>
      <w:spacing w:val="5"/>
      <w:u w:val="single"/>
    </w:rPr>
  </w:style>
  <w:style w:type="character" w:customStyle="1" w:styleId="BookTitle1">
    <w:name w:val="Book Title1"/>
    <w:uiPriority w:val="99"/>
    <w:rsid w:val="009A38A3"/>
    <w:rPr>
      <w:rFonts w:cs="Times New Roman"/>
      <w:b/>
      <w:bCs/>
      <w:smallCaps/>
      <w:spacing w:val="5"/>
    </w:rPr>
  </w:style>
  <w:style w:type="paragraph" w:customStyle="1" w:styleId="MediumGrid22">
    <w:name w:val="Medium Grid 22"/>
    <w:uiPriority w:val="99"/>
    <w:semiHidden/>
    <w:qFormat/>
    <w:rsid w:val="009A38A3"/>
    <w:pPr>
      <w:widowControl w:val="0"/>
      <w:suppressAutoHyphens/>
    </w:pPr>
    <w:rPr>
      <w:rFonts w:ascii="Calibri" w:hAnsi="Calibri" w:cs="Calibri"/>
      <w:sz w:val="22"/>
      <w:szCs w:val="22"/>
      <w:lang w:val="en-US"/>
    </w:rPr>
  </w:style>
  <w:style w:type="paragraph" w:customStyle="1" w:styleId="ColorfulList-Accent11">
    <w:name w:val="Colorful List - Accent 11"/>
    <w:basedOn w:val="Normal"/>
    <w:uiPriority w:val="99"/>
    <w:qFormat/>
    <w:rsid w:val="009A38A3"/>
    <w:pPr>
      <w:ind w:left="720"/>
    </w:pPr>
  </w:style>
  <w:style w:type="paragraph" w:customStyle="1" w:styleId="ColorfulGrid-Accent11">
    <w:name w:val="Colorful Grid - Accent 11"/>
    <w:basedOn w:val="Normal"/>
    <w:next w:val="Normal"/>
    <w:link w:val="ColorfulGrid-Accent1Char"/>
    <w:uiPriority w:val="99"/>
    <w:rsid w:val="009A38A3"/>
    <w:pPr>
      <w:ind w:left="720"/>
    </w:pPr>
    <w:rPr>
      <w:rFonts w:ascii="Myriad Pro Light SemiCond" w:hAnsi="Myriad Pro Light SemiCond"/>
      <w:i/>
      <w:iCs/>
      <w:color w:val="000000"/>
    </w:rPr>
  </w:style>
  <w:style w:type="character" w:customStyle="1" w:styleId="ColorfulGrid-Accent1Char">
    <w:name w:val="Colorful Grid - Accent 1 Char"/>
    <w:link w:val="ColorfulGrid-Accent11"/>
    <w:uiPriority w:val="99"/>
    <w:rsid w:val="009A38A3"/>
    <w:rPr>
      <w:rFonts w:ascii="Myriad Pro Light SemiCond" w:hAnsi="Myriad Pro Light SemiCond" w:cs="Calibri"/>
      <w:i/>
      <w:iCs/>
      <w:color w:val="000000"/>
      <w:sz w:val="22"/>
      <w:szCs w:val="22"/>
    </w:rPr>
  </w:style>
  <w:style w:type="paragraph" w:customStyle="1" w:styleId="LightShading-Accent21">
    <w:name w:val="Light Shading - Accent 21"/>
    <w:basedOn w:val="Normal"/>
    <w:next w:val="Normal"/>
    <w:link w:val="LightShading-Accent2Char"/>
    <w:uiPriority w:val="99"/>
    <w:rsid w:val="009A38A3"/>
    <w:pPr>
      <w:pBdr>
        <w:bottom w:val="single" w:sz="4" w:space="4" w:color="FFFF00"/>
      </w:pBdr>
      <w:spacing w:before="200" w:after="280"/>
      <w:ind w:left="936" w:right="936"/>
    </w:pPr>
    <w:rPr>
      <w:b/>
      <w:bCs/>
      <w:i/>
      <w:iCs/>
      <w:color w:val="4F81BD"/>
    </w:rPr>
  </w:style>
  <w:style w:type="character" w:customStyle="1" w:styleId="LightShading-Accent2Char">
    <w:name w:val="Light Shading - Accent 2 Char"/>
    <w:link w:val="LightShading-Accent21"/>
    <w:uiPriority w:val="99"/>
    <w:rsid w:val="009A38A3"/>
    <w:rPr>
      <w:rFonts w:ascii="Myriad Pro SemiCond" w:hAnsi="Myriad Pro SemiCond" w:cs="Calibri"/>
      <w:b/>
      <w:bCs/>
      <w:i/>
      <w:iCs/>
      <w:color w:val="4F81BD"/>
      <w:sz w:val="22"/>
      <w:szCs w:val="22"/>
    </w:rPr>
  </w:style>
  <w:style w:type="paragraph" w:customStyle="1" w:styleId="TOCHeading1">
    <w:name w:val="TOC Heading1"/>
    <w:basedOn w:val="Heading1"/>
    <w:next w:val="Normal"/>
    <w:uiPriority w:val="39"/>
    <w:qFormat/>
    <w:rsid w:val="009A38A3"/>
    <w:pPr>
      <w:outlineLvl w:val="9"/>
    </w:pPr>
  </w:style>
  <w:style w:type="table" w:styleId="LightList-Accent2">
    <w:name w:val="Light List Accent 2"/>
    <w:basedOn w:val="TableNormal"/>
    <w:uiPriority w:val="61"/>
    <w:rsid w:val="009A38A3"/>
    <w:rPr>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solistparagraph0">
    <w:name w:val="msolistparagraph"/>
    <w:basedOn w:val="Normal"/>
    <w:rsid w:val="009A38A3"/>
    <w:pPr>
      <w:widowControl/>
      <w:suppressAutoHyphens w:val="0"/>
      <w:spacing w:after="0" w:line="240" w:lineRule="auto"/>
      <w:ind w:left="720"/>
    </w:pPr>
    <w:rPr>
      <w:rFonts w:ascii="Calibri" w:eastAsia="Calibri" w:hAnsi="Calibri" w:cs="Times New Roman"/>
      <w:sz w:val="24"/>
      <w:szCs w:val="24"/>
      <w:lang w:val="en-US"/>
    </w:rPr>
  </w:style>
  <w:style w:type="character" w:customStyle="1" w:styleId="st">
    <w:name w:val="st"/>
    <w:rsid w:val="009A38A3"/>
  </w:style>
  <w:style w:type="character" w:customStyle="1" w:styleId="ColorfulGrid-Accent1Char1">
    <w:name w:val="Colorful Grid - Accent 1 Char1"/>
    <w:link w:val="ColorfulGrid-Accent1"/>
    <w:uiPriority w:val="99"/>
    <w:rsid w:val="009A38A3"/>
    <w:rPr>
      <w:rFonts w:ascii="Myriad Pro Light SemiCond" w:hAnsi="Myriad Pro Light SemiCond" w:cs="Calibri"/>
      <w:i/>
      <w:iCs/>
      <w:color w:val="000000"/>
      <w:sz w:val="22"/>
      <w:szCs w:val="22"/>
      <w:lang w:val="en-GB" w:eastAsia="en-US"/>
    </w:rPr>
  </w:style>
  <w:style w:type="character" w:customStyle="1" w:styleId="LightShading-Accent2Char1">
    <w:name w:val="Light Shading - Accent 2 Char1"/>
    <w:link w:val="LightShading-Accent2"/>
    <w:uiPriority w:val="99"/>
    <w:rsid w:val="009A38A3"/>
    <w:rPr>
      <w:rFonts w:ascii="Myriad Pro SemiCond" w:hAnsi="Myriad Pro SemiCond" w:cs="Calibri"/>
      <w:b/>
      <w:bCs/>
      <w:i/>
      <w:iCs/>
      <w:color w:val="4F81BD"/>
      <w:sz w:val="22"/>
      <w:szCs w:val="22"/>
      <w:lang w:val="en-GB" w:eastAsia="en-US"/>
    </w:rPr>
  </w:style>
  <w:style w:type="paragraph" w:customStyle="1" w:styleId="MediumGrid21">
    <w:name w:val="Medium Grid 21"/>
    <w:qFormat/>
    <w:rsid w:val="009A38A3"/>
    <w:pPr>
      <w:widowControl w:val="0"/>
      <w:suppressAutoHyphens/>
    </w:pPr>
    <w:rPr>
      <w:rFonts w:ascii="Calibri" w:eastAsia="Arial" w:hAnsi="Calibri" w:cs="Calibri"/>
      <w:sz w:val="22"/>
      <w:szCs w:val="22"/>
      <w:lang w:val="en-US" w:bidi="en-US"/>
    </w:rPr>
  </w:style>
  <w:style w:type="character" w:customStyle="1" w:styleId="hps">
    <w:name w:val="hps"/>
    <w:rsid w:val="009A38A3"/>
  </w:style>
  <w:style w:type="table" w:styleId="ColorfulGrid-Accent1">
    <w:name w:val="Colorful Grid Accent 1"/>
    <w:basedOn w:val="TableNormal"/>
    <w:link w:val="ColorfulGrid-Accent1Char1"/>
    <w:uiPriority w:val="99"/>
    <w:rsid w:val="009A38A3"/>
    <w:rPr>
      <w:rFonts w:ascii="Myriad Pro Light SemiCond" w:hAnsi="Myriad Pro Light SemiCond" w:cs="Calibri"/>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1"/>
    <w:uiPriority w:val="99"/>
    <w:rsid w:val="009A38A3"/>
    <w:rPr>
      <w:rFonts w:ascii="Myriad Pro SemiCond" w:hAnsi="Myriad Pro SemiCond" w:cs="Calibri"/>
      <w:b/>
      <w:bCs/>
      <w:i/>
      <w:iCs/>
      <w:color w:val="4F81BD"/>
      <w:sz w:val="22"/>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TableNormal"/>
    <w:next w:val="TableGrid"/>
    <w:uiPriority w:val="59"/>
    <w:rsid w:val="00ED4F0C"/>
    <w:rPr>
      <w:rFonts w:ascii="Calibri" w:hAnsi="Calibri"/>
      <w:lang w:val="nb-NO" w:eastAsia="nb-N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3">
    <w:name w:val="A3"/>
    <w:uiPriority w:val="99"/>
    <w:rsid w:val="00D47A3F"/>
    <w:rPr>
      <w:rFonts w:cs="Myriad Pro SemiCond"/>
      <w:color w:val="000000"/>
      <w:sz w:val="20"/>
      <w:szCs w:val="20"/>
    </w:rPr>
  </w:style>
  <w:style w:type="character" w:customStyle="1" w:styleId="ListParagraphChar">
    <w:name w:val="List Paragraph Char"/>
    <w:link w:val="ListParagraph"/>
    <w:uiPriority w:val="34"/>
    <w:rsid w:val="00FF1374"/>
    <w:rPr>
      <w:rFonts w:asciiTheme="majorHAnsi" w:hAnsiTheme="majorHAnsi" w:cs="Calibri"/>
      <w:sz w:val="22"/>
      <w:szCs w:val="22"/>
    </w:rPr>
  </w:style>
  <w:style w:type="paragraph" w:styleId="Bibliography">
    <w:name w:val="Bibliography"/>
    <w:basedOn w:val="Normal"/>
    <w:next w:val="Normal"/>
    <w:uiPriority w:val="37"/>
    <w:unhideWhenUsed/>
    <w:rsid w:val="002D46F5"/>
  </w:style>
  <w:style w:type="paragraph" w:customStyle="1" w:styleId="Heading2notindexed">
    <w:name w:val="Heading 2 not indexed"/>
    <w:basedOn w:val="Heading2"/>
    <w:next w:val="Abbreviations"/>
    <w:link w:val="Heading2notindexedChar"/>
    <w:autoRedefine/>
    <w:qFormat/>
    <w:rsid w:val="00CB2928"/>
    <w:pPr>
      <w:spacing w:before="240" w:line="264" w:lineRule="auto"/>
    </w:pPr>
  </w:style>
  <w:style w:type="character" w:customStyle="1" w:styleId="Heading2notindexedChar">
    <w:name w:val="Heading 2 not indexed Char"/>
    <w:basedOn w:val="Heading2Char"/>
    <w:link w:val="Heading2notindexed"/>
    <w:rsid w:val="00CB2928"/>
    <w:rPr>
      <w:rFonts w:asciiTheme="majorHAnsi" w:hAnsiTheme="majorHAnsi" w:cs="Calibri"/>
      <w:bCs/>
      <w:color w:val="4F81BD"/>
      <w:sz w:val="28"/>
      <w:szCs w:val="26"/>
    </w:rPr>
  </w:style>
  <w:style w:type="paragraph" w:styleId="EndnoteText">
    <w:name w:val="endnote text"/>
    <w:basedOn w:val="Normal"/>
    <w:link w:val="EndnoteTextChar"/>
    <w:uiPriority w:val="99"/>
    <w:semiHidden/>
    <w:unhideWhenUsed/>
    <w:rsid w:val="002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7019"/>
    <w:rPr>
      <w:rFonts w:cs="Calibri"/>
    </w:rPr>
  </w:style>
  <w:style w:type="character" w:styleId="EndnoteReference">
    <w:name w:val="endnote reference"/>
    <w:basedOn w:val="DefaultParagraphFont"/>
    <w:uiPriority w:val="99"/>
    <w:semiHidden/>
    <w:unhideWhenUsed/>
    <w:rsid w:val="002D7019"/>
    <w:rPr>
      <w:vertAlign w:val="superscript"/>
    </w:rPr>
  </w:style>
  <w:style w:type="paragraph" w:styleId="TableofFigures">
    <w:name w:val="table of figures"/>
    <w:basedOn w:val="Normal"/>
    <w:next w:val="Normal"/>
    <w:uiPriority w:val="99"/>
    <w:unhideWhenUsed/>
    <w:rsid w:val="00B33EAB"/>
    <w:pPr>
      <w:ind w:left="440" w:hanging="440"/>
    </w:pPr>
    <w:rPr>
      <w:rFonts w:ascii="Calibri" w:hAnsi="Calibri"/>
    </w:rPr>
  </w:style>
  <w:style w:type="paragraph" w:customStyle="1" w:styleId="Tabletext">
    <w:name w:val="Table text"/>
    <w:basedOn w:val="NoSpacing"/>
    <w:autoRedefine/>
    <w:qFormat/>
    <w:rsid w:val="00E10A07"/>
    <w:pPr>
      <w:spacing w:before="120" w:after="120"/>
    </w:pPr>
    <w:rPr>
      <w:rFonts w:eastAsia="Calibri"/>
    </w:rPr>
  </w:style>
  <w:style w:type="paragraph" w:customStyle="1" w:styleId="Heading2nonumbers">
    <w:name w:val="Heading 2 no numbers"/>
    <w:basedOn w:val="Heading2"/>
    <w:qFormat/>
    <w:rsid w:val="0071487C"/>
  </w:style>
  <w:style w:type="character" w:customStyle="1" w:styleId="Mention">
    <w:name w:val="Mention"/>
    <w:basedOn w:val="DefaultParagraphFont"/>
    <w:uiPriority w:val="99"/>
    <w:semiHidden/>
    <w:unhideWhenUsed/>
    <w:rsid w:val="00A04B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49">
      <w:bodyDiv w:val="1"/>
      <w:marLeft w:val="0"/>
      <w:marRight w:val="0"/>
      <w:marTop w:val="0"/>
      <w:marBottom w:val="0"/>
      <w:divBdr>
        <w:top w:val="none" w:sz="0" w:space="0" w:color="auto"/>
        <w:left w:val="none" w:sz="0" w:space="0" w:color="auto"/>
        <w:bottom w:val="none" w:sz="0" w:space="0" w:color="auto"/>
        <w:right w:val="none" w:sz="0" w:space="0" w:color="auto"/>
      </w:divBdr>
    </w:div>
    <w:div w:id="1855868">
      <w:bodyDiv w:val="1"/>
      <w:marLeft w:val="0"/>
      <w:marRight w:val="0"/>
      <w:marTop w:val="0"/>
      <w:marBottom w:val="0"/>
      <w:divBdr>
        <w:top w:val="none" w:sz="0" w:space="0" w:color="auto"/>
        <w:left w:val="none" w:sz="0" w:space="0" w:color="auto"/>
        <w:bottom w:val="none" w:sz="0" w:space="0" w:color="auto"/>
        <w:right w:val="none" w:sz="0" w:space="0" w:color="auto"/>
      </w:divBdr>
    </w:div>
    <w:div w:id="4866856">
      <w:bodyDiv w:val="1"/>
      <w:marLeft w:val="0"/>
      <w:marRight w:val="0"/>
      <w:marTop w:val="0"/>
      <w:marBottom w:val="0"/>
      <w:divBdr>
        <w:top w:val="none" w:sz="0" w:space="0" w:color="auto"/>
        <w:left w:val="none" w:sz="0" w:space="0" w:color="auto"/>
        <w:bottom w:val="none" w:sz="0" w:space="0" w:color="auto"/>
        <w:right w:val="none" w:sz="0" w:space="0" w:color="auto"/>
      </w:divBdr>
    </w:div>
    <w:div w:id="5331009">
      <w:bodyDiv w:val="1"/>
      <w:marLeft w:val="0"/>
      <w:marRight w:val="0"/>
      <w:marTop w:val="0"/>
      <w:marBottom w:val="0"/>
      <w:divBdr>
        <w:top w:val="none" w:sz="0" w:space="0" w:color="auto"/>
        <w:left w:val="none" w:sz="0" w:space="0" w:color="auto"/>
        <w:bottom w:val="none" w:sz="0" w:space="0" w:color="auto"/>
        <w:right w:val="none" w:sz="0" w:space="0" w:color="auto"/>
      </w:divBdr>
    </w:div>
    <w:div w:id="7561411">
      <w:bodyDiv w:val="1"/>
      <w:marLeft w:val="0"/>
      <w:marRight w:val="0"/>
      <w:marTop w:val="0"/>
      <w:marBottom w:val="0"/>
      <w:divBdr>
        <w:top w:val="none" w:sz="0" w:space="0" w:color="auto"/>
        <w:left w:val="none" w:sz="0" w:space="0" w:color="auto"/>
        <w:bottom w:val="none" w:sz="0" w:space="0" w:color="auto"/>
        <w:right w:val="none" w:sz="0" w:space="0" w:color="auto"/>
      </w:divBdr>
    </w:div>
    <w:div w:id="9842099">
      <w:bodyDiv w:val="1"/>
      <w:marLeft w:val="0"/>
      <w:marRight w:val="0"/>
      <w:marTop w:val="0"/>
      <w:marBottom w:val="0"/>
      <w:divBdr>
        <w:top w:val="none" w:sz="0" w:space="0" w:color="auto"/>
        <w:left w:val="none" w:sz="0" w:space="0" w:color="auto"/>
        <w:bottom w:val="none" w:sz="0" w:space="0" w:color="auto"/>
        <w:right w:val="none" w:sz="0" w:space="0" w:color="auto"/>
      </w:divBdr>
    </w:div>
    <w:div w:id="12534774">
      <w:bodyDiv w:val="1"/>
      <w:marLeft w:val="0"/>
      <w:marRight w:val="0"/>
      <w:marTop w:val="0"/>
      <w:marBottom w:val="0"/>
      <w:divBdr>
        <w:top w:val="none" w:sz="0" w:space="0" w:color="auto"/>
        <w:left w:val="none" w:sz="0" w:space="0" w:color="auto"/>
        <w:bottom w:val="none" w:sz="0" w:space="0" w:color="auto"/>
        <w:right w:val="none" w:sz="0" w:space="0" w:color="auto"/>
      </w:divBdr>
    </w:div>
    <w:div w:id="14380492">
      <w:bodyDiv w:val="1"/>
      <w:marLeft w:val="0"/>
      <w:marRight w:val="0"/>
      <w:marTop w:val="0"/>
      <w:marBottom w:val="0"/>
      <w:divBdr>
        <w:top w:val="none" w:sz="0" w:space="0" w:color="auto"/>
        <w:left w:val="none" w:sz="0" w:space="0" w:color="auto"/>
        <w:bottom w:val="none" w:sz="0" w:space="0" w:color="auto"/>
        <w:right w:val="none" w:sz="0" w:space="0" w:color="auto"/>
      </w:divBdr>
    </w:div>
    <w:div w:id="14620043">
      <w:bodyDiv w:val="1"/>
      <w:marLeft w:val="0"/>
      <w:marRight w:val="0"/>
      <w:marTop w:val="0"/>
      <w:marBottom w:val="0"/>
      <w:divBdr>
        <w:top w:val="none" w:sz="0" w:space="0" w:color="auto"/>
        <w:left w:val="none" w:sz="0" w:space="0" w:color="auto"/>
        <w:bottom w:val="none" w:sz="0" w:space="0" w:color="auto"/>
        <w:right w:val="none" w:sz="0" w:space="0" w:color="auto"/>
      </w:divBdr>
    </w:div>
    <w:div w:id="14818401">
      <w:bodyDiv w:val="1"/>
      <w:marLeft w:val="0"/>
      <w:marRight w:val="0"/>
      <w:marTop w:val="0"/>
      <w:marBottom w:val="0"/>
      <w:divBdr>
        <w:top w:val="none" w:sz="0" w:space="0" w:color="auto"/>
        <w:left w:val="none" w:sz="0" w:space="0" w:color="auto"/>
        <w:bottom w:val="none" w:sz="0" w:space="0" w:color="auto"/>
        <w:right w:val="none" w:sz="0" w:space="0" w:color="auto"/>
      </w:divBdr>
    </w:div>
    <w:div w:id="14888300">
      <w:bodyDiv w:val="1"/>
      <w:marLeft w:val="0"/>
      <w:marRight w:val="0"/>
      <w:marTop w:val="0"/>
      <w:marBottom w:val="0"/>
      <w:divBdr>
        <w:top w:val="none" w:sz="0" w:space="0" w:color="auto"/>
        <w:left w:val="none" w:sz="0" w:space="0" w:color="auto"/>
        <w:bottom w:val="none" w:sz="0" w:space="0" w:color="auto"/>
        <w:right w:val="none" w:sz="0" w:space="0" w:color="auto"/>
      </w:divBdr>
    </w:div>
    <w:div w:id="15277956">
      <w:bodyDiv w:val="1"/>
      <w:marLeft w:val="0"/>
      <w:marRight w:val="0"/>
      <w:marTop w:val="0"/>
      <w:marBottom w:val="0"/>
      <w:divBdr>
        <w:top w:val="none" w:sz="0" w:space="0" w:color="auto"/>
        <w:left w:val="none" w:sz="0" w:space="0" w:color="auto"/>
        <w:bottom w:val="none" w:sz="0" w:space="0" w:color="auto"/>
        <w:right w:val="none" w:sz="0" w:space="0" w:color="auto"/>
      </w:divBdr>
    </w:div>
    <w:div w:id="16200558">
      <w:bodyDiv w:val="1"/>
      <w:marLeft w:val="0"/>
      <w:marRight w:val="0"/>
      <w:marTop w:val="0"/>
      <w:marBottom w:val="0"/>
      <w:divBdr>
        <w:top w:val="none" w:sz="0" w:space="0" w:color="auto"/>
        <w:left w:val="none" w:sz="0" w:space="0" w:color="auto"/>
        <w:bottom w:val="none" w:sz="0" w:space="0" w:color="auto"/>
        <w:right w:val="none" w:sz="0" w:space="0" w:color="auto"/>
      </w:divBdr>
    </w:div>
    <w:div w:id="16546415">
      <w:bodyDiv w:val="1"/>
      <w:marLeft w:val="0"/>
      <w:marRight w:val="0"/>
      <w:marTop w:val="0"/>
      <w:marBottom w:val="0"/>
      <w:divBdr>
        <w:top w:val="none" w:sz="0" w:space="0" w:color="auto"/>
        <w:left w:val="none" w:sz="0" w:space="0" w:color="auto"/>
        <w:bottom w:val="none" w:sz="0" w:space="0" w:color="auto"/>
        <w:right w:val="none" w:sz="0" w:space="0" w:color="auto"/>
      </w:divBdr>
    </w:div>
    <w:div w:id="16930553">
      <w:bodyDiv w:val="1"/>
      <w:marLeft w:val="0"/>
      <w:marRight w:val="0"/>
      <w:marTop w:val="0"/>
      <w:marBottom w:val="0"/>
      <w:divBdr>
        <w:top w:val="none" w:sz="0" w:space="0" w:color="auto"/>
        <w:left w:val="none" w:sz="0" w:space="0" w:color="auto"/>
        <w:bottom w:val="none" w:sz="0" w:space="0" w:color="auto"/>
        <w:right w:val="none" w:sz="0" w:space="0" w:color="auto"/>
      </w:divBdr>
    </w:div>
    <w:div w:id="16974420">
      <w:bodyDiv w:val="1"/>
      <w:marLeft w:val="0"/>
      <w:marRight w:val="0"/>
      <w:marTop w:val="0"/>
      <w:marBottom w:val="0"/>
      <w:divBdr>
        <w:top w:val="none" w:sz="0" w:space="0" w:color="auto"/>
        <w:left w:val="none" w:sz="0" w:space="0" w:color="auto"/>
        <w:bottom w:val="none" w:sz="0" w:space="0" w:color="auto"/>
        <w:right w:val="none" w:sz="0" w:space="0" w:color="auto"/>
      </w:divBdr>
    </w:div>
    <w:div w:id="17774767">
      <w:bodyDiv w:val="1"/>
      <w:marLeft w:val="0"/>
      <w:marRight w:val="0"/>
      <w:marTop w:val="0"/>
      <w:marBottom w:val="0"/>
      <w:divBdr>
        <w:top w:val="none" w:sz="0" w:space="0" w:color="auto"/>
        <w:left w:val="none" w:sz="0" w:space="0" w:color="auto"/>
        <w:bottom w:val="none" w:sz="0" w:space="0" w:color="auto"/>
        <w:right w:val="none" w:sz="0" w:space="0" w:color="auto"/>
      </w:divBdr>
    </w:div>
    <w:div w:id="19164702">
      <w:bodyDiv w:val="1"/>
      <w:marLeft w:val="0"/>
      <w:marRight w:val="0"/>
      <w:marTop w:val="0"/>
      <w:marBottom w:val="0"/>
      <w:divBdr>
        <w:top w:val="none" w:sz="0" w:space="0" w:color="auto"/>
        <w:left w:val="none" w:sz="0" w:space="0" w:color="auto"/>
        <w:bottom w:val="none" w:sz="0" w:space="0" w:color="auto"/>
        <w:right w:val="none" w:sz="0" w:space="0" w:color="auto"/>
      </w:divBdr>
    </w:div>
    <w:div w:id="20253841">
      <w:bodyDiv w:val="1"/>
      <w:marLeft w:val="0"/>
      <w:marRight w:val="0"/>
      <w:marTop w:val="0"/>
      <w:marBottom w:val="0"/>
      <w:divBdr>
        <w:top w:val="none" w:sz="0" w:space="0" w:color="auto"/>
        <w:left w:val="none" w:sz="0" w:space="0" w:color="auto"/>
        <w:bottom w:val="none" w:sz="0" w:space="0" w:color="auto"/>
        <w:right w:val="none" w:sz="0" w:space="0" w:color="auto"/>
      </w:divBdr>
    </w:div>
    <w:div w:id="22479567">
      <w:bodyDiv w:val="1"/>
      <w:marLeft w:val="0"/>
      <w:marRight w:val="0"/>
      <w:marTop w:val="0"/>
      <w:marBottom w:val="0"/>
      <w:divBdr>
        <w:top w:val="none" w:sz="0" w:space="0" w:color="auto"/>
        <w:left w:val="none" w:sz="0" w:space="0" w:color="auto"/>
        <w:bottom w:val="none" w:sz="0" w:space="0" w:color="auto"/>
        <w:right w:val="none" w:sz="0" w:space="0" w:color="auto"/>
      </w:divBdr>
    </w:div>
    <w:div w:id="23337508">
      <w:bodyDiv w:val="1"/>
      <w:marLeft w:val="0"/>
      <w:marRight w:val="0"/>
      <w:marTop w:val="0"/>
      <w:marBottom w:val="0"/>
      <w:divBdr>
        <w:top w:val="none" w:sz="0" w:space="0" w:color="auto"/>
        <w:left w:val="none" w:sz="0" w:space="0" w:color="auto"/>
        <w:bottom w:val="none" w:sz="0" w:space="0" w:color="auto"/>
        <w:right w:val="none" w:sz="0" w:space="0" w:color="auto"/>
      </w:divBdr>
    </w:div>
    <w:div w:id="23949996">
      <w:bodyDiv w:val="1"/>
      <w:marLeft w:val="0"/>
      <w:marRight w:val="0"/>
      <w:marTop w:val="0"/>
      <w:marBottom w:val="0"/>
      <w:divBdr>
        <w:top w:val="none" w:sz="0" w:space="0" w:color="auto"/>
        <w:left w:val="none" w:sz="0" w:space="0" w:color="auto"/>
        <w:bottom w:val="none" w:sz="0" w:space="0" w:color="auto"/>
        <w:right w:val="none" w:sz="0" w:space="0" w:color="auto"/>
      </w:divBdr>
    </w:div>
    <w:div w:id="25371775">
      <w:bodyDiv w:val="1"/>
      <w:marLeft w:val="0"/>
      <w:marRight w:val="0"/>
      <w:marTop w:val="0"/>
      <w:marBottom w:val="0"/>
      <w:divBdr>
        <w:top w:val="none" w:sz="0" w:space="0" w:color="auto"/>
        <w:left w:val="none" w:sz="0" w:space="0" w:color="auto"/>
        <w:bottom w:val="none" w:sz="0" w:space="0" w:color="auto"/>
        <w:right w:val="none" w:sz="0" w:space="0" w:color="auto"/>
      </w:divBdr>
    </w:div>
    <w:div w:id="25914174">
      <w:bodyDiv w:val="1"/>
      <w:marLeft w:val="0"/>
      <w:marRight w:val="0"/>
      <w:marTop w:val="0"/>
      <w:marBottom w:val="0"/>
      <w:divBdr>
        <w:top w:val="none" w:sz="0" w:space="0" w:color="auto"/>
        <w:left w:val="none" w:sz="0" w:space="0" w:color="auto"/>
        <w:bottom w:val="none" w:sz="0" w:space="0" w:color="auto"/>
        <w:right w:val="none" w:sz="0" w:space="0" w:color="auto"/>
      </w:divBdr>
    </w:div>
    <w:div w:id="27069438">
      <w:bodyDiv w:val="1"/>
      <w:marLeft w:val="0"/>
      <w:marRight w:val="0"/>
      <w:marTop w:val="0"/>
      <w:marBottom w:val="0"/>
      <w:divBdr>
        <w:top w:val="none" w:sz="0" w:space="0" w:color="auto"/>
        <w:left w:val="none" w:sz="0" w:space="0" w:color="auto"/>
        <w:bottom w:val="none" w:sz="0" w:space="0" w:color="auto"/>
        <w:right w:val="none" w:sz="0" w:space="0" w:color="auto"/>
      </w:divBdr>
    </w:div>
    <w:div w:id="28191487">
      <w:bodyDiv w:val="1"/>
      <w:marLeft w:val="0"/>
      <w:marRight w:val="0"/>
      <w:marTop w:val="0"/>
      <w:marBottom w:val="0"/>
      <w:divBdr>
        <w:top w:val="none" w:sz="0" w:space="0" w:color="auto"/>
        <w:left w:val="none" w:sz="0" w:space="0" w:color="auto"/>
        <w:bottom w:val="none" w:sz="0" w:space="0" w:color="auto"/>
        <w:right w:val="none" w:sz="0" w:space="0" w:color="auto"/>
      </w:divBdr>
    </w:div>
    <w:div w:id="28654436">
      <w:bodyDiv w:val="1"/>
      <w:marLeft w:val="0"/>
      <w:marRight w:val="0"/>
      <w:marTop w:val="0"/>
      <w:marBottom w:val="0"/>
      <w:divBdr>
        <w:top w:val="none" w:sz="0" w:space="0" w:color="auto"/>
        <w:left w:val="none" w:sz="0" w:space="0" w:color="auto"/>
        <w:bottom w:val="none" w:sz="0" w:space="0" w:color="auto"/>
        <w:right w:val="none" w:sz="0" w:space="0" w:color="auto"/>
      </w:divBdr>
    </w:div>
    <w:div w:id="29770780">
      <w:bodyDiv w:val="1"/>
      <w:marLeft w:val="0"/>
      <w:marRight w:val="0"/>
      <w:marTop w:val="0"/>
      <w:marBottom w:val="0"/>
      <w:divBdr>
        <w:top w:val="none" w:sz="0" w:space="0" w:color="auto"/>
        <w:left w:val="none" w:sz="0" w:space="0" w:color="auto"/>
        <w:bottom w:val="none" w:sz="0" w:space="0" w:color="auto"/>
        <w:right w:val="none" w:sz="0" w:space="0" w:color="auto"/>
      </w:divBdr>
    </w:div>
    <w:div w:id="30880216">
      <w:bodyDiv w:val="1"/>
      <w:marLeft w:val="0"/>
      <w:marRight w:val="0"/>
      <w:marTop w:val="0"/>
      <w:marBottom w:val="0"/>
      <w:divBdr>
        <w:top w:val="none" w:sz="0" w:space="0" w:color="auto"/>
        <w:left w:val="none" w:sz="0" w:space="0" w:color="auto"/>
        <w:bottom w:val="none" w:sz="0" w:space="0" w:color="auto"/>
        <w:right w:val="none" w:sz="0" w:space="0" w:color="auto"/>
      </w:divBdr>
    </w:div>
    <w:div w:id="32275518">
      <w:bodyDiv w:val="1"/>
      <w:marLeft w:val="0"/>
      <w:marRight w:val="0"/>
      <w:marTop w:val="0"/>
      <w:marBottom w:val="0"/>
      <w:divBdr>
        <w:top w:val="none" w:sz="0" w:space="0" w:color="auto"/>
        <w:left w:val="none" w:sz="0" w:space="0" w:color="auto"/>
        <w:bottom w:val="none" w:sz="0" w:space="0" w:color="auto"/>
        <w:right w:val="none" w:sz="0" w:space="0" w:color="auto"/>
      </w:divBdr>
    </w:div>
    <w:div w:id="32314618">
      <w:bodyDiv w:val="1"/>
      <w:marLeft w:val="0"/>
      <w:marRight w:val="0"/>
      <w:marTop w:val="0"/>
      <w:marBottom w:val="0"/>
      <w:divBdr>
        <w:top w:val="none" w:sz="0" w:space="0" w:color="auto"/>
        <w:left w:val="none" w:sz="0" w:space="0" w:color="auto"/>
        <w:bottom w:val="none" w:sz="0" w:space="0" w:color="auto"/>
        <w:right w:val="none" w:sz="0" w:space="0" w:color="auto"/>
      </w:divBdr>
    </w:div>
    <w:div w:id="32579701">
      <w:bodyDiv w:val="1"/>
      <w:marLeft w:val="0"/>
      <w:marRight w:val="0"/>
      <w:marTop w:val="0"/>
      <w:marBottom w:val="0"/>
      <w:divBdr>
        <w:top w:val="none" w:sz="0" w:space="0" w:color="auto"/>
        <w:left w:val="none" w:sz="0" w:space="0" w:color="auto"/>
        <w:bottom w:val="none" w:sz="0" w:space="0" w:color="auto"/>
        <w:right w:val="none" w:sz="0" w:space="0" w:color="auto"/>
      </w:divBdr>
    </w:div>
    <w:div w:id="32583879">
      <w:bodyDiv w:val="1"/>
      <w:marLeft w:val="0"/>
      <w:marRight w:val="0"/>
      <w:marTop w:val="0"/>
      <w:marBottom w:val="0"/>
      <w:divBdr>
        <w:top w:val="none" w:sz="0" w:space="0" w:color="auto"/>
        <w:left w:val="none" w:sz="0" w:space="0" w:color="auto"/>
        <w:bottom w:val="none" w:sz="0" w:space="0" w:color="auto"/>
        <w:right w:val="none" w:sz="0" w:space="0" w:color="auto"/>
      </w:divBdr>
    </w:div>
    <w:div w:id="33047045">
      <w:bodyDiv w:val="1"/>
      <w:marLeft w:val="0"/>
      <w:marRight w:val="0"/>
      <w:marTop w:val="0"/>
      <w:marBottom w:val="0"/>
      <w:divBdr>
        <w:top w:val="none" w:sz="0" w:space="0" w:color="auto"/>
        <w:left w:val="none" w:sz="0" w:space="0" w:color="auto"/>
        <w:bottom w:val="none" w:sz="0" w:space="0" w:color="auto"/>
        <w:right w:val="none" w:sz="0" w:space="0" w:color="auto"/>
      </w:divBdr>
    </w:div>
    <w:div w:id="34160091">
      <w:bodyDiv w:val="1"/>
      <w:marLeft w:val="0"/>
      <w:marRight w:val="0"/>
      <w:marTop w:val="0"/>
      <w:marBottom w:val="0"/>
      <w:divBdr>
        <w:top w:val="none" w:sz="0" w:space="0" w:color="auto"/>
        <w:left w:val="none" w:sz="0" w:space="0" w:color="auto"/>
        <w:bottom w:val="none" w:sz="0" w:space="0" w:color="auto"/>
        <w:right w:val="none" w:sz="0" w:space="0" w:color="auto"/>
      </w:divBdr>
    </w:div>
    <w:div w:id="34501657">
      <w:bodyDiv w:val="1"/>
      <w:marLeft w:val="0"/>
      <w:marRight w:val="0"/>
      <w:marTop w:val="0"/>
      <w:marBottom w:val="0"/>
      <w:divBdr>
        <w:top w:val="none" w:sz="0" w:space="0" w:color="auto"/>
        <w:left w:val="none" w:sz="0" w:space="0" w:color="auto"/>
        <w:bottom w:val="none" w:sz="0" w:space="0" w:color="auto"/>
        <w:right w:val="none" w:sz="0" w:space="0" w:color="auto"/>
      </w:divBdr>
    </w:div>
    <w:div w:id="35202803">
      <w:bodyDiv w:val="1"/>
      <w:marLeft w:val="0"/>
      <w:marRight w:val="0"/>
      <w:marTop w:val="0"/>
      <w:marBottom w:val="0"/>
      <w:divBdr>
        <w:top w:val="none" w:sz="0" w:space="0" w:color="auto"/>
        <w:left w:val="none" w:sz="0" w:space="0" w:color="auto"/>
        <w:bottom w:val="none" w:sz="0" w:space="0" w:color="auto"/>
        <w:right w:val="none" w:sz="0" w:space="0" w:color="auto"/>
      </w:divBdr>
    </w:div>
    <w:div w:id="37973061">
      <w:bodyDiv w:val="1"/>
      <w:marLeft w:val="0"/>
      <w:marRight w:val="0"/>
      <w:marTop w:val="0"/>
      <w:marBottom w:val="0"/>
      <w:divBdr>
        <w:top w:val="none" w:sz="0" w:space="0" w:color="auto"/>
        <w:left w:val="none" w:sz="0" w:space="0" w:color="auto"/>
        <w:bottom w:val="none" w:sz="0" w:space="0" w:color="auto"/>
        <w:right w:val="none" w:sz="0" w:space="0" w:color="auto"/>
      </w:divBdr>
    </w:div>
    <w:div w:id="38289033">
      <w:bodyDiv w:val="1"/>
      <w:marLeft w:val="0"/>
      <w:marRight w:val="0"/>
      <w:marTop w:val="0"/>
      <w:marBottom w:val="0"/>
      <w:divBdr>
        <w:top w:val="none" w:sz="0" w:space="0" w:color="auto"/>
        <w:left w:val="none" w:sz="0" w:space="0" w:color="auto"/>
        <w:bottom w:val="none" w:sz="0" w:space="0" w:color="auto"/>
        <w:right w:val="none" w:sz="0" w:space="0" w:color="auto"/>
      </w:divBdr>
    </w:div>
    <w:div w:id="38407985">
      <w:bodyDiv w:val="1"/>
      <w:marLeft w:val="0"/>
      <w:marRight w:val="0"/>
      <w:marTop w:val="0"/>
      <w:marBottom w:val="0"/>
      <w:divBdr>
        <w:top w:val="none" w:sz="0" w:space="0" w:color="auto"/>
        <w:left w:val="none" w:sz="0" w:space="0" w:color="auto"/>
        <w:bottom w:val="none" w:sz="0" w:space="0" w:color="auto"/>
        <w:right w:val="none" w:sz="0" w:space="0" w:color="auto"/>
      </w:divBdr>
      <w:divsChild>
        <w:div w:id="1205364857">
          <w:marLeft w:val="0"/>
          <w:marRight w:val="0"/>
          <w:marTop w:val="0"/>
          <w:marBottom w:val="0"/>
          <w:divBdr>
            <w:top w:val="none" w:sz="0" w:space="0" w:color="DDDDDD"/>
            <w:left w:val="none" w:sz="0" w:space="0" w:color="DDDDDD"/>
            <w:bottom w:val="none" w:sz="0" w:space="0" w:color="auto"/>
            <w:right w:val="none" w:sz="0" w:space="0" w:color="DDDDDD"/>
          </w:divBdr>
        </w:div>
        <w:div w:id="1380009999">
          <w:marLeft w:val="0"/>
          <w:marRight w:val="0"/>
          <w:marTop w:val="0"/>
          <w:marBottom w:val="0"/>
          <w:divBdr>
            <w:top w:val="none" w:sz="0" w:space="0" w:color="auto"/>
            <w:left w:val="none" w:sz="0" w:space="0" w:color="auto"/>
            <w:bottom w:val="none" w:sz="0" w:space="0" w:color="auto"/>
            <w:right w:val="none" w:sz="0" w:space="0" w:color="auto"/>
          </w:divBdr>
          <w:divsChild>
            <w:div w:id="5973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4021">
      <w:bodyDiv w:val="1"/>
      <w:marLeft w:val="0"/>
      <w:marRight w:val="0"/>
      <w:marTop w:val="0"/>
      <w:marBottom w:val="0"/>
      <w:divBdr>
        <w:top w:val="none" w:sz="0" w:space="0" w:color="auto"/>
        <w:left w:val="none" w:sz="0" w:space="0" w:color="auto"/>
        <w:bottom w:val="none" w:sz="0" w:space="0" w:color="auto"/>
        <w:right w:val="none" w:sz="0" w:space="0" w:color="auto"/>
      </w:divBdr>
    </w:div>
    <w:div w:id="39744631">
      <w:bodyDiv w:val="1"/>
      <w:marLeft w:val="0"/>
      <w:marRight w:val="0"/>
      <w:marTop w:val="0"/>
      <w:marBottom w:val="0"/>
      <w:divBdr>
        <w:top w:val="none" w:sz="0" w:space="0" w:color="auto"/>
        <w:left w:val="none" w:sz="0" w:space="0" w:color="auto"/>
        <w:bottom w:val="none" w:sz="0" w:space="0" w:color="auto"/>
        <w:right w:val="none" w:sz="0" w:space="0" w:color="auto"/>
      </w:divBdr>
    </w:div>
    <w:div w:id="40525422">
      <w:bodyDiv w:val="1"/>
      <w:marLeft w:val="0"/>
      <w:marRight w:val="0"/>
      <w:marTop w:val="0"/>
      <w:marBottom w:val="0"/>
      <w:divBdr>
        <w:top w:val="none" w:sz="0" w:space="0" w:color="auto"/>
        <w:left w:val="none" w:sz="0" w:space="0" w:color="auto"/>
        <w:bottom w:val="none" w:sz="0" w:space="0" w:color="auto"/>
        <w:right w:val="none" w:sz="0" w:space="0" w:color="auto"/>
      </w:divBdr>
    </w:div>
    <w:div w:id="41485973">
      <w:bodyDiv w:val="1"/>
      <w:marLeft w:val="0"/>
      <w:marRight w:val="0"/>
      <w:marTop w:val="0"/>
      <w:marBottom w:val="0"/>
      <w:divBdr>
        <w:top w:val="none" w:sz="0" w:space="0" w:color="auto"/>
        <w:left w:val="none" w:sz="0" w:space="0" w:color="auto"/>
        <w:bottom w:val="none" w:sz="0" w:space="0" w:color="auto"/>
        <w:right w:val="none" w:sz="0" w:space="0" w:color="auto"/>
      </w:divBdr>
    </w:div>
    <w:div w:id="42993804">
      <w:bodyDiv w:val="1"/>
      <w:marLeft w:val="0"/>
      <w:marRight w:val="0"/>
      <w:marTop w:val="0"/>
      <w:marBottom w:val="0"/>
      <w:divBdr>
        <w:top w:val="none" w:sz="0" w:space="0" w:color="auto"/>
        <w:left w:val="none" w:sz="0" w:space="0" w:color="auto"/>
        <w:bottom w:val="none" w:sz="0" w:space="0" w:color="auto"/>
        <w:right w:val="none" w:sz="0" w:space="0" w:color="auto"/>
      </w:divBdr>
    </w:div>
    <w:div w:id="43065605">
      <w:bodyDiv w:val="1"/>
      <w:marLeft w:val="0"/>
      <w:marRight w:val="0"/>
      <w:marTop w:val="0"/>
      <w:marBottom w:val="0"/>
      <w:divBdr>
        <w:top w:val="none" w:sz="0" w:space="0" w:color="auto"/>
        <w:left w:val="none" w:sz="0" w:space="0" w:color="auto"/>
        <w:bottom w:val="none" w:sz="0" w:space="0" w:color="auto"/>
        <w:right w:val="none" w:sz="0" w:space="0" w:color="auto"/>
      </w:divBdr>
    </w:div>
    <w:div w:id="43142258">
      <w:bodyDiv w:val="1"/>
      <w:marLeft w:val="0"/>
      <w:marRight w:val="0"/>
      <w:marTop w:val="0"/>
      <w:marBottom w:val="0"/>
      <w:divBdr>
        <w:top w:val="none" w:sz="0" w:space="0" w:color="auto"/>
        <w:left w:val="none" w:sz="0" w:space="0" w:color="auto"/>
        <w:bottom w:val="none" w:sz="0" w:space="0" w:color="auto"/>
        <w:right w:val="none" w:sz="0" w:space="0" w:color="auto"/>
      </w:divBdr>
    </w:div>
    <w:div w:id="43456012">
      <w:bodyDiv w:val="1"/>
      <w:marLeft w:val="0"/>
      <w:marRight w:val="0"/>
      <w:marTop w:val="0"/>
      <w:marBottom w:val="0"/>
      <w:divBdr>
        <w:top w:val="none" w:sz="0" w:space="0" w:color="auto"/>
        <w:left w:val="none" w:sz="0" w:space="0" w:color="auto"/>
        <w:bottom w:val="none" w:sz="0" w:space="0" w:color="auto"/>
        <w:right w:val="none" w:sz="0" w:space="0" w:color="auto"/>
      </w:divBdr>
    </w:div>
    <w:div w:id="44570394">
      <w:bodyDiv w:val="1"/>
      <w:marLeft w:val="0"/>
      <w:marRight w:val="0"/>
      <w:marTop w:val="0"/>
      <w:marBottom w:val="0"/>
      <w:divBdr>
        <w:top w:val="none" w:sz="0" w:space="0" w:color="auto"/>
        <w:left w:val="none" w:sz="0" w:space="0" w:color="auto"/>
        <w:bottom w:val="none" w:sz="0" w:space="0" w:color="auto"/>
        <w:right w:val="none" w:sz="0" w:space="0" w:color="auto"/>
      </w:divBdr>
    </w:div>
    <w:div w:id="44841408">
      <w:bodyDiv w:val="1"/>
      <w:marLeft w:val="0"/>
      <w:marRight w:val="0"/>
      <w:marTop w:val="0"/>
      <w:marBottom w:val="0"/>
      <w:divBdr>
        <w:top w:val="none" w:sz="0" w:space="0" w:color="auto"/>
        <w:left w:val="none" w:sz="0" w:space="0" w:color="auto"/>
        <w:bottom w:val="none" w:sz="0" w:space="0" w:color="auto"/>
        <w:right w:val="none" w:sz="0" w:space="0" w:color="auto"/>
      </w:divBdr>
    </w:div>
    <w:div w:id="45109967">
      <w:bodyDiv w:val="1"/>
      <w:marLeft w:val="0"/>
      <w:marRight w:val="0"/>
      <w:marTop w:val="0"/>
      <w:marBottom w:val="0"/>
      <w:divBdr>
        <w:top w:val="none" w:sz="0" w:space="0" w:color="auto"/>
        <w:left w:val="none" w:sz="0" w:space="0" w:color="auto"/>
        <w:bottom w:val="none" w:sz="0" w:space="0" w:color="auto"/>
        <w:right w:val="none" w:sz="0" w:space="0" w:color="auto"/>
      </w:divBdr>
    </w:div>
    <w:div w:id="45225956">
      <w:bodyDiv w:val="1"/>
      <w:marLeft w:val="0"/>
      <w:marRight w:val="0"/>
      <w:marTop w:val="0"/>
      <w:marBottom w:val="0"/>
      <w:divBdr>
        <w:top w:val="none" w:sz="0" w:space="0" w:color="auto"/>
        <w:left w:val="none" w:sz="0" w:space="0" w:color="auto"/>
        <w:bottom w:val="none" w:sz="0" w:space="0" w:color="auto"/>
        <w:right w:val="none" w:sz="0" w:space="0" w:color="auto"/>
      </w:divBdr>
    </w:div>
    <w:div w:id="45958017">
      <w:bodyDiv w:val="1"/>
      <w:marLeft w:val="0"/>
      <w:marRight w:val="0"/>
      <w:marTop w:val="0"/>
      <w:marBottom w:val="0"/>
      <w:divBdr>
        <w:top w:val="none" w:sz="0" w:space="0" w:color="auto"/>
        <w:left w:val="none" w:sz="0" w:space="0" w:color="auto"/>
        <w:bottom w:val="none" w:sz="0" w:space="0" w:color="auto"/>
        <w:right w:val="none" w:sz="0" w:space="0" w:color="auto"/>
      </w:divBdr>
    </w:div>
    <w:div w:id="47924017">
      <w:bodyDiv w:val="1"/>
      <w:marLeft w:val="0"/>
      <w:marRight w:val="0"/>
      <w:marTop w:val="0"/>
      <w:marBottom w:val="0"/>
      <w:divBdr>
        <w:top w:val="none" w:sz="0" w:space="0" w:color="auto"/>
        <w:left w:val="none" w:sz="0" w:space="0" w:color="auto"/>
        <w:bottom w:val="none" w:sz="0" w:space="0" w:color="auto"/>
        <w:right w:val="none" w:sz="0" w:space="0" w:color="auto"/>
      </w:divBdr>
    </w:div>
    <w:div w:id="47925085">
      <w:bodyDiv w:val="1"/>
      <w:marLeft w:val="0"/>
      <w:marRight w:val="0"/>
      <w:marTop w:val="0"/>
      <w:marBottom w:val="0"/>
      <w:divBdr>
        <w:top w:val="none" w:sz="0" w:space="0" w:color="auto"/>
        <w:left w:val="none" w:sz="0" w:space="0" w:color="auto"/>
        <w:bottom w:val="none" w:sz="0" w:space="0" w:color="auto"/>
        <w:right w:val="none" w:sz="0" w:space="0" w:color="auto"/>
      </w:divBdr>
    </w:div>
    <w:div w:id="48725498">
      <w:bodyDiv w:val="1"/>
      <w:marLeft w:val="0"/>
      <w:marRight w:val="0"/>
      <w:marTop w:val="0"/>
      <w:marBottom w:val="0"/>
      <w:divBdr>
        <w:top w:val="none" w:sz="0" w:space="0" w:color="auto"/>
        <w:left w:val="none" w:sz="0" w:space="0" w:color="auto"/>
        <w:bottom w:val="none" w:sz="0" w:space="0" w:color="auto"/>
        <w:right w:val="none" w:sz="0" w:space="0" w:color="auto"/>
      </w:divBdr>
    </w:div>
    <w:div w:id="50152455">
      <w:bodyDiv w:val="1"/>
      <w:marLeft w:val="0"/>
      <w:marRight w:val="0"/>
      <w:marTop w:val="0"/>
      <w:marBottom w:val="0"/>
      <w:divBdr>
        <w:top w:val="none" w:sz="0" w:space="0" w:color="auto"/>
        <w:left w:val="none" w:sz="0" w:space="0" w:color="auto"/>
        <w:bottom w:val="none" w:sz="0" w:space="0" w:color="auto"/>
        <w:right w:val="none" w:sz="0" w:space="0" w:color="auto"/>
      </w:divBdr>
    </w:div>
    <w:div w:id="53084806">
      <w:bodyDiv w:val="1"/>
      <w:marLeft w:val="0"/>
      <w:marRight w:val="0"/>
      <w:marTop w:val="0"/>
      <w:marBottom w:val="0"/>
      <w:divBdr>
        <w:top w:val="none" w:sz="0" w:space="0" w:color="auto"/>
        <w:left w:val="none" w:sz="0" w:space="0" w:color="auto"/>
        <w:bottom w:val="none" w:sz="0" w:space="0" w:color="auto"/>
        <w:right w:val="none" w:sz="0" w:space="0" w:color="auto"/>
      </w:divBdr>
    </w:div>
    <w:div w:id="53816569">
      <w:bodyDiv w:val="1"/>
      <w:marLeft w:val="0"/>
      <w:marRight w:val="0"/>
      <w:marTop w:val="0"/>
      <w:marBottom w:val="0"/>
      <w:divBdr>
        <w:top w:val="none" w:sz="0" w:space="0" w:color="auto"/>
        <w:left w:val="none" w:sz="0" w:space="0" w:color="auto"/>
        <w:bottom w:val="none" w:sz="0" w:space="0" w:color="auto"/>
        <w:right w:val="none" w:sz="0" w:space="0" w:color="auto"/>
      </w:divBdr>
    </w:div>
    <w:div w:id="55518913">
      <w:bodyDiv w:val="1"/>
      <w:marLeft w:val="0"/>
      <w:marRight w:val="0"/>
      <w:marTop w:val="0"/>
      <w:marBottom w:val="0"/>
      <w:divBdr>
        <w:top w:val="none" w:sz="0" w:space="0" w:color="auto"/>
        <w:left w:val="none" w:sz="0" w:space="0" w:color="auto"/>
        <w:bottom w:val="none" w:sz="0" w:space="0" w:color="auto"/>
        <w:right w:val="none" w:sz="0" w:space="0" w:color="auto"/>
      </w:divBdr>
    </w:div>
    <w:div w:id="57099855">
      <w:bodyDiv w:val="1"/>
      <w:marLeft w:val="0"/>
      <w:marRight w:val="0"/>
      <w:marTop w:val="0"/>
      <w:marBottom w:val="0"/>
      <w:divBdr>
        <w:top w:val="none" w:sz="0" w:space="0" w:color="auto"/>
        <w:left w:val="none" w:sz="0" w:space="0" w:color="auto"/>
        <w:bottom w:val="none" w:sz="0" w:space="0" w:color="auto"/>
        <w:right w:val="none" w:sz="0" w:space="0" w:color="auto"/>
      </w:divBdr>
    </w:div>
    <w:div w:id="57749599">
      <w:bodyDiv w:val="1"/>
      <w:marLeft w:val="0"/>
      <w:marRight w:val="0"/>
      <w:marTop w:val="0"/>
      <w:marBottom w:val="0"/>
      <w:divBdr>
        <w:top w:val="none" w:sz="0" w:space="0" w:color="auto"/>
        <w:left w:val="none" w:sz="0" w:space="0" w:color="auto"/>
        <w:bottom w:val="none" w:sz="0" w:space="0" w:color="auto"/>
        <w:right w:val="none" w:sz="0" w:space="0" w:color="auto"/>
      </w:divBdr>
    </w:div>
    <w:div w:id="57821794">
      <w:bodyDiv w:val="1"/>
      <w:marLeft w:val="0"/>
      <w:marRight w:val="0"/>
      <w:marTop w:val="0"/>
      <w:marBottom w:val="0"/>
      <w:divBdr>
        <w:top w:val="none" w:sz="0" w:space="0" w:color="auto"/>
        <w:left w:val="none" w:sz="0" w:space="0" w:color="auto"/>
        <w:bottom w:val="none" w:sz="0" w:space="0" w:color="auto"/>
        <w:right w:val="none" w:sz="0" w:space="0" w:color="auto"/>
      </w:divBdr>
    </w:div>
    <w:div w:id="59525051">
      <w:bodyDiv w:val="1"/>
      <w:marLeft w:val="0"/>
      <w:marRight w:val="0"/>
      <w:marTop w:val="0"/>
      <w:marBottom w:val="0"/>
      <w:divBdr>
        <w:top w:val="none" w:sz="0" w:space="0" w:color="auto"/>
        <w:left w:val="none" w:sz="0" w:space="0" w:color="auto"/>
        <w:bottom w:val="none" w:sz="0" w:space="0" w:color="auto"/>
        <w:right w:val="none" w:sz="0" w:space="0" w:color="auto"/>
      </w:divBdr>
    </w:div>
    <w:div w:id="59721246">
      <w:bodyDiv w:val="1"/>
      <w:marLeft w:val="0"/>
      <w:marRight w:val="0"/>
      <w:marTop w:val="0"/>
      <w:marBottom w:val="0"/>
      <w:divBdr>
        <w:top w:val="none" w:sz="0" w:space="0" w:color="auto"/>
        <w:left w:val="none" w:sz="0" w:space="0" w:color="auto"/>
        <w:bottom w:val="none" w:sz="0" w:space="0" w:color="auto"/>
        <w:right w:val="none" w:sz="0" w:space="0" w:color="auto"/>
      </w:divBdr>
    </w:div>
    <w:div w:id="59790936">
      <w:bodyDiv w:val="1"/>
      <w:marLeft w:val="0"/>
      <w:marRight w:val="0"/>
      <w:marTop w:val="0"/>
      <w:marBottom w:val="0"/>
      <w:divBdr>
        <w:top w:val="none" w:sz="0" w:space="0" w:color="auto"/>
        <w:left w:val="none" w:sz="0" w:space="0" w:color="auto"/>
        <w:bottom w:val="none" w:sz="0" w:space="0" w:color="auto"/>
        <w:right w:val="none" w:sz="0" w:space="0" w:color="auto"/>
      </w:divBdr>
    </w:div>
    <w:div w:id="61414547">
      <w:bodyDiv w:val="1"/>
      <w:marLeft w:val="0"/>
      <w:marRight w:val="0"/>
      <w:marTop w:val="0"/>
      <w:marBottom w:val="0"/>
      <w:divBdr>
        <w:top w:val="none" w:sz="0" w:space="0" w:color="auto"/>
        <w:left w:val="none" w:sz="0" w:space="0" w:color="auto"/>
        <w:bottom w:val="none" w:sz="0" w:space="0" w:color="auto"/>
        <w:right w:val="none" w:sz="0" w:space="0" w:color="auto"/>
      </w:divBdr>
    </w:div>
    <w:div w:id="63529055">
      <w:bodyDiv w:val="1"/>
      <w:marLeft w:val="0"/>
      <w:marRight w:val="0"/>
      <w:marTop w:val="0"/>
      <w:marBottom w:val="0"/>
      <w:divBdr>
        <w:top w:val="none" w:sz="0" w:space="0" w:color="auto"/>
        <w:left w:val="none" w:sz="0" w:space="0" w:color="auto"/>
        <w:bottom w:val="none" w:sz="0" w:space="0" w:color="auto"/>
        <w:right w:val="none" w:sz="0" w:space="0" w:color="auto"/>
      </w:divBdr>
    </w:div>
    <w:div w:id="66734761">
      <w:bodyDiv w:val="1"/>
      <w:marLeft w:val="0"/>
      <w:marRight w:val="0"/>
      <w:marTop w:val="0"/>
      <w:marBottom w:val="0"/>
      <w:divBdr>
        <w:top w:val="none" w:sz="0" w:space="0" w:color="auto"/>
        <w:left w:val="none" w:sz="0" w:space="0" w:color="auto"/>
        <w:bottom w:val="none" w:sz="0" w:space="0" w:color="auto"/>
        <w:right w:val="none" w:sz="0" w:space="0" w:color="auto"/>
      </w:divBdr>
    </w:div>
    <w:div w:id="67659313">
      <w:bodyDiv w:val="1"/>
      <w:marLeft w:val="0"/>
      <w:marRight w:val="0"/>
      <w:marTop w:val="0"/>
      <w:marBottom w:val="0"/>
      <w:divBdr>
        <w:top w:val="none" w:sz="0" w:space="0" w:color="auto"/>
        <w:left w:val="none" w:sz="0" w:space="0" w:color="auto"/>
        <w:bottom w:val="none" w:sz="0" w:space="0" w:color="auto"/>
        <w:right w:val="none" w:sz="0" w:space="0" w:color="auto"/>
      </w:divBdr>
    </w:div>
    <w:div w:id="68888407">
      <w:bodyDiv w:val="1"/>
      <w:marLeft w:val="0"/>
      <w:marRight w:val="0"/>
      <w:marTop w:val="0"/>
      <w:marBottom w:val="0"/>
      <w:divBdr>
        <w:top w:val="none" w:sz="0" w:space="0" w:color="auto"/>
        <w:left w:val="none" w:sz="0" w:space="0" w:color="auto"/>
        <w:bottom w:val="none" w:sz="0" w:space="0" w:color="auto"/>
        <w:right w:val="none" w:sz="0" w:space="0" w:color="auto"/>
      </w:divBdr>
    </w:div>
    <w:div w:id="69086549">
      <w:bodyDiv w:val="1"/>
      <w:marLeft w:val="0"/>
      <w:marRight w:val="0"/>
      <w:marTop w:val="0"/>
      <w:marBottom w:val="0"/>
      <w:divBdr>
        <w:top w:val="none" w:sz="0" w:space="0" w:color="auto"/>
        <w:left w:val="none" w:sz="0" w:space="0" w:color="auto"/>
        <w:bottom w:val="none" w:sz="0" w:space="0" w:color="auto"/>
        <w:right w:val="none" w:sz="0" w:space="0" w:color="auto"/>
      </w:divBdr>
    </w:div>
    <w:div w:id="69499962">
      <w:bodyDiv w:val="1"/>
      <w:marLeft w:val="0"/>
      <w:marRight w:val="0"/>
      <w:marTop w:val="0"/>
      <w:marBottom w:val="0"/>
      <w:divBdr>
        <w:top w:val="none" w:sz="0" w:space="0" w:color="auto"/>
        <w:left w:val="none" w:sz="0" w:space="0" w:color="auto"/>
        <w:bottom w:val="none" w:sz="0" w:space="0" w:color="auto"/>
        <w:right w:val="none" w:sz="0" w:space="0" w:color="auto"/>
      </w:divBdr>
    </w:div>
    <w:div w:id="70205589">
      <w:bodyDiv w:val="1"/>
      <w:marLeft w:val="0"/>
      <w:marRight w:val="0"/>
      <w:marTop w:val="0"/>
      <w:marBottom w:val="0"/>
      <w:divBdr>
        <w:top w:val="none" w:sz="0" w:space="0" w:color="auto"/>
        <w:left w:val="none" w:sz="0" w:space="0" w:color="auto"/>
        <w:bottom w:val="none" w:sz="0" w:space="0" w:color="auto"/>
        <w:right w:val="none" w:sz="0" w:space="0" w:color="auto"/>
      </w:divBdr>
    </w:div>
    <w:div w:id="71203202">
      <w:bodyDiv w:val="1"/>
      <w:marLeft w:val="0"/>
      <w:marRight w:val="0"/>
      <w:marTop w:val="0"/>
      <w:marBottom w:val="0"/>
      <w:divBdr>
        <w:top w:val="none" w:sz="0" w:space="0" w:color="auto"/>
        <w:left w:val="none" w:sz="0" w:space="0" w:color="auto"/>
        <w:bottom w:val="none" w:sz="0" w:space="0" w:color="auto"/>
        <w:right w:val="none" w:sz="0" w:space="0" w:color="auto"/>
      </w:divBdr>
    </w:div>
    <w:div w:id="71397234">
      <w:bodyDiv w:val="1"/>
      <w:marLeft w:val="0"/>
      <w:marRight w:val="0"/>
      <w:marTop w:val="0"/>
      <w:marBottom w:val="0"/>
      <w:divBdr>
        <w:top w:val="none" w:sz="0" w:space="0" w:color="auto"/>
        <w:left w:val="none" w:sz="0" w:space="0" w:color="auto"/>
        <w:bottom w:val="none" w:sz="0" w:space="0" w:color="auto"/>
        <w:right w:val="none" w:sz="0" w:space="0" w:color="auto"/>
      </w:divBdr>
    </w:div>
    <w:div w:id="71852622">
      <w:bodyDiv w:val="1"/>
      <w:marLeft w:val="0"/>
      <w:marRight w:val="0"/>
      <w:marTop w:val="0"/>
      <w:marBottom w:val="0"/>
      <w:divBdr>
        <w:top w:val="none" w:sz="0" w:space="0" w:color="auto"/>
        <w:left w:val="none" w:sz="0" w:space="0" w:color="auto"/>
        <w:bottom w:val="none" w:sz="0" w:space="0" w:color="auto"/>
        <w:right w:val="none" w:sz="0" w:space="0" w:color="auto"/>
      </w:divBdr>
    </w:div>
    <w:div w:id="74012435">
      <w:bodyDiv w:val="1"/>
      <w:marLeft w:val="0"/>
      <w:marRight w:val="0"/>
      <w:marTop w:val="0"/>
      <w:marBottom w:val="0"/>
      <w:divBdr>
        <w:top w:val="none" w:sz="0" w:space="0" w:color="auto"/>
        <w:left w:val="none" w:sz="0" w:space="0" w:color="auto"/>
        <w:bottom w:val="none" w:sz="0" w:space="0" w:color="auto"/>
        <w:right w:val="none" w:sz="0" w:space="0" w:color="auto"/>
      </w:divBdr>
    </w:div>
    <w:div w:id="74015429">
      <w:bodyDiv w:val="1"/>
      <w:marLeft w:val="0"/>
      <w:marRight w:val="0"/>
      <w:marTop w:val="0"/>
      <w:marBottom w:val="0"/>
      <w:divBdr>
        <w:top w:val="none" w:sz="0" w:space="0" w:color="auto"/>
        <w:left w:val="none" w:sz="0" w:space="0" w:color="auto"/>
        <w:bottom w:val="none" w:sz="0" w:space="0" w:color="auto"/>
        <w:right w:val="none" w:sz="0" w:space="0" w:color="auto"/>
      </w:divBdr>
    </w:div>
    <w:div w:id="74405315">
      <w:bodyDiv w:val="1"/>
      <w:marLeft w:val="0"/>
      <w:marRight w:val="0"/>
      <w:marTop w:val="0"/>
      <w:marBottom w:val="0"/>
      <w:divBdr>
        <w:top w:val="none" w:sz="0" w:space="0" w:color="auto"/>
        <w:left w:val="none" w:sz="0" w:space="0" w:color="auto"/>
        <w:bottom w:val="none" w:sz="0" w:space="0" w:color="auto"/>
        <w:right w:val="none" w:sz="0" w:space="0" w:color="auto"/>
      </w:divBdr>
    </w:div>
    <w:div w:id="74478436">
      <w:bodyDiv w:val="1"/>
      <w:marLeft w:val="0"/>
      <w:marRight w:val="0"/>
      <w:marTop w:val="0"/>
      <w:marBottom w:val="0"/>
      <w:divBdr>
        <w:top w:val="none" w:sz="0" w:space="0" w:color="auto"/>
        <w:left w:val="none" w:sz="0" w:space="0" w:color="auto"/>
        <w:bottom w:val="none" w:sz="0" w:space="0" w:color="auto"/>
        <w:right w:val="none" w:sz="0" w:space="0" w:color="auto"/>
      </w:divBdr>
    </w:div>
    <w:div w:id="74858797">
      <w:bodyDiv w:val="1"/>
      <w:marLeft w:val="0"/>
      <w:marRight w:val="0"/>
      <w:marTop w:val="0"/>
      <w:marBottom w:val="0"/>
      <w:divBdr>
        <w:top w:val="none" w:sz="0" w:space="0" w:color="auto"/>
        <w:left w:val="none" w:sz="0" w:space="0" w:color="auto"/>
        <w:bottom w:val="none" w:sz="0" w:space="0" w:color="auto"/>
        <w:right w:val="none" w:sz="0" w:space="0" w:color="auto"/>
      </w:divBdr>
    </w:div>
    <w:div w:id="75326240">
      <w:bodyDiv w:val="1"/>
      <w:marLeft w:val="0"/>
      <w:marRight w:val="0"/>
      <w:marTop w:val="0"/>
      <w:marBottom w:val="0"/>
      <w:divBdr>
        <w:top w:val="none" w:sz="0" w:space="0" w:color="auto"/>
        <w:left w:val="none" w:sz="0" w:space="0" w:color="auto"/>
        <w:bottom w:val="none" w:sz="0" w:space="0" w:color="auto"/>
        <w:right w:val="none" w:sz="0" w:space="0" w:color="auto"/>
      </w:divBdr>
    </w:div>
    <w:div w:id="75907480">
      <w:bodyDiv w:val="1"/>
      <w:marLeft w:val="0"/>
      <w:marRight w:val="0"/>
      <w:marTop w:val="0"/>
      <w:marBottom w:val="0"/>
      <w:divBdr>
        <w:top w:val="none" w:sz="0" w:space="0" w:color="auto"/>
        <w:left w:val="none" w:sz="0" w:space="0" w:color="auto"/>
        <w:bottom w:val="none" w:sz="0" w:space="0" w:color="auto"/>
        <w:right w:val="none" w:sz="0" w:space="0" w:color="auto"/>
      </w:divBdr>
    </w:div>
    <w:div w:id="75979427">
      <w:bodyDiv w:val="1"/>
      <w:marLeft w:val="0"/>
      <w:marRight w:val="0"/>
      <w:marTop w:val="0"/>
      <w:marBottom w:val="0"/>
      <w:divBdr>
        <w:top w:val="none" w:sz="0" w:space="0" w:color="auto"/>
        <w:left w:val="none" w:sz="0" w:space="0" w:color="auto"/>
        <w:bottom w:val="none" w:sz="0" w:space="0" w:color="auto"/>
        <w:right w:val="none" w:sz="0" w:space="0" w:color="auto"/>
      </w:divBdr>
    </w:div>
    <w:div w:id="76289236">
      <w:bodyDiv w:val="1"/>
      <w:marLeft w:val="0"/>
      <w:marRight w:val="0"/>
      <w:marTop w:val="0"/>
      <w:marBottom w:val="0"/>
      <w:divBdr>
        <w:top w:val="none" w:sz="0" w:space="0" w:color="auto"/>
        <w:left w:val="none" w:sz="0" w:space="0" w:color="auto"/>
        <w:bottom w:val="none" w:sz="0" w:space="0" w:color="auto"/>
        <w:right w:val="none" w:sz="0" w:space="0" w:color="auto"/>
      </w:divBdr>
    </w:div>
    <w:div w:id="78648418">
      <w:bodyDiv w:val="1"/>
      <w:marLeft w:val="0"/>
      <w:marRight w:val="0"/>
      <w:marTop w:val="0"/>
      <w:marBottom w:val="0"/>
      <w:divBdr>
        <w:top w:val="none" w:sz="0" w:space="0" w:color="auto"/>
        <w:left w:val="none" w:sz="0" w:space="0" w:color="auto"/>
        <w:bottom w:val="none" w:sz="0" w:space="0" w:color="auto"/>
        <w:right w:val="none" w:sz="0" w:space="0" w:color="auto"/>
      </w:divBdr>
    </w:div>
    <w:div w:id="78986433">
      <w:bodyDiv w:val="1"/>
      <w:marLeft w:val="0"/>
      <w:marRight w:val="0"/>
      <w:marTop w:val="0"/>
      <w:marBottom w:val="0"/>
      <w:divBdr>
        <w:top w:val="none" w:sz="0" w:space="0" w:color="auto"/>
        <w:left w:val="none" w:sz="0" w:space="0" w:color="auto"/>
        <w:bottom w:val="none" w:sz="0" w:space="0" w:color="auto"/>
        <w:right w:val="none" w:sz="0" w:space="0" w:color="auto"/>
      </w:divBdr>
    </w:div>
    <w:div w:id="80221656">
      <w:bodyDiv w:val="1"/>
      <w:marLeft w:val="0"/>
      <w:marRight w:val="0"/>
      <w:marTop w:val="0"/>
      <w:marBottom w:val="0"/>
      <w:divBdr>
        <w:top w:val="none" w:sz="0" w:space="0" w:color="auto"/>
        <w:left w:val="none" w:sz="0" w:space="0" w:color="auto"/>
        <w:bottom w:val="none" w:sz="0" w:space="0" w:color="auto"/>
        <w:right w:val="none" w:sz="0" w:space="0" w:color="auto"/>
      </w:divBdr>
    </w:div>
    <w:div w:id="83116903">
      <w:bodyDiv w:val="1"/>
      <w:marLeft w:val="0"/>
      <w:marRight w:val="0"/>
      <w:marTop w:val="0"/>
      <w:marBottom w:val="0"/>
      <w:divBdr>
        <w:top w:val="none" w:sz="0" w:space="0" w:color="auto"/>
        <w:left w:val="none" w:sz="0" w:space="0" w:color="auto"/>
        <w:bottom w:val="none" w:sz="0" w:space="0" w:color="auto"/>
        <w:right w:val="none" w:sz="0" w:space="0" w:color="auto"/>
      </w:divBdr>
    </w:div>
    <w:div w:id="83495593">
      <w:bodyDiv w:val="1"/>
      <w:marLeft w:val="0"/>
      <w:marRight w:val="0"/>
      <w:marTop w:val="0"/>
      <w:marBottom w:val="0"/>
      <w:divBdr>
        <w:top w:val="none" w:sz="0" w:space="0" w:color="auto"/>
        <w:left w:val="none" w:sz="0" w:space="0" w:color="auto"/>
        <w:bottom w:val="none" w:sz="0" w:space="0" w:color="auto"/>
        <w:right w:val="none" w:sz="0" w:space="0" w:color="auto"/>
      </w:divBdr>
    </w:div>
    <w:div w:id="85344059">
      <w:bodyDiv w:val="1"/>
      <w:marLeft w:val="0"/>
      <w:marRight w:val="0"/>
      <w:marTop w:val="0"/>
      <w:marBottom w:val="0"/>
      <w:divBdr>
        <w:top w:val="none" w:sz="0" w:space="0" w:color="auto"/>
        <w:left w:val="none" w:sz="0" w:space="0" w:color="auto"/>
        <w:bottom w:val="none" w:sz="0" w:space="0" w:color="auto"/>
        <w:right w:val="none" w:sz="0" w:space="0" w:color="auto"/>
      </w:divBdr>
    </w:div>
    <w:div w:id="86968960">
      <w:bodyDiv w:val="1"/>
      <w:marLeft w:val="0"/>
      <w:marRight w:val="0"/>
      <w:marTop w:val="0"/>
      <w:marBottom w:val="0"/>
      <w:divBdr>
        <w:top w:val="none" w:sz="0" w:space="0" w:color="auto"/>
        <w:left w:val="none" w:sz="0" w:space="0" w:color="auto"/>
        <w:bottom w:val="none" w:sz="0" w:space="0" w:color="auto"/>
        <w:right w:val="none" w:sz="0" w:space="0" w:color="auto"/>
      </w:divBdr>
    </w:div>
    <w:div w:id="87234089">
      <w:bodyDiv w:val="1"/>
      <w:marLeft w:val="0"/>
      <w:marRight w:val="0"/>
      <w:marTop w:val="0"/>
      <w:marBottom w:val="0"/>
      <w:divBdr>
        <w:top w:val="none" w:sz="0" w:space="0" w:color="auto"/>
        <w:left w:val="none" w:sz="0" w:space="0" w:color="auto"/>
        <w:bottom w:val="none" w:sz="0" w:space="0" w:color="auto"/>
        <w:right w:val="none" w:sz="0" w:space="0" w:color="auto"/>
      </w:divBdr>
    </w:div>
    <w:div w:id="88159616">
      <w:bodyDiv w:val="1"/>
      <w:marLeft w:val="0"/>
      <w:marRight w:val="0"/>
      <w:marTop w:val="0"/>
      <w:marBottom w:val="0"/>
      <w:divBdr>
        <w:top w:val="none" w:sz="0" w:space="0" w:color="auto"/>
        <w:left w:val="none" w:sz="0" w:space="0" w:color="auto"/>
        <w:bottom w:val="none" w:sz="0" w:space="0" w:color="auto"/>
        <w:right w:val="none" w:sz="0" w:space="0" w:color="auto"/>
      </w:divBdr>
    </w:div>
    <w:div w:id="88429620">
      <w:bodyDiv w:val="1"/>
      <w:marLeft w:val="0"/>
      <w:marRight w:val="0"/>
      <w:marTop w:val="0"/>
      <w:marBottom w:val="0"/>
      <w:divBdr>
        <w:top w:val="none" w:sz="0" w:space="0" w:color="auto"/>
        <w:left w:val="none" w:sz="0" w:space="0" w:color="auto"/>
        <w:bottom w:val="none" w:sz="0" w:space="0" w:color="auto"/>
        <w:right w:val="none" w:sz="0" w:space="0" w:color="auto"/>
      </w:divBdr>
    </w:div>
    <w:div w:id="89472744">
      <w:bodyDiv w:val="1"/>
      <w:marLeft w:val="0"/>
      <w:marRight w:val="0"/>
      <w:marTop w:val="0"/>
      <w:marBottom w:val="0"/>
      <w:divBdr>
        <w:top w:val="none" w:sz="0" w:space="0" w:color="auto"/>
        <w:left w:val="none" w:sz="0" w:space="0" w:color="auto"/>
        <w:bottom w:val="none" w:sz="0" w:space="0" w:color="auto"/>
        <w:right w:val="none" w:sz="0" w:space="0" w:color="auto"/>
      </w:divBdr>
    </w:div>
    <w:div w:id="89473290">
      <w:bodyDiv w:val="1"/>
      <w:marLeft w:val="0"/>
      <w:marRight w:val="0"/>
      <w:marTop w:val="0"/>
      <w:marBottom w:val="0"/>
      <w:divBdr>
        <w:top w:val="none" w:sz="0" w:space="0" w:color="auto"/>
        <w:left w:val="none" w:sz="0" w:space="0" w:color="auto"/>
        <w:bottom w:val="none" w:sz="0" w:space="0" w:color="auto"/>
        <w:right w:val="none" w:sz="0" w:space="0" w:color="auto"/>
      </w:divBdr>
    </w:div>
    <w:div w:id="90974227">
      <w:bodyDiv w:val="1"/>
      <w:marLeft w:val="0"/>
      <w:marRight w:val="0"/>
      <w:marTop w:val="0"/>
      <w:marBottom w:val="0"/>
      <w:divBdr>
        <w:top w:val="none" w:sz="0" w:space="0" w:color="auto"/>
        <w:left w:val="none" w:sz="0" w:space="0" w:color="auto"/>
        <w:bottom w:val="none" w:sz="0" w:space="0" w:color="auto"/>
        <w:right w:val="none" w:sz="0" w:space="0" w:color="auto"/>
      </w:divBdr>
    </w:div>
    <w:div w:id="92091388">
      <w:bodyDiv w:val="1"/>
      <w:marLeft w:val="0"/>
      <w:marRight w:val="0"/>
      <w:marTop w:val="0"/>
      <w:marBottom w:val="0"/>
      <w:divBdr>
        <w:top w:val="none" w:sz="0" w:space="0" w:color="auto"/>
        <w:left w:val="none" w:sz="0" w:space="0" w:color="auto"/>
        <w:bottom w:val="none" w:sz="0" w:space="0" w:color="auto"/>
        <w:right w:val="none" w:sz="0" w:space="0" w:color="auto"/>
      </w:divBdr>
    </w:div>
    <w:div w:id="92095041">
      <w:bodyDiv w:val="1"/>
      <w:marLeft w:val="0"/>
      <w:marRight w:val="0"/>
      <w:marTop w:val="0"/>
      <w:marBottom w:val="0"/>
      <w:divBdr>
        <w:top w:val="none" w:sz="0" w:space="0" w:color="auto"/>
        <w:left w:val="none" w:sz="0" w:space="0" w:color="auto"/>
        <w:bottom w:val="none" w:sz="0" w:space="0" w:color="auto"/>
        <w:right w:val="none" w:sz="0" w:space="0" w:color="auto"/>
      </w:divBdr>
    </w:div>
    <w:div w:id="92283034">
      <w:bodyDiv w:val="1"/>
      <w:marLeft w:val="0"/>
      <w:marRight w:val="0"/>
      <w:marTop w:val="0"/>
      <w:marBottom w:val="0"/>
      <w:divBdr>
        <w:top w:val="none" w:sz="0" w:space="0" w:color="auto"/>
        <w:left w:val="none" w:sz="0" w:space="0" w:color="auto"/>
        <w:bottom w:val="none" w:sz="0" w:space="0" w:color="auto"/>
        <w:right w:val="none" w:sz="0" w:space="0" w:color="auto"/>
      </w:divBdr>
    </w:div>
    <w:div w:id="92630427">
      <w:bodyDiv w:val="1"/>
      <w:marLeft w:val="0"/>
      <w:marRight w:val="0"/>
      <w:marTop w:val="0"/>
      <w:marBottom w:val="0"/>
      <w:divBdr>
        <w:top w:val="none" w:sz="0" w:space="0" w:color="auto"/>
        <w:left w:val="none" w:sz="0" w:space="0" w:color="auto"/>
        <w:bottom w:val="none" w:sz="0" w:space="0" w:color="auto"/>
        <w:right w:val="none" w:sz="0" w:space="0" w:color="auto"/>
      </w:divBdr>
    </w:div>
    <w:div w:id="92864707">
      <w:bodyDiv w:val="1"/>
      <w:marLeft w:val="0"/>
      <w:marRight w:val="0"/>
      <w:marTop w:val="0"/>
      <w:marBottom w:val="0"/>
      <w:divBdr>
        <w:top w:val="none" w:sz="0" w:space="0" w:color="auto"/>
        <w:left w:val="none" w:sz="0" w:space="0" w:color="auto"/>
        <w:bottom w:val="none" w:sz="0" w:space="0" w:color="auto"/>
        <w:right w:val="none" w:sz="0" w:space="0" w:color="auto"/>
      </w:divBdr>
    </w:div>
    <w:div w:id="93020594">
      <w:bodyDiv w:val="1"/>
      <w:marLeft w:val="0"/>
      <w:marRight w:val="0"/>
      <w:marTop w:val="0"/>
      <w:marBottom w:val="0"/>
      <w:divBdr>
        <w:top w:val="none" w:sz="0" w:space="0" w:color="auto"/>
        <w:left w:val="none" w:sz="0" w:space="0" w:color="auto"/>
        <w:bottom w:val="none" w:sz="0" w:space="0" w:color="auto"/>
        <w:right w:val="none" w:sz="0" w:space="0" w:color="auto"/>
      </w:divBdr>
    </w:div>
    <w:div w:id="95175026">
      <w:bodyDiv w:val="1"/>
      <w:marLeft w:val="0"/>
      <w:marRight w:val="0"/>
      <w:marTop w:val="0"/>
      <w:marBottom w:val="0"/>
      <w:divBdr>
        <w:top w:val="none" w:sz="0" w:space="0" w:color="auto"/>
        <w:left w:val="none" w:sz="0" w:space="0" w:color="auto"/>
        <w:bottom w:val="none" w:sz="0" w:space="0" w:color="auto"/>
        <w:right w:val="none" w:sz="0" w:space="0" w:color="auto"/>
      </w:divBdr>
    </w:div>
    <w:div w:id="95180224">
      <w:bodyDiv w:val="1"/>
      <w:marLeft w:val="0"/>
      <w:marRight w:val="0"/>
      <w:marTop w:val="0"/>
      <w:marBottom w:val="0"/>
      <w:divBdr>
        <w:top w:val="none" w:sz="0" w:space="0" w:color="auto"/>
        <w:left w:val="none" w:sz="0" w:space="0" w:color="auto"/>
        <w:bottom w:val="none" w:sz="0" w:space="0" w:color="auto"/>
        <w:right w:val="none" w:sz="0" w:space="0" w:color="auto"/>
      </w:divBdr>
    </w:div>
    <w:div w:id="95904554">
      <w:bodyDiv w:val="1"/>
      <w:marLeft w:val="0"/>
      <w:marRight w:val="0"/>
      <w:marTop w:val="0"/>
      <w:marBottom w:val="0"/>
      <w:divBdr>
        <w:top w:val="none" w:sz="0" w:space="0" w:color="auto"/>
        <w:left w:val="none" w:sz="0" w:space="0" w:color="auto"/>
        <w:bottom w:val="none" w:sz="0" w:space="0" w:color="auto"/>
        <w:right w:val="none" w:sz="0" w:space="0" w:color="auto"/>
      </w:divBdr>
    </w:div>
    <w:div w:id="96560959">
      <w:bodyDiv w:val="1"/>
      <w:marLeft w:val="0"/>
      <w:marRight w:val="0"/>
      <w:marTop w:val="0"/>
      <w:marBottom w:val="0"/>
      <w:divBdr>
        <w:top w:val="none" w:sz="0" w:space="0" w:color="auto"/>
        <w:left w:val="none" w:sz="0" w:space="0" w:color="auto"/>
        <w:bottom w:val="none" w:sz="0" w:space="0" w:color="auto"/>
        <w:right w:val="none" w:sz="0" w:space="0" w:color="auto"/>
      </w:divBdr>
    </w:div>
    <w:div w:id="97023302">
      <w:bodyDiv w:val="1"/>
      <w:marLeft w:val="0"/>
      <w:marRight w:val="0"/>
      <w:marTop w:val="0"/>
      <w:marBottom w:val="0"/>
      <w:divBdr>
        <w:top w:val="none" w:sz="0" w:space="0" w:color="auto"/>
        <w:left w:val="none" w:sz="0" w:space="0" w:color="auto"/>
        <w:bottom w:val="none" w:sz="0" w:space="0" w:color="auto"/>
        <w:right w:val="none" w:sz="0" w:space="0" w:color="auto"/>
      </w:divBdr>
    </w:div>
    <w:div w:id="97677469">
      <w:bodyDiv w:val="1"/>
      <w:marLeft w:val="0"/>
      <w:marRight w:val="0"/>
      <w:marTop w:val="0"/>
      <w:marBottom w:val="0"/>
      <w:divBdr>
        <w:top w:val="none" w:sz="0" w:space="0" w:color="auto"/>
        <w:left w:val="none" w:sz="0" w:space="0" w:color="auto"/>
        <w:bottom w:val="none" w:sz="0" w:space="0" w:color="auto"/>
        <w:right w:val="none" w:sz="0" w:space="0" w:color="auto"/>
      </w:divBdr>
    </w:div>
    <w:div w:id="99762606">
      <w:bodyDiv w:val="1"/>
      <w:marLeft w:val="0"/>
      <w:marRight w:val="0"/>
      <w:marTop w:val="0"/>
      <w:marBottom w:val="0"/>
      <w:divBdr>
        <w:top w:val="none" w:sz="0" w:space="0" w:color="auto"/>
        <w:left w:val="none" w:sz="0" w:space="0" w:color="auto"/>
        <w:bottom w:val="none" w:sz="0" w:space="0" w:color="auto"/>
        <w:right w:val="none" w:sz="0" w:space="0" w:color="auto"/>
      </w:divBdr>
    </w:div>
    <w:div w:id="100498247">
      <w:bodyDiv w:val="1"/>
      <w:marLeft w:val="0"/>
      <w:marRight w:val="0"/>
      <w:marTop w:val="0"/>
      <w:marBottom w:val="0"/>
      <w:divBdr>
        <w:top w:val="none" w:sz="0" w:space="0" w:color="auto"/>
        <w:left w:val="none" w:sz="0" w:space="0" w:color="auto"/>
        <w:bottom w:val="none" w:sz="0" w:space="0" w:color="auto"/>
        <w:right w:val="none" w:sz="0" w:space="0" w:color="auto"/>
      </w:divBdr>
    </w:div>
    <w:div w:id="101653393">
      <w:bodyDiv w:val="1"/>
      <w:marLeft w:val="0"/>
      <w:marRight w:val="0"/>
      <w:marTop w:val="0"/>
      <w:marBottom w:val="0"/>
      <w:divBdr>
        <w:top w:val="none" w:sz="0" w:space="0" w:color="auto"/>
        <w:left w:val="none" w:sz="0" w:space="0" w:color="auto"/>
        <w:bottom w:val="none" w:sz="0" w:space="0" w:color="auto"/>
        <w:right w:val="none" w:sz="0" w:space="0" w:color="auto"/>
      </w:divBdr>
    </w:div>
    <w:div w:id="101850794">
      <w:bodyDiv w:val="1"/>
      <w:marLeft w:val="0"/>
      <w:marRight w:val="0"/>
      <w:marTop w:val="0"/>
      <w:marBottom w:val="0"/>
      <w:divBdr>
        <w:top w:val="none" w:sz="0" w:space="0" w:color="auto"/>
        <w:left w:val="none" w:sz="0" w:space="0" w:color="auto"/>
        <w:bottom w:val="none" w:sz="0" w:space="0" w:color="auto"/>
        <w:right w:val="none" w:sz="0" w:space="0" w:color="auto"/>
      </w:divBdr>
    </w:div>
    <w:div w:id="101919235">
      <w:bodyDiv w:val="1"/>
      <w:marLeft w:val="0"/>
      <w:marRight w:val="0"/>
      <w:marTop w:val="0"/>
      <w:marBottom w:val="0"/>
      <w:divBdr>
        <w:top w:val="none" w:sz="0" w:space="0" w:color="auto"/>
        <w:left w:val="none" w:sz="0" w:space="0" w:color="auto"/>
        <w:bottom w:val="none" w:sz="0" w:space="0" w:color="auto"/>
        <w:right w:val="none" w:sz="0" w:space="0" w:color="auto"/>
      </w:divBdr>
    </w:div>
    <w:div w:id="102043301">
      <w:bodyDiv w:val="1"/>
      <w:marLeft w:val="0"/>
      <w:marRight w:val="0"/>
      <w:marTop w:val="0"/>
      <w:marBottom w:val="0"/>
      <w:divBdr>
        <w:top w:val="none" w:sz="0" w:space="0" w:color="auto"/>
        <w:left w:val="none" w:sz="0" w:space="0" w:color="auto"/>
        <w:bottom w:val="none" w:sz="0" w:space="0" w:color="auto"/>
        <w:right w:val="none" w:sz="0" w:space="0" w:color="auto"/>
      </w:divBdr>
    </w:div>
    <w:div w:id="102919313">
      <w:bodyDiv w:val="1"/>
      <w:marLeft w:val="0"/>
      <w:marRight w:val="0"/>
      <w:marTop w:val="0"/>
      <w:marBottom w:val="0"/>
      <w:divBdr>
        <w:top w:val="none" w:sz="0" w:space="0" w:color="auto"/>
        <w:left w:val="none" w:sz="0" w:space="0" w:color="auto"/>
        <w:bottom w:val="none" w:sz="0" w:space="0" w:color="auto"/>
        <w:right w:val="none" w:sz="0" w:space="0" w:color="auto"/>
      </w:divBdr>
    </w:div>
    <w:div w:id="103576257">
      <w:bodyDiv w:val="1"/>
      <w:marLeft w:val="0"/>
      <w:marRight w:val="0"/>
      <w:marTop w:val="0"/>
      <w:marBottom w:val="0"/>
      <w:divBdr>
        <w:top w:val="none" w:sz="0" w:space="0" w:color="auto"/>
        <w:left w:val="none" w:sz="0" w:space="0" w:color="auto"/>
        <w:bottom w:val="none" w:sz="0" w:space="0" w:color="auto"/>
        <w:right w:val="none" w:sz="0" w:space="0" w:color="auto"/>
      </w:divBdr>
    </w:div>
    <w:div w:id="103814040">
      <w:bodyDiv w:val="1"/>
      <w:marLeft w:val="0"/>
      <w:marRight w:val="0"/>
      <w:marTop w:val="0"/>
      <w:marBottom w:val="0"/>
      <w:divBdr>
        <w:top w:val="none" w:sz="0" w:space="0" w:color="auto"/>
        <w:left w:val="none" w:sz="0" w:space="0" w:color="auto"/>
        <w:bottom w:val="none" w:sz="0" w:space="0" w:color="auto"/>
        <w:right w:val="none" w:sz="0" w:space="0" w:color="auto"/>
      </w:divBdr>
    </w:div>
    <w:div w:id="105467772">
      <w:bodyDiv w:val="1"/>
      <w:marLeft w:val="0"/>
      <w:marRight w:val="0"/>
      <w:marTop w:val="0"/>
      <w:marBottom w:val="0"/>
      <w:divBdr>
        <w:top w:val="none" w:sz="0" w:space="0" w:color="auto"/>
        <w:left w:val="none" w:sz="0" w:space="0" w:color="auto"/>
        <w:bottom w:val="none" w:sz="0" w:space="0" w:color="auto"/>
        <w:right w:val="none" w:sz="0" w:space="0" w:color="auto"/>
      </w:divBdr>
    </w:div>
    <w:div w:id="105928289">
      <w:bodyDiv w:val="1"/>
      <w:marLeft w:val="0"/>
      <w:marRight w:val="0"/>
      <w:marTop w:val="0"/>
      <w:marBottom w:val="0"/>
      <w:divBdr>
        <w:top w:val="none" w:sz="0" w:space="0" w:color="auto"/>
        <w:left w:val="none" w:sz="0" w:space="0" w:color="auto"/>
        <w:bottom w:val="none" w:sz="0" w:space="0" w:color="auto"/>
        <w:right w:val="none" w:sz="0" w:space="0" w:color="auto"/>
      </w:divBdr>
    </w:div>
    <w:div w:id="107314787">
      <w:bodyDiv w:val="1"/>
      <w:marLeft w:val="0"/>
      <w:marRight w:val="0"/>
      <w:marTop w:val="0"/>
      <w:marBottom w:val="0"/>
      <w:divBdr>
        <w:top w:val="none" w:sz="0" w:space="0" w:color="auto"/>
        <w:left w:val="none" w:sz="0" w:space="0" w:color="auto"/>
        <w:bottom w:val="none" w:sz="0" w:space="0" w:color="auto"/>
        <w:right w:val="none" w:sz="0" w:space="0" w:color="auto"/>
      </w:divBdr>
    </w:div>
    <w:div w:id="107554131">
      <w:bodyDiv w:val="1"/>
      <w:marLeft w:val="0"/>
      <w:marRight w:val="0"/>
      <w:marTop w:val="0"/>
      <w:marBottom w:val="0"/>
      <w:divBdr>
        <w:top w:val="none" w:sz="0" w:space="0" w:color="auto"/>
        <w:left w:val="none" w:sz="0" w:space="0" w:color="auto"/>
        <w:bottom w:val="none" w:sz="0" w:space="0" w:color="auto"/>
        <w:right w:val="none" w:sz="0" w:space="0" w:color="auto"/>
      </w:divBdr>
    </w:div>
    <w:div w:id="107896855">
      <w:bodyDiv w:val="1"/>
      <w:marLeft w:val="0"/>
      <w:marRight w:val="0"/>
      <w:marTop w:val="0"/>
      <w:marBottom w:val="0"/>
      <w:divBdr>
        <w:top w:val="none" w:sz="0" w:space="0" w:color="auto"/>
        <w:left w:val="none" w:sz="0" w:space="0" w:color="auto"/>
        <w:bottom w:val="none" w:sz="0" w:space="0" w:color="auto"/>
        <w:right w:val="none" w:sz="0" w:space="0" w:color="auto"/>
      </w:divBdr>
    </w:div>
    <w:div w:id="108093147">
      <w:bodyDiv w:val="1"/>
      <w:marLeft w:val="0"/>
      <w:marRight w:val="0"/>
      <w:marTop w:val="0"/>
      <w:marBottom w:val="0"/>
      <w:divBdr>
        <w:top w:val="none" w:sz="0" w:space="0" w:color="auto"/>
        <w:left w:val="none" w:sz="0" w:space="0" w:color="auto"/>
        <w:bottom w:val="none" w:sz="0" w:space="0" w:color="auto"/>
        <w:right w:val="none" w:sz="0" w:space="0" w:color="auto"/>
      </w:divBdr>
    </w:div>
    <w:div w:id="108740655">
      <w:bodyDiv w:val="1"/>
      <w:marLeft w:val="0"/>
      <w:marRight w:val="0"/>
      <w:marTop w:val="0"/>
      <w:marBottom w:val="0"/>
      <w:divBdr>
        <w:top w:val="none" w:sz="0" w:space="0" w:color="auto"/>
        <w:left w:val="none" w:sz="0" w:space="0" w:color="auto"/>
        <w:bottom w:val="none" w:sz="0" w:space="0" w:color="auto"/>
        <w:right w:val="none" w:sz="0" w:space="0" w:color="auto"/>
      </w:divBdr>
      <w:divsChild>
        <w:div w:id="1851333117">
          <w:marLeft w:val="0"/>
          <w:marRight w:val="0"/>
          <w:marTop w:val="0"/>
          <w:marBottom w:val="0"/>
          <w:divBdr>
            <w:top w:val="none" w:sz="0" w:space="0" w:color="auto"/>
            <w:left w:val="none" w:sz="0" w:space="0" w:color="auto"/>
            <w:bottom w:val="none" w:sz="0" w:space="0" w:color="auto"/>
            <w:right w:val="none" w:sz="0" w:space="0" w:color="auto"/>
          </w:divBdr>
          <w:divsChild>
            <w:div w:id="1092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391">
      <w:bodyDiv w:val="1"/>
      <w:marLeft w:val="0"/>
      <w:marRight w:val="0"/>
      <w:marTop w:val="0"/>
      <w:marBottom w:val="0"/>
      <w:divBdr>
        <w:top w:val="none" w:sz="0" w:space="0" w:color="auto"/>
        <w:left w:val="none" w:sz="0" w:space="0" w:color="auto"/>
        <w:bottom w:val="none" w:sz="0" w:space="0" w:color="auto"/>
        <w:right w:val="none" w:sz="0" w:space="0" w:color="auto"/>
      </w:divBdr>
    </w:div>
    <w:div w:id="111170890">
      <w:bodyDiv w:val="1"/>
      <w:marLeft w:val="0"/>
      <w:marRight w:val="0"/>
      <w:marTop w:val="0"/>
      <w:marBottom w:val="0"/>
      <w:divBdr>
        <w:top w:val="none" w:sz="0" w:space="0" w:color="auto"/>
        <w:left w:val="none" w:sz="0" w:space="0" w:color="auto"/>
        <w:bottom w:val="none" w:sz="0" w:space="0" w:color="auto"/>
        <w:right w:val="none" w:sz="0" w:space="0" w:color="auto"/>
      </w:divBdr>
    </w:div>
    <w:div w:id="111754031">
      <w:bodyDiv w:val="1"/>
      <w:marLeft w:val="0"/>
      <w:marRight w:val="0"/>
      <w:marTop w:val="0"/>
      <w:marBottom w:val="0"/>
      <w:divBdr>
        <w:top w:val="none" w:sz="0" w:space="0" w:color="auto"/>
        <w:left w:val="none" w:sz="0" w:space="0" w:color="auto"/>
        <w:bottom w:val="none" w:sz="0" w:space="0" w:color="auto"/>
        <w:right w:val="none" w:sz="0" w:space="0" w:color="auto"/>
      </w:divBdr>
    </w:div>
    <w:div w:id="112066941">
      <w:bodyDiv w:val="1"/>
      <w:marLeft w:val="0"/>
      <w:marRight w:val="0"/>
      <w:marTop w:val="0"/>
      <w:marBottom w:val="0"/>
      <w:divBdr>
        <w:top w:val="none" w:sz="0" w:space="0" w:color="auto"/>
        <w:left w:val="none" w:sz="0" w:space="0" w:color="auto"/>
        <w:bottom w:val="none" w:sz="0" w:space="0" w:color="auto"/>
        <w:right w:val="none" w:sz="0" w:space="0" w:color="auto"/>
      </w:divBdr>
    </w:div>
    <w:div w:id="112217263">
      <w:bodyDiv w:val="1"/>
      <w:marLeft w:val="0"/>
      <w:marRight w:val="0"/>
      <w:marTop w:val="0"/>
      <w:marBottom w:val="0"/>
      <w:divBdr>
        <w:top w:val="none" w:sz="0" w:space="0" w:color="auto"/>
        <w:left w:val="none" w:sz="0" w:space="0" w:color="auto"/>
        <w:bottom w:val="none" w:sz="0" w:space="0" w:color="auto"/>
        <w:right w:val="none" w:sz="0" w:space="0" w:color="auto"/>
      </w:divBdr>
    </w:div>
    <w:div w:id="112332347">
      <w:bodyDiv w:val="1"/>
      <w:marLeft w:val="0"/>
      <w:marRight w:val="0"/>
      <w:marTop w:val="0"/>
      <w:marBottom w:val="0"/>
      <w:divBdr>
        <w:top w:val="none" w:sz="0" w:space="0" w:color="auto"/>
        <w:left w:val="none" w:sz="0" w:space="0" w:color="auto"/>
        <w:bottom w:val="none" w:sz="0" w:space="0" w:color="auto"/>
        <w:right w:val="none" w:sz="0" w:space="0" w:color="auto"/>
      </w:divBdr>
    </w:div>
    <w:div w:id="114299102">
      <w:bodyDiv w:val="1"/>
      <w:marLeft w:val="0"/>
      <w:marRight w:val="0"/>
      <w:marTop w:val="0"/>
      <w:marBottom w:val="0"/>
      <w:divBdr>
        <w:top w:val="none" w:sz="0" w:space="0" w:color="auto"/>
        <w:left w:val="none" w:sz="0" w:space="0" w:color="auto"/>
        <w:bottom w:val="none" w:sz="0" w:space="0" w:color="auto"/>
        <w:right w:val="none" w:sz="0" w:space="0" w:color="auto"/>
      </w:divBdr>
    </w:div>
    <w:div w:id="114445486">
      <w:bodyDiv w:val="1"/>
      <w:marLeft w:val="0"/>
      <w:marRight w:val="0"/>
      <w:marTop w:val="0"/>
      <w:marBottom w:val="0"/>
      <w:divBdr>
        <w:top w:val="none" w:sz="0" w:space="0" w:color="auto"/>
        <w:left w:val="none" w:sz="0" w:space="0" w:color="auto"/>
        <w:bottom w:val="none" w:sz="0" w:space="0" w:color="auto"/>
        <w:right w:val="none" w:sz="0" w:space="0" w:color="auto"/>
      </w:divBdr>
    </w:div>
    <w:div w:id="114642634">
      <w:bodyDiv w:val="1"/>
      <w:marLeft w:val="0"/>
      <w:marRight w:val="0"/>
      <w:marTop w:val="0"/>
      <w:marBottom w:val="0"/>
      <w:divBdr>
        <w:top w:val="none" w:sz="0" w:space="0" w:color="auto"/>
        <w:left w:val="none" w:sz="0" w:space="0" w:color="auto"/>
        <w:bottom w:val="none" w:sz="0" w:space="0" w:color="auto"/>
        <w:right w:val="none" w:sz="0" w:space="0" w:color="auto"/>
      </w:divBdr>
    </w:div>
    <w:div w:id="115637222">
      <w:bodyDiv w:val="1"/>
      <w:marLeft w:val="0"/>
      <w:marRight w:val="0"/>
      <w:marTop w:val="0"/>
      <w:marBottom w:val="0"/>
      <w:divBdr>
        <w:top w:val="none" w:sz="0" w:space="0" w:color="auto"/>
        <w:left w:val="none" w:sz="0" w:space="0" w:color="auto"/>
        <w:bottom w:val="none" w:sz="0" w:space="0" w:color="auto"/>
        <w:right w:val="none" w:sz="0" w:space="0" w:color="auto"/>
      </w:divBdr>
    </w:div>
    <w:div w:id="115755618">
      <w:bodyDiv w:val="1"/>
      <w:marLeft w:val="0"/>
      <w:marRight w:val="0"/>
      <w:marTop w:val="0"/>
      <w:marBottom w:val="0"/>
      <w:divBdr>
        <w:top w:val="none" w:sz="0" w:space="0" w:color="auto"/>
        <w:left w:val="none" w:sz="0" w:space="0" w:color="auto"/>
        <w:bottom w:val="none" w:sz="0" w:space="0" w:color="auto"/>
        <w:right w:val="none" w:sz="0" w:space="0" w:color="auto"/>
      </w:divBdr>
    </w:div>
    <w:div w:id="116030187">
      <w:bodyDiv w:val="1"/>
      <w:marLeft w:val="0"/>
      <w:marRight w:val="0"/>
      <w:marTop w:val="0"/>
      <w:marBottom w:val="0"/>
      <w:divBdr>
        <w:top w:val="none" w:sz="0" w:space="0" w:color="auto"/>
        <w:left w:val="none" w:sz="0" w:space="0" w:color="auto"/>
        <w:bottom w:val="none" w:sz="0" w:space="0" w:color="auto"/>
        <w:right w:val="none" w:sz="0" w:space="0" w:color="auto"/>
      </w:divBdr>
    </w:div>
    <w:div w:id="118964372">
      <w:bodyDiv w:val="1"/>
      <w:marLeft w:val="0"/>
      <w:marRight w:val="0"/>
      <w:marTop w:val="0"/>
      <w:marBottom w:val="0"/>
      <w:divBdr>
        <w:top w:val="none" w:sz="0" w:space="0" w:color="auto"/>
        <w:left w:val="none" w:sz="0" w:space="0" w:color="auto"/>
        <w:bottom w:val="none" w:sz="0" w:space="0" w:color="auto"/>
        <w:right w:val="none" w:sz="0" w:space="0" w:color="auto"/>
      </w:divBdr>
    </w:div>
    <w:div w:id="121270022">
      <w:bodyDiv w:val="1"/>
      <w:marLeft w:val="0"/>
      <w:marRight w:val="0"/>
      <w:marTop w:val="0"/>
      <w:marBottom w:val="0"/>
      <w:divBdr>
        <w:top w:val="none" w:sz="0" w:space="0" w:color="auto"/>
        <w:left w:val="none" w:sz="0" w:space="0" w:color="auto"/>
        <w:bottom w:val="none" w:sz="0" w:space="0" w:color="auto"/>
        <w:right w:val="none" w:sz="0" w:space="0" w:color="auto"/>
      </w:divBdr>
      <w:divsChild>
        <w:div w:id="664868285">
          <w:marLeft w:val="0"/>
          <w:marRight w:val="0"/>
          <w:marTop w:val="0"/>
          <w:marBottom w:val="0"/>
          <w:divBdr>
            <w:top w:val="none" w:sz="0" w:space="0" w:color="auto"/>
            <w:left w:val="none" w:sz="0" w:space="0" w:color="auto"/>
            <w:bottom w:val="none" w:sz="0" w:space="0" w:color="auto"/>
            <w:right w:val="none" w:sz="0" w:space="0" w:color="auto"/>
          </w:divBdr>
        </w:div>
      </w:divsChild>
    </w:div>
    <w:div w:id="123895119">
      <w:bodyDiv w:val="1"/>
      <w:marLeft w:val="0"/>
      <w:marRight w:val="0"/>
      <w:marTop w:val="0"/>
      <w:marBottom w:val="0"/>
      <w:divBdr>
        <w:top w:val="none" w:sz="0" w:space="0" w:color="auto"/>
        <w:left w:val="none" w:sz="0" w:space="0" w:color="auto"/>
        <w:bottom w:val="none" w:sz="0" w:space="0" w:color="auto"/>
        <w:right w:val="none" w:sz="0" w:space="0" w:color="auto"/>
      </w:divBdr>
    </w:div>
    <w:div w:id="125902777">
      <w:bodyDiv w:val="1"/>
      <w:marLeft w:val="0"/>
      <w:marRight w:val="0"/>
      <w:marTop w:val="0"/>
      <w:marBottom w:val="0"/>
      <w:divBdr>
        <w:top w:val="none" w:sz="0" w:space="0" w:color="auto"/>
        <w:left w:val="none" w:sz="0" w:space="0" w:color="auto"/>
        <w:bottom w:val="none" w:sz="0" w:space="0" w:color="auto"/>
        <w:right w:val="none" w:sz="0" w:space="0" w:color="auto"/>
      </w:divBdr>
    </w:div>
    <w:div w:id="125972456">
      <w:bodyDiv w:val="1"/>
      <w:marLeft w:val="0"/>
      <w:marRight w:val="0"/>
      <w:marTop w:val="0"/>
      <w:marBottom w:val="0"/>
      <w:divBdr>
        <w:top w:val="none" w:sz="0" w:space="0" w:color="auto"/>
        <w:left w:val="none" w:sz="0" w:space="0" w:color="auto"/>
        <w:bottom w:val="none" w:sz="0" w:space="0" w:color="auto"/>
        <w:right w:val="none" w:sz="0" w:space="0" w:color="auto"/>
      </w:divBdr>
    </w:div>
    <w:div w:id="127748904">
      <w:bodyDiv w:val="1"/>
      <w:marLeft w:val="0"/>
      <w:marRight w:val="0"/>
      <w:marTop w:val="0"/>
      <w:marBottom w:val="0"/>
      <w:divBdr>
        <w:top w:val="none" w:sz="0" w:space="0" w:color="auto"/>
        <w:left w:val="none" w:sz="0" w:space="0" w:color="auto"/>
        <w:bottom w:val="none" w:sz="0" w:space="0" w:color="auto"/>
        <w:right w:val="none" w:sz="0" w:space="0" w:color="auto"/>
      </w:divBdr>
    </w:div>
    <w:div w:id="131099736">
      <w:bodyDiv w:val="1"/>
      <w:marLeft w:val="0"/>
      <w:marRight w:val="0"/>
      <w:marTop w:val="0"/>
      <w:marBottom w:val="0"/>
      <w:divBdr>
        <w:top w:val="none" w:sz="0" w:space="0" w:color="auto"/>
        <w:left w:val="none" w:sz="0" w:space="0" w:color="auto"/>
        <w:bottom w:val="none" w:sz="0" w:space="0" w:color="auto"/>
        <w:right w:val="none" w:sz="0" w:space="0" w:color="auto"/>
      </w:divBdr>
    </w:div>
    <w:div w:id="131678958">
      <w:bodyDiv w:val="1"/>
      <w:marLeft w:val="0"/>
      <w:marRight w:val="0"/>
      <w:marTop w:val="0"/>
      <w:marBottom w:val="0"/>
      <w:divBdr>
        <w:top w:val="none" w:sz="0" w:space="0" w:color="auto"/>
        <w:left w:val="none" w:sz="0" w:space="0" w:color="auto"/>
        <w:bottom w:val="none" w:sz="0" w:space="0" w:color="auto"/>
        <w:right w:val="none" w:sz="0" w:space="0" w:color="auto"/>
      </w:divBdr>
    </w:div>
    <w:div w:id="132064703">
      <w:bodyDiv w:val="1"/>
      <w:marLeft w:val="0"/>
      <w:marRight w:val="0"/>
      <w:marTop w:val="0"/>
      <w:marBottom w:val="0"/>
      <w:divBdr>
        <w:top w:val="none" w:sz="0" w:space="0" w:color="auto"/>
        <w:left w:val="none" w:sz="0" w:space="0" w:color="auto"/>
        <w:bottom w:val="none" w:sz="0" w:space="0" w:color="auto"/>
        <w:right w:val="none" w:sz="0" w:space="0" w:color="auto"/>
      </w:divBdr>
    </w:div>
    <w:div w:id="133371156">
      <w:bodyDiv w:val="1"/>
      <w:marLeft w:val="0"/>
      <w:marRight w:val="0"/>
      <w:marTop w:val="0"/>
      <w:marBottom w:val="0"/>
      <w:divBdr>
        <w:top w:val="none" w:sz="0" w:space="0" w:color="auto"/>
        <w:left w:val="none" w:sz="0" w:space="0" w:color="auto"/>
        <w:bottom w:val="none" w:sz="0" w:space="0" w:color="auto"/>
        <w:right w:val="none" w:sz="0" w:space="0" w:color="auto"/>
      </w:divBdr>
    </w:div>
    <w:div w:id="133453961">
      <w:bodyDiv w:val="1"/>
      <w:marLeft w:val="0"/>
      <w:marRight w:val="0"/>
      <w:marTop w:val="0"/>
      <w:marBottom w:val="0"/>
      <w:divBdr>
        <w:top w:val="none" w:sz="0" w:space="0" w:color="auto"/>
        <w:left w:val="none" w:sz="0" w:space="0" w:color="auto"/>
        <w:bottom w:val="none" w:sz="0" w:space="0" w:color="auto"/>
        <w:right w:val="none" w:sz="0" w:space="0" w:color="auto"/>
      </w:divBdr>
    </w:div>
    <w:div w:id="133761576">
      <w:bodyDiv w:val="1"/>
      <w:marLeft w:val="0"/>
      <w:marRight w:val="0"/>
      <w:marTop w:val="0"/>
      <w:marBottom w:val="0"/>
      <w:divBdr>
        <w:top w:val="none" w:sz="0" w:space="0" w:color="auto"/>
        <w:left w:val="none" w:sz="0" w:space="0" w:color="auto"/>
        <w:bottom w:val="none" w:sz="0" w:space="0" w:color="auto"/>
        <w:right w:val="none" w:sz="0" w:space="0" w:color="auto"/>
      </w:divBdr>
    </w:div>
    <w:div w:id="134302015">
      <w:bodyDiv w:val="1"/>
      <w:marLeft w:val="0"/>
      <w:marRight w:val="0"/>
      <w:marTop w:val="0"/>
      <w:marBottom w:val="0"/>
      <w:divBdr>
        <w:top w:val="none" w:sz="0" w:space="0" w:color="auto"/>
        <w:left w:val="none" w:sz="0" w:space="0" w:color="auto"/>
        <w:bottom w:val="none" w:sz="0" w:space="0" w:color="auto"/>
        <w:right w:val="none" w:sz="0" w:space="0" w:color="auto"/>
      </w:divBdr>
    </w:div>
    <w:div w:id="134417394">
      <w:bodyDiv w:val="1"/>
      <w:marLeft w:val="0"/>
      <w:marRight w:val="0"/>
      <w:marTop w:val="0"/>
      <w:marBottom w:val="0"/>
      <w:divBdr>
        <w:top w:val="none" w:sz="0" w:space="0" w:color="auto"/>
        <w:left w:val="none" w:sz="0" w:space="0" w:color="auto"/>
        <w:bottom w:val="none" w:sz="0" w:space="0" w:color="auto"/>
        <w:right w:val="none" w:sz="0" w:space="0" w:color="auto"/>
      </w:divBdr>
    </w:div>
    <w:div w:id="134421946">
      <w:bodyDiv w:val="1"/>
      <w:marLeft w:val="0"/>
      <w:marRight w:val="0"/>
      <w:marTop w:val="0"/>
      <w:marBottom w:val="0"/>
      <w:divBdr>
        <w:top w:val="none" w:sz="0" w:space="0" w:color="auto"/>
        <w:left w:val="none" w:sz="0" w:space="0" w:color="auto"/>
        <w:bottom w:val="none" w:sz="0" w:space="0" w:color="auto"/>
        <w:right w:val="none" w:sz="0" w:space="0" w:color="auto"/>
      </w:divBdr>
    </w:div>
    <w:div w:id="136269198">
      <w:bodyDiv w:val="1"/>
      <w:marLeft w:val="0"/>
      <w:marRight w:val="0"/>
      <w:marTop w:val="0"/>
      <w:marBottom w:val="0"/>
      <w:divBdr>
        <w:top w:val="none" w:sz="0" w:space="0" w:color="auto"/>
        <w:left w:val="none" w:sz="0" w:space="0" w:color="auto"/>
        <w:bottom w:val="none" w:sz="0" w:space="0" w:color="auto"/>
        <w:right w:val="none" w:sz="0" w:space="0" w:color="auto"/>
      </w:divBdr>
    </w:div>
    <w:div w:id="136995243">
      <w:bodyDiv w:val="1"/>
      <w:marLeft w:val="0"/>
      <w:marRight w:val="0"/>
      <w:marTop w:val="0"/>
      <w:marBottom w:val="0"/>
      <w:divBdr>
        <w:top w:val="none" w:sz="0" w:space="0" w:color="auto"/>
        <w:left w:val="none" w:sz="0" w:space="0" w:color="auto"/>
        <w:bottom w:val="none" w:sz="0" w:space="0" w:color="auto"/>
        <w:right w:val="none" w:sz="0" w:space="0" w:color="auto"/>
      </w:divBdr>
    </w:div>
    <w:div w:id="138036837">
      <w:bodyDiv w:val="1"/>
      <w:marLeft w:val="0"/>
      <w:marRight w:val="0"/>
      <w:marTop w:val="0"/>
      <w:marBottom w:val="0"/>
      <w:divBdr>
        <w:top w:val="none" w:sz="0" w:space="0" w:color="auto"/>
        <w:left w:val="none" w:sz="0" w:space="0" w:color="auto"/>
        <w:bottom w:val="none" w:sz="0" w:space="0" w:color="auto"/>
        <w:right w:val="none" w:sz="0" w:space="0" w:color="auto"/>
      </w:divBdr>
    </w:div>
    <w:div w:id="138806763">
      <w:bodyDiv w:val="1"/>
      <w:marLeft w:val="0"/>
      <w:marRight w:val="0"/>
      <w:marTop w:val="0"/>
      <w:marBottom w:val="0"/>
      <w:divBdr>
        <w:top w:val="none" w:sz="0" w:space="0" w:color="auto"/>
        <w:left w:val="none" w:sz="0" w:space="0" w:color="auto"/>
        <w:bottom w:val="none" w:sz="0" w:space="0" w:color="auto"/>
        <w:right w:val="none" w:sz="0" w:space="0" w:color="auto"/>
      </w:divBdr>
    </w:div>
    <w:div w:id="139268232">
      <w:bodyDiv w:val="1"/>
      <w:marLeft w:val="0"/>
      <w:marRight w:val="0"/>
      <w:marTop w:val="0"/>
      <w:marBottom w:val="0"/>
      <w:divBdr>
        <w:top w:val="none" w:sz="0" w:space="0" w:color="auto"/>
        <w:left w:val="none" w:sz="0" w:space="0" w:color="auto"/>
        <w:bottom w:val="none" w:sz="0" w:space="0" w:color="auto"/>
        <w:right w:val="none" w:sz="0" w:space="0" w:color="auto"/>
      </w:divBdr>
    </w:div>
    <w:div w:id="140730557">
      <w:bodyDiv w:val="1"/>
      <w:marLeft w:val="0"/>
      <w:marRight w:val="0"/>
      <w:marTop w:val="0"/>
      <w:marBottom w:val="0"/>
      <w:divBdr>
        <w:top w:val="none" w:sz="0" w:space="0" w:color="auto"/>
        <w:left w:val="none" w:sz="0" w:space="0" w:color="auto"/>
        <w:bottom w:val="none" w:sz="0" w:space="0" w:color="auto"/>
        <w:right w:val="none" w:sz="0" w:space="0" w:color="auto"/>
      </w:divBdr>
    </w:div>
    <w:div w:id="140731726">
      <w:bodyDiv w:val="1"/>
      <w:marLeft w:val="0"/>
      <w:marRight w:val="0"/>
      <w:marTop w:val="0"/>
      <w:marBottom w:val="0"/>
      <w:divBdr>
        <w:top w:val="none" w:sz="0" w:space="0" w:color="auto"/>
        <w:left w:val="none" w:sz="0" w:space="0" w:color="auto"/>
        <w:bottom w:val="none" w:sz="0" w:space="0" w:color="auto"/>
        <w:right w:val="none" w:sz="0" w:space="0" w:color="auto"/>
      </w:divBdr>
    </w:div>
    <w:div w:id="140924317">
      <w:bodyDiv w:val="1"/>
      <w:marLeft w:val="0"/>
      <w:marRight w:val="0"/>
      <w:marTop w:val="0"/>
      <w:marBottom w:val="0"/>
      <w:divBdr>
        <w:top w:val="none" w:sz="0" w:space="0" w:color="auto"/>
        <w:left w:val="none" w:sz="0" w:space="0" w:color="auto"/>
        <w:bottom w:val="none" w:sz="0" w:space="0" w:color="auto"/>
        <w:right w:val="none" w:sz="0" w:space="0" w:color="auto"/>
      </w:divBdr>
    </w:div>
    <w:div w:id="141889417">
      <w:bodyDiv w:val="1"/>
      <w:marLeft w:val="0"/>
      <w:marRight w:val="0"/>
      <w:marTop w:val="0"/>
      <w:marBottom w:val="0"/>
      <w:divBdr>
        <w:top w:val="none" w:sz="0" w:space="0" w:color="auto"/>
        <w:left w:val="none" w:sz="0" w:space="0" w:color="auto"/>
        <w:bottom w:val="none" w:sz="0" w:space="0" w:color="auto"/>
        <w:right w:val="none" w:sz="0" w:space="0" w:color="auto"/>
      </w:divBdr>
    </w:div>
    <w:div w:id="141895462">
      <w:bodyDiv w:val="1"/>
      <w:marLeft w:val="0"/>
      <w:marRight w:val="0"/>
      <w:marTop w:val="0"/>
      <w:marBottom w:val="0"/>
      <w:divBdr>
        <w:top w:val="none" w:sz="0" w:space="0" w:color="auto"/>
        <w:left w:val="none" w:sz="0" w:space="0" w:color="auto"/>
        <w:bottom w:val="none" w:sz="0" w:space="0" w:color="auto"/>
        <w:right w:val="none" w:sz="0" w:space="0" w:color="auto"/>
      </w:divBdr>
    </w:div>
    <w:div w:id="145053832">
      <w:bodyDiv w:val="1"/>
      <w:marLeft w:val="0"/>
      <w:marRight w:val="0"/>
      <w:marTop w:val="0"/>
      <w:marBottom w:val="0"/>
      <w:divBdr>
        <w:top w:val="none" w:sz="0" w:space="0" w:color="auto"/>
        <w:left w:val="none" w:sz="0" w:space="0" w:color="auto"/>
        <w:bottom w:val="none" w:sz="0" w:space="0" w:color="auto"/>
        <w:right w:val="none" w:sz="0" w:space="0" w:color="auto"/>
      </w:divBdr>
    </w:div>
    <w:div w:id="145172208">
      <w:bodyDiv w:val="1"/>
      <w:marLeft w:val="0"/>
      <w:marRight w:val="0"/>
      <w:marTop w:val="0"/>
      <w:marBottom w:val="0"/>
      <w:divBdr>
        <w:top w:val="none" w:sz="0" w:space="0" w:color="auto"/>
        <w:left w:val="none" w:sz="0" w:space="0" w:color="auto"/>
        <w:bottom w:val="none" w:sz="0" w:space="0" w:color="auto"/>
        <w:right w:val="none" w:sz="0" w:space="0" w:color="auto"/>
      </w:divBdr>
    </w:div>
    <w:div w:id="146365187">
      <w:bodyDiv w:val="1"/>
      <w:marLeft w:val="0"/>
      <w:marRight w:val="0"/>
      <w:marTop w:val="0"/>
      <w:marBottom w:val="0"/>
      <w:divBdr>
        <w:top w:val="none" w:sz="0" w:space="0" w:color="auto"/>
        <w:left w:val="none" w:sz="0" w:space="0" w:color="auto"/>
        <w:bottom w:val="none" w:sz="0" w:space="0" w:color="auto"/>
        <w:right w:val="none" w:sz="0" w:space="0" w:color="auto"/>
      </w:divBdr>
    </w:div>
    <w:div w:id="147091270">
      <w:bodyDiv w:val="1"/>
      <w:marLeft w:val="0"/>
      <w:marRight w:val="0"/>
      <w:marTop w:val="0"/>
      <w:marBottom w:val="0"/>
      <w:divBdr>
        <w:top w:val="none" w:sz="0" w:space="0" w:color="auto"/>
        <w:left w:val="none" w:sz="0" w:space="0" w:color="auto"/>
        <w:bottom w:val="none" w:sz="0" w:space="0" w:color="auto"/>
        <w:right w:val="none" w:sz="0" w:space="0" w:color="auto"/>
      </w:divBdr>
    </w:div>
    <w:div w:id="148639324">
      <w:bodyDiv w:val="1"/>
      <w:marLeft w:val="0"/>
      <w:marRight w:val="0"/>
      <w:marTop w:val="0"/>
      <w:marBottom w:val="0"/>
      <w:divBdr>
        <w:top w:val="none" w:sz="0" w:space="0" w:color="auto"/>
        <w:left w:val="none" w:sz="0" w:space="0" w:color="auto"/>
        <w:bottom w:val="none" w:sz="0" w:space="0" w:color="auto"/>
        <w:right w:val="none" w:sz="0" w:space="0" w:color="auto"/>
      </w:divBdr>
    </w:div>
    <w:div w:id="149370163">
      <w:bodyDiv w:val="1"/>
      <w:marLeft w:val="0"/>
      <w:marRight w:val="0"/>
      <w:marTop w:val="0"/>
      <w:marBottom w:val="0"/>
      <w:divBdr>
        <w:top w:val="none" w:sz="0" w:space="0" w:color="auto"/>
        <w:left w:val="none" w:sz="0" w:space="0" w:color="auto"/>
        <w:bottom w:val="none" w:sz="0" w:space="0" w:color="auto"/>
        <w:right w:val="none" w:sz="0" w:space="0" w:color="auto"/>
      </w:divBdr>
    </w:div>
    <w:div w:id="149754283">
      <w:bodyDiv w:val="1"/>
      <w:marLeft w:val="0"/>
      <w:marRight w:val="0"/>
      <w:marTop w:val="0"/>
      <w:marBottom w:val="0"/>
      <w:divBdr>
        <w:top w:val="none" w:sz="0" w:space="0" w:color="auto"/>
        <w:left w:val="none" w:sz="0" w:space="0" w:color="auto"/>
        <w:bottom w:val="none" w:sz="0" w:space="0" w:color="auto"/>
        <w:right w:val="none" w:sz="0" w:space="0" w:color="auto"/>
      </w:divBdr>
    </w:div>
    <w:div w:id="150218374">
      <w:bodyDiv w:val="1"/>
      <w:marLeft w:val="0"/>
      <w:marRight w:val="0"/>
      <w:marTop w:val="0"/>
      <w:marBottom w:val="0"/>
      <w:divBdr>
        <w:top w:val="none" w:sz="0" w:space="0" w:color="auto"/>
        <w:left w:val="none" w:sz="0" w:space="0" w:color="auto"/>
        <w:bottom w:val="none" w:sz="0" w:space="0" w:color="auto"/>
        <w:right w:val="none" w:sz="0" w:space="0" w:color="auto"/>
      </w:divBdr>
    </w:div>
    <w:div w:id="151064315">
      <w:bodyDiv w:val="1"/>
      <w:marLeft w:val="0"/>
      <w:marRight w:val="0"/>
      <w:marTop w:val="0"/>
      <w:marBottom w:val="0"/>
      <w:divBdr>
        <w:top w:val="none" w:sz="0" w:space="0" w:color="auto"/>
        <w:left w:val="none" w:sz="0" w:space="0" w:color="auto"/>
        <w:bottom w:val="none" w:sz="0" w:space="0" w:color="auto"/>
        <w:right w:val="none" w:sz="0" w:space="0" w:color="auto"/>
      </w:divBdr>
    </w:div>
    <w:div w:id="152648264">
      <w:bodyDiv w:val="1"/>
      <w:marLeft w:val="0"/>
      <w:marRight w:val="0"/>
      <w:marTop w:val="0"/>
      <w:marBottom w:val="0"/>
      <w:divBdr>
        <w:top w:val="none" w:sz="0" w:space="0" w:color="auto"/>
        <w:left w:val="none" w:sz="0" w:space="0" w:color="auto"/>
        <w:bottom w:val="none" w:sz="0" w:space="0" w:color="auto"/>
        <w:right w:val="none" w:sz="0" w:space="0" w:color="auto"/>
      </w:divBdr>
    </w:div>
    <w:div w:id="153499159">
      <w:bodyDiv w:val="1"/>
      <w:marLeft w:val="0"/>
      <w:marRight w:val="0"/>
      <w:marTop w:val="0"/>
      <w:marBottom w:val="0"/>
      <w:divBdr>
        <w:top w:val="none" w:sz="0" w:space="0" w:color="auto"/>
        <w:left w:val="none" w:sz="0" w:space="0" w:color="auto"/>
        <w:bottom w:val="none" w:sz="0" w:space="0" w:color="auto"/>
        <w:right w:val="none" w:sz="0" w:space="0" w:color="auto"/>
      </w:divBdr>
    </w:div>
    <w:div w:id="154226193">
      <w:bodyDiv w:val="1"/>
      <w:marLeft w:val="0"/>
      <w:marRight w:val="0"/>
      <w:marTop w:val="0"/>
      <w:marBottom w:val="0"/>
      <w:divBdr>
        <w:top w:val="none" w:sz="0" w:space="0" w:color="auto"/>
        <w:left w:val="none" w:sz="0" w:space="0" w:color="auto"/>
        <w:bottom w:val="none" w:sz="0" w:space="0" w:color="auto"/>
        <w:right w:val="none" w:sz="0" w:space="0" w:color="auto"/>
      </w:divBdr>
    </w:div>
    <w:div w:id="154804821">
      <w:bodyDiv w:val="1"/>
      <w:marLeft w:val="0"/>
      <w:marRight w:val="0"/>
      <w:marTop w:val="0"/>
      <w:marBottom w:val="0"/>
      <w:divBdr>
        <w:top w:val="none" w:sz="0" w:space="0" w:color="auto"/>
        <w:left w:val="none" w:sz="0" w:space="0" w:color="auto"/>
        <w:bottom w:val="none" w:sz="0" w:space="0" w:color="auto"/>
        <w:right w:val="none" w:sz="0" w:space="0" w:color="auto"/>
      </w:divBdr>
    </w:div>
    <w:div w:id="156380616">
      <w:bodyDiv w:val="1"/>
      <w:marLeft w:val="0"/>
      <w:marRight w:val="0"/>
      <w:marTop w:val="0"/>
      <w:marBottom w:val="0"/>
      <w:divBdr>
        <w:top w:val="none" w:sz="0" w:space="0" w:color="auto"/>
        <w:left w:val="none" w:sz="0" w:space="0" w:color="auto"/>
        <w:bottom w:val="none" w:sz="0" w:space="0" w:color="auto"/>
        <w:right w:val="none" w:sz="0" w:space="0" w:color="auto"/>
      </w:divBdr>
    </w:div>
    <w:div w:id="156772819">
      <w:bodyDiv w:val="1"/>
      <w:marLeft w:val="0"/>
      <w:marRight w:val="0"/>
      <w:marTop w:val="0"/>
      <w:marBottom w:val="0"/>
      <w:divBdr>
        <w:top w:val="none" w:sz="0" w:space="0" w:color="auto"/>
        <w:left w:val="none" w:sz="0" w:space="0" w:color="auto"/>
        <w:bottom w:val="none" w:sz="0" w:space="0" w:color="auto"/>
        <w:right w:val="none" w:sz="0" w:space="0" w:color="auto"/>
      </w:divBdr>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161434508">
      <w:bodyDiv w:val="1"/>
      <w:marLeft w:val="0"/>
      <w:marRight w:val="0"/>
      <w:marTop w:val="0"/>
      <w:marBottom w:val="0"/>
      <w:divBdr>
        <w:top w:val="none" w:sz="0" w:space="0" w:color="auto"/>
        <w:left w:val="none" w:sz="0" w:space="0" w:color="auto"/>
        <w:bottom w:val="none" w:sz="0" w:space="0" w:color="auto"/>
        <w:right w:val="none" w:sz="0" w:space="0" w:color="auto"/>
      </w:divBdr>
    </w:div>
    <w:div w:id="161970496">
      <w:bodyDiv w:val="1"/>
      <w:marLeft w:val="0"/>
      <w:marRight w:val="0"/>
      <w:marTop w:val="0"/>
      <w:marBottom w:val="0"/>
      <w:divBdr>
        <w:top w:val="none" w:sz="0" w:space="0" w:color="auto"/>
        <w:left w:val="none" w:sz="0" w:space="0" w:color="auto"/>
        <w:bottom w:val="none" w:sz="0" w:space="0" w:color="auto"/>
        <w:right w:val="none" w:sz="0" w:space="0" w:color="auto"/>
      </w:divBdr>
    </w:div>
    <w:div w:id="162015039">
      <w:bodyDiv w:val="1"/>
      <w:marLeft w:val="0"/>
      <w:marRight w:val="0"/>
      <w:marTop w:val="0"/>
      <w:marBottom w:val="0"/>
      <w:divBdr>
        <w:top w:val="none" w:sz="0" w:space="0" w:color="auto"/>
        <w:left w:val="none" w:sz="0" w:space="0" w:color="auto"/>
        <w:bottom w:val="none" w:sz="0" w:space="0" w:color="auto"/>
        <w:right w:val="none" w:sz="0" w:space="0" w:color="auto"/>
      </w:divBdr>
    </w:div>
    <w:div w:id="162673584">
      <w:bodyDiv w:val="1"/>
      <w:marLeft w:val="0"/>
      <w:marRight w:val="0"/>
      <w:marTop w:val="0"/>
      <w:marBottom w:val="0"/>
      <w:divBdr>
        <w:top w:val="none" w:sz="0" w:space="0" w:color="auto"/>
        <w:left w:val="none" w:sz="0" w:space="0" w:color="auto"/>
        <w:bottom w:val="none" w:sz="0" w:space="0" w:color="auto"/>
        <w:right w:val="none" w:sz="0" w:space="0" w:color="auto"/>
      </w:divBdr>
    </w:div>
    <w:div w:id="163054218">
      <w:bodyDiv w:val="1"/>
      <w:marLeft w:val="0"/>
      <w:marRight w:val="0"/>
      <w:marTop w:val="0"/>
      <w:marBottom w:val="0"/>
      <w:divBdr>
        <w:top w:val="none" w:sz="0" w:space="0" w:color="auto"/>
        <w:left w:val="none" w:sz="0" w:space="0" w:color="auto"/>
        <w:bottom w:val="none" w:sz="0" w:space="0" w:color="auto"/>
        <w:right w:val="none" w:sz="0" w:space="0" w:color="auto"/>
      </w:divBdr>
    </w:div>
    <w:div w:id="163085188">
      <w:bodyDiv w:val="1"/>
      <w:marLeft w:val="0"/>
      <w:marRight w:val="0"/>
      <w:marTop w:val="0"/>
      <w:marBottom w:val="0"/>
      <w:divBdr>
        <w:top w:val="none" w:sz="0" w:space="0" w:color="auto"/>
        <w:left w:val="none" w:sz="0" w:space="0" w:color="auto"/>
        <w:bottom w:val="none" w:sz="0" w:space="0" w:color="auto"/>
        <w:right w:val="none" w:sz="0" w:space="0" w:color="auto"/>
      </w:divBdr>
    </w:div>
    <w:div w:id="163711226">
      <w:bodyDiv w:val="1"/>
      <w:marLeft w:val="0"/>
      <w:marRight w:val="0"/>
      <w:marTop w:val="0"/>
      <w:marBottom w:val="0"/>
      <w:divBdr>
        <w:top w:val="none" w:sz="0" w:space="0" w:color="auto"/>
        <w:left w:val="none" w:sz="0" w:space="0" w:color="auto"/>
        <w:bottom w:val="none" w:sz="0" w:space="0" w:color="auto"/>
        <w:right w:val="none" w:sz="0" w:space="0" w:color="auto"/>
      </w:divBdr>
    </w:div>
    <w:div w:id="163787903">
      <w:bodyDiv w:val="1"/>
      <w:marLeft w:val="0"/>
      <w:marRight w:val="0"/>
      <w:marTop w:val="0"/>
      <w:marBottom w:val="0"/>
      <w:divBdr>
        <w:top w:val="none" w:sz="0" w:space="0" w:color="auto"/>
        <w:left w:val="none" w:sz="0" w:space="0" w:color="auto"/>
        <w:bottom w:val="none" w:sz="0" w:space="0" w:color="auto"/>
        <w:right w:val="none" w:sz="0" w:space="0" w:color="auto"/>
      </w:divBdr>
    </w:div>
    <w:div w:id="164712160">
      <w:bodyDiv w:val="1"/>
      <w:marLeft w:val="0"/>
      <w:marRight w:val="0"/>
      <w:marTop w:val="0"/>
      <w:marBottom w:val="0"/>
      <w:divBdr>
        <w:top w:val="none" w:sz="0" w:space="0" w:color="auto"/>
        <w:left w:val="none" w:sz="0" w:space="0" w:color="auto"/>
        <w:bottom w:val="none" w:sz="0" w:space="0" w:color="auto"/>
        <w:right w:val="none" w:sz="0" w:space="0" w:color="auto"/>
      </w:divBdr>
    </w:div>
    <w:div w:id="165753612">
      <w:bodyDiv w:val="1"/>
      <w:marLeft w:val="0"/>
      <w:marRight w:val="0"/>
      <w:marTop w:val="0"/>
      <w:marBottom w:val="0"/>
      <w:divBdr>
        <w:top w:val="none" w:sz="0" w:space="0" w:color="auto"/>
        <w:left w:val="none" w:sz="0" w:space="0" w:color="auto"/>
        <w:bottom w:val="none" w:sz="0" w:space="0" w:color="auto"/>
        <w:right w:val="none" w:sz="0" w:space="0" w:color="auto"/>
      </w:divBdr>
    </w:div>
    <w:div w:id="166528001">
      <w:bodyDiv w:val="1"/>
      <w:marLeft w:val="0"/>
      <w:marRight w:val="0"/>
      <w:marTop w:val="0"/>
      <w:marBottom w:val="0"/>
      <w:divBdr>
        <w:top w:val="none" w:sz="0" w:space="0" w:color="auto"/>
        <w:left w:val="none" w:sz="0" w:space="0" w:color="auto"/>
        <w:bottom w:val="none" w:sz="0" w:space="0" w:color="auto"/>
        <w:right w:val="none" w:sz="0" w:space="0" w:color="auto"/>
      </w:divBdr>
    </w:div>
    <w:div w:id="168105058">
      <w:bodyDiv w:val="1"/>
      <w:marLeft w:val="0"/>
      <w:marRight w:val="0"/>
      <w:marTop w:val="0"/>
      <w:marBottom w:val="0"/>
      <w:divBdr>
        <w:top w:val="none" w:sz="0" w:space="0" w:color="auto"/>
        <w:left w:val="none" w:sz="0" w:space="0" w:color="auto"/>
        <w:bottom w:val="none" w:sz="0" w:space="0" w:color="auto"/>
        <w:right w:val="none" w:sz="0" w:space="0" w:color="auto"/>
      </w:divBdr>
    </w:div>
    <w:div w:id="168832196">
      <w:bodyDiv w:val="1"/>
      <w:marLeft w:val="0"/>
      <w:marRight w:val="0"/>
      <w:marTop w:val="0"/>
      <w:marBottom w:val="0"/>
      <w:divBdr>
        <w:top w:val="none" w:sz="0" w:space="0" w:color="auto"/>
        <w:left w:val="none" w:sz="0" w:space="0" w:color="auto"/>
        <w:bottom w:val="none" w:sz="0" w:space="0" w:color="auto"/>
        <w:right w:val="none" w:sz="0" w:space="0" w:color="auto"/>
      </w:divBdr>
    </w:div>
    <w:div w:id="169104597">
      <w:bodyDiv w:val="1"/>
      <w:marLeft w:val="0"/>
      <w:marRight w:val="0"/>
      <w:marTop w:val="0"/>
      <w:marBottom w:val="0"/>
      <w:divBdr>
        <w:top w:val="none" w:sz="0" w:space="0" w:color="auto"/>
        <w:left w:val="none" w:sz="0" w:space="0" w:color="auto"/>
        <w:bottom w:val="none" w:sz="0" w:space="0" w:color="auto"/>
        <w:right w:val="none" w:sz="0" w:space="0" w:color="auto"/>
      </w:divBdr>
    </w:div>
    <w:div w:id="169411177">
      <w:bodyDiv w:val="1"/>
      <w:marLeft w:val="0"/>
      <w:marRight w:val="0"/>
      <w:marTop w:val="0"/>
      <w:marBottom w:val="0"/>
      <w:divBdr>
        <w:top w:val="none" w:sz="0" w:space="0" w:color="auto"/>
        <w:left w:val="none" w:sz="0" w:space="0" w:color="auto"/>
        <w:bottom w:val="none" w:sz="0" w:space="0" w:color="auto"/>
        <w:right w:val="none" w:sz="0" w:space="0" w:color="auto"/>
      </w:divBdr>
    </w:div>
    <w:div w:id="169420041">
      <w:bodyDiv w:val="1"/>
      <w:marLeft w:val="0"/>
      <w:marRight w:val="0"/>
      <w:marTop w:val="0"/>
      <w:marBottom w:val="0"/>
      <w:divBdr>
        <w:top w:val="none" w:sz="0" w:space="0" w:color="auto"/>
        <w:left w:val="none" w:sz="0" w:space="0" w:color="auto"/>
        <w:bottom w:val="none" w:sz="0" w:space="0" w:color="auto"/>
        <w:right w:val="none" w:sz="0" w:space="0" w:color="auto"/>
      </w:divBdr>
    </w:div>
    <w:div w:id="169805269">
      <w:bodyDiv w:val="1"/>
      <w:marLeft w:val="0"/>
      <w:marRight w:val="0"/>
      <w:marTop w:val="0"/>
      <w:marBottom w:val="0"/>
      <w:divBdr>
        <w:top w:val="none" w:sz="0" w:space="0" w:color="auto"/>
        <w:left w:val="none" w:sz="0" w:space="0" w:color="auto"/>
        <w:bottom w:val="none" w:sz="0" w:space="0" w:color="auto"/>
        <w:right w:val="none" w:sz="0" w:space="0" w:color="auto"/>
      </w:divBdr>
    </w:div>
    <w:div w:id="170222042">
      <w:bodyDiv w:val="1"/>
      <w:marLeft w:val="0"/>
      <w:marRight w:val="0"/>
      <w:marTop w:val="0"/>
      <w:marBottom w:val="0"/>
      <w:divBdr>
        <w:top w:val="none" w:sz="0" w:space="0" w:color="auto"/>
        <w:left w:val="none" w:sz="0" w:space="0" w:color="auto"/>
        <w:bottom w:val="none" w:sz="0" w:space="0" w:color="auto"/>
        <w:right w:val="none" w:sz="0" w:space="0" w:color="auto"/>
      </w:divBdr>
    </w:div>
    <w:div w:id="171115306">
      <w:bodyDiv w:val="1"/>
      <w:marLeft w:val="0"/>
      <w:marRight w:val="0"/>
      <w:marTop w:val="0"/>
      <w:marBottom w:val="0"/>
      <w:divBdr>
        <w:top w:val="none" w:sz="0" w:space="0" w:color="auto"/>
        <w:left w:val="none" w:sz="0" w:space="0" w:color="auto"/>
        <w:bottom w:val="none" w:sz="0" w:space="0" w:color="auto"/>
        <w:right w:val="none" w:sz="0" w:space="0" w:color="auto"/>
      </w:divBdr>
    </w:div>
    <w:div w:id="174195346">
      <w:bodyDiv w:val="1"/>
      <w:marLeft w:val="0"/>
      <w:marRight w:val="0"/>
      <w:marTop w:val="0"/>
      <w:marBottom w:val="0"/>
      <w:divBdr>
        <w:top w:val="none" w:sz="0" w:space="0" w:color="auto"/>
        <w:left w:val="none" w:sz="0" w:space="0" w:color="auto"/>
        <w:bottom w:val="none" w:sz="0" w:space="0" w:color="auto"/>
        <w:right w:val="none" w:sz="0" w:space="0" w:color="auto"/>
      </w:divBdr>
    </w:div>
    <w:div w:id="176888731">
      <w:bodyDiv w:val="1"/>
      <w:marLeft w:val="0"/>
      <w:marRight w:val="0"/>
      <w:marTop w:val="0"/>
      <w:marBottom w:val="0"/>
      <w:divBdr>
        <w:top w:val="none" w:sz="0" w:space="0" w:color="auto"/>
        <w:left w:val="none" w:sz="0" w:space="0" w:color="auto"/>
        <w:bottom w:val="none" w:sz="0" w:space="0" w:color="auto"/>
        <w:right w:val="none" w:sz="0" w:space="0" w:color="auto"/>
      </w:divBdr>
    </w:div>
    <w:div w:id="177545552">
      <w:bodyDiv w:val="1"/>
      <w:marLeft w:val="0"/>
      <w:marRight w:val="0"/>
      <w:marTop w:val="0"/>
      <w:marBottom w:val="0"/>
      <w:divBdr>
        <w:top w:val="none" w:sz="0" w:space="0" w:color="auto"/>
        <w:left w:val="none" w:sz="0" w:space="0" w:color="auto"/>
        <w:bottom w:val="none" w:sz="0" w:space="0" w:color="auto"/>
        <w:right w:val="none" w:sz="0" w:space="0" w:color="auto"/>
      </w:divBdr>
    </w:div>
    <w:div w:id="179130953">
      <w:bodyDiv w:val="1"/>
      <w:marLeft w:val="0"/>
      <w:marRight w:val="0"/>
      <w:marTop w:val="0"/>
      <w:marBottom w:val="0"/>
      <w:divBdr>
        <w:top w:val="none" w:sz="0" w:space="0" w:color="auto"/>
        <w:left w:val="none" w:sz="0" w:space="0" w:color="auto"/>
        <w:bottom w:val="none" w:sz="0" w:space="0" w:color="auto"/>
        <w:right w:val="none" w:sz="0" w:space="0" w:color="auto"/>
      </w:divBdr>
    </w:div>
    <w:div w:id="180047176">
      <w:bodyDiv w:val="1"/>
      <w:marLeft w:val="0"/>
      <w:marRight w:val="0"/>
      <w:marTop w:val="0"/>
      <w:marBottom w:val="0"/>
      <w:divBdr>
        <w:top w:val="none" w:sz="0" w:space="0" w:color="auto"/>
        <w:left w:val="none" w:sz="0" w:space="0" w:color="auto"/>
        <w:bottom w:val="none" w:sz="0" w:space="0" w:color="auto"/>
        <w:right w:val="none" w:sz="0" w:space="0" w:color="auto"/>
      </w:divBdr>
    </w:div>
    <w:div w:id="181944536">
      <w:bodyDiv w:val="1"/>
      <w:marLeft w:val="0"/>
      <w:marRight w:val="0"/>
      <w:marTop w:val="0"/>
      <w:marBottom w:val="0"/>
      <w:divBdr>
        <w:top w:val="none" w:sz="0" w:space="0" w:color="auto"/>
        <w:left w:val="none" w:sz="0" w:space="0" w:color="auto"/>
        <w:bottom w:val="none" w:sz="0" w:space="0" w:color="auto"/>
        <w:right w:val="none" w:sz="0" w:space="0" w:color="auto"/>
      </w:divBdr>
      <w:divsChild>
        <w:div w:id="307126329">
          <w:marLeft w:val="2246"/>
          <w:marRight w:val="0"/>
          <w:marTop w:val="115"/>
          <w:marBottom w:val="0"/>
          <w:divBdr>
            <w:top w:val="none" w:sz="0" w:space="0" w:color="auto"/>
            <w:left w:val="none" w:sz="0" w:space="0" w:color="auto"/>
            <w:bottom w:val="none" w:sz="0" w:space="0" w:color="auto"/>
            <w:right w:val="none" w:sz="0" w:space="0" w:color="auto"/>
          </w:divBdr>
        </w:div>
        <w:div w:id="365258634">
          <w:marLeft w:val="691"/>
          <w:marRight w:val="0"/>
          <w:marTop w:val="0"/>
          <w:marBottom w:val="0"/>
          <w:divBdr>
            <w:top w:val="none" w:sz="0" w:space="0" w:color="auto"/>
            <w:left w:val="none" w:sz="0" w:space="0" w:color="auto"/>
            <w:bottom w:val="none" w:sz="0" w:space="0" w:color="auto"/>
            <w:right w:val="none" w:sz="0" w:space="0" w:color="auto"/>
          </w:divBdr>
        </w:div>
        <w:div w:id="654990367">
          <w:marLeft w:val="691"/>
          <w:marRight w:val="0"/>
          <w:marTop w:val="0"/>
          <w:marBottom w:val="0"/>
          <w:divBdr>
            <w:top w:val="none" w:sz="0" w:space="0" w:color="auto"/>
            <w:left w:val="none" w:sz="0" w:space="0" w:color="auto"/>
            <w:bottom w:val="none" w:sz="0" w:space="0" w:color="auto"/>
            <w:right w:val="none" w:sz="0" w:space="0" w:color="auto"/>
          </w:divBdr>
        </w:div>
        <w:div w:id="871654787">
          <w:marLeft w:val="691"/>
          <w:marRight w:val="0"/>
          <w:marTop w:val="0"/>
          <w:marBottom w:val="0"/>
          <w:divBdr>
            <w:top w:val="none" w:sz="0" w:space="0" w:color="auto"/>
            <w:left w:val="none" w:sz="0" w:space="0" w:color="auto"/>
            <w:bottom w:val="none" w:sz="0" w:space="0" w:color="auto"/>
            <w:right w:val="none" w:sz="0" w:space="0" w:color="auto"/>
          </w:divBdr>
        </w:div>
        <w:div w:id="984553104">
          <w:marLeft w:val="691"/>
          <w:marRight w:val="0"/>
          <w:marTop w:val="0"/>
          <w:marBottom w:val="0"/>
          <w:divBdr>
            <w:top w:val="none" w:sz="0" w:space="0" w:color="auto"/>
            <w:left w:val="none" w:sz="0" w:space="0" w:color="auto"/>
            <w:bottom w:val="none" w:sz="0" w:space="0" w:color="auto"/>
            <w:right w:val="none" w:sz="0" w:space="0" w:color="auto"/>
          </w:divBdr>
        </w:div>
        <w:div w:id="1337922546">
          <w:marLeft w:val="2246"/>
          <w:marRight w:val="0"/>
          <w:marTop w:val="115"/>
          <w:marBottom w:val="0"/>
          <w:divBdr>
            <w:top w:val="none" w:sz="0" w:space="0" w:color="auto"/>
            <w:left w:val="none" w:sz="0" w:space="0" w:color="auto"/>
            <w:bottom w:val="none" w:sz="0" w:space="0" w:color="auto"/>
            <w:right w:val="none" w:sz="0" w:space="0" w:color="auto"/>
          </w:divBdr>
        </w:div>
        <w:div w:id="1451630592">
          <w:marLeft w:val="2246"/>
          <w:marRight w:val="0"/>
          <w:marTop w:val="115"/>
          <w:marBottom w:val="0"/>
          <w:divBdr>
            <w:top w:val="none" w:sz="0" w:space="0" w:color="auto"/>
            <w:left w:val="none" w:sz="0" w:space="0" w:color="auto"/>
            <w:bottom w:val="none" w:sz="0" w:space="0" w:color="auto"/>
            <w:right w:val="none" w:sz="0" w:space="0" w:color="auto"/>
          </w:divBdr>
        </w:div>
        <w:div w:id="1500385850">
          <w:marLeft w:val="691"/>
          <w:marRight w:val="0"/>
          <w:marTop w:val="0"/>
          <w:marBottom w:val="0"/>
          <w:divBdr>
            <w:top w:val="none" w:sz="0" w:space="0" w:color="auto"/>
            <w:left w:val="none" w:sz="0" w:space="0" w:color="auto"/>
            <w:bottom w:val="none" w:sz="0" w:space="0" w:color="auto"/>
            <w:right w:val="none" w:sz="0" w:space="0" w:color="auto"/>
          </w:divBdr>
        </w:div>
        <w:div w:id="1522818420">
          <w:marLeft w:val="2246"/>
          <w:marRight w:val="0"/>
          <w:marTop w:val="115"/>
          <w:marBottom w:val="0"/>
          <w:divBdr>
            <w:top w:val="none" w:sz="0" w:space="0" w:color="auto"/>
            <w:left w:val="none" w:sz="0" w:space="0" w:color="auto"/>
            <w:bottom w:val="none" w:sz="0" w:space="0" w:color="auto"/>
            <w:right w:val="none" w:sz="0" w:space="0" w:color="auto"/>
          </w:divBdr>
        </w:div>
        <w:div w:id="1752040092">
          <w:marLeft w:val="2246"/>
          <w:marRight w:val="0"/>
          <w:marTop w:val="115"/>
          <w:marBottom w:val="0"/>
          <w:divBdr>
            <w:top w:val="none" w:sz="0" w:space="0" w:color="auto"/>
            <w:left w:val="none" w:sz="0" w:space="0" w:color="auto"/>
            <w:bottom w:val="none" w:sz="0" w:space="0" w:color="auto"/>
            <w:right w:val="none" w:sz="0" w:space="0" w:color="auto"/>
          </w:divBdr>
        </w:div>
      </w:divsChild>
    </w:div>
    <w:div w:id="184297185">
      <w:bodyDiv w:val="1"/>
      <w:marLeft w:val="0"/>
      <w:marRight w:val="0"/>
      <w:marTop w:val="0"/>
      <w:marBottom w:val="0"/>
      <w:divBdr>
        <w:top w:val="none" w:sz="0" w:space="0" w:color="auto"/>
        <w:left w:val="none" w:sz="0" w:space="0" w:color="auto"/>
        <w:bottom w:val="none" w:sz="0" w:space="0" w:color="auto"/>
        <w:right w:val="none" w:sz="0" w:space="0" w:color="auto"/>
      </w:divBdr>
    </w:div>
    <w:div w:id="185100120">
      <w:bodyDiv w:val="1"/>
      <w:marLeft w:val="0"/>
      <w:marRight w:val="0"/>
      <w:marTop w:val="0"/>
      <w:marBottom w:val="0"/>
      <w:divBdr>
        <w:top w:val="none" w:sz="0" w:space="0" w:color="auto"/>
        <w:left w:val="none" w:sz="0" w:space="0" w:color="auto"/>
        <w:bottom w:val="none" w:sz="0" w:space="0" w:color="auto"/>
        <w:right w:val="none" w:sz="0" w:space="0" w:color="auto"/>
      </w:divBdr>
    </w:div>
    <w:div w:id="187259431">
      <w:bodyDiv w:val="1"/>
      <w:marLeft w:val="0"/>
      <w:marRight w:val="0"/>
      <w:marTop w:val="0"/>
      <w:marBottom w:val="0"/>
      <w:divBdr>
        <w:top w:val="none" w:sz="0" w:space="0" w:color="auto"/>
        <w:left w:val="none" w:sz="0" w:space="0" w:color="auto"/>
        <w:bottom w:val="none" w:sz="0" w:space="0" w:color="auto"/>
        <w:right w:val="none" w:sz="0" w:space="0" w:color="auto"/>
      </w:divBdr>
    </w:div>
    <w:div w:id="188229557">
      <w:bodyDiv w:val="1"/>
      <w:marLeft w:val="0"/>
      <w:marRight w:val="0"/>
      <w:marTop w:val="0"/>
      <w:marBottom w:val="0"/>
      <w:divBdr>
        <w:top w:val="none" w:sz="0" w:space="0" w:color="auto"/>
        <w:left w:val="none" w:sz="0" w:space="0" w:color="auto"/>
        <w:bottom w:val="none" w:sz="0" w:space="0" w:color="auto"/>
        <w:right w:val="none" w:sz="0" w:space="0" w:color="auto"/>
      </w:divBdr>
    </w:div>
    <w:div w:id="190074782">
      <w:bodyDiv w:val="1"/>
      <w:marLeft w:val="0"/>
      <w:marRight w:val="0"/>
      <w:marTop w:val="0"/>
      <w:marBottom w:val="0"/>
      <w:divBdr>
        <w:top w:val="none" w:sz="0" w:space="0" w:color="auto"/>
        <w:left w:val="none" w:sz="0" w:space="0" w:color="auto"/>
        <w:bottom w:val="none" w:sz="0" w:space="0" w:color="auto"/>
        <w:right w:val="none" w:sz="0" w:space="0" w:color="auto"/>
      </w:divBdr>
    </w:div>
    <w:div w:id="192422639">
      <w:bodyDiv w:val="1"/>
      <w:marLeft w:val="0"/>
      <w:marRight w:val="0"/>
      <w:marTop w:val="0"/>
      <w:marBottom w:val="0"/>
      <w:divBdr>
        <w:top w:val="none" w:sz="0" w:space="0" w:color="auto"/>
        <w:left w:val="none" w:sz="0" w:space="0" w:color="auto"/>
        <w:bottom w:val="none" w:sz="0" w:space="0" w:color="auto"/>
        <w:right w:val="none" w:sz="0" w:space="0" w:color="auto"/>
      </w:divBdr>
    </w:div>
    <w:div w:id="192500470">
      <w:bodyDiv w:val="1"/>
      <w:marLeft w:val="0"/>
      <w:marRight w:val="0"/>
      <w:marTop w:val="0"/>
      <w:marBottom w:val="0"/>
      <w:divBdr>
        <w:top w:val="none" w:sz="0" w:space="0" w:color="auto"/>
        <w:left w:val="none" w:sz="0" w:space="0" w:color="auto"/>
        <w:bottom w:val="none" w:sz="0" w:space="0" w:color="auto"/>
        <w:right w:val="none" w:sz="0" w:space="0" w:color="auto"/>
      </w:divBdr>
    </w:div>
    <w:div w:id="192960951">
      <w:bodyDiv w:val="1"/>
      <w:marLeft w:val="0"/>
      <w:marRight w:val="0"/>
      <w:marTop w:val="0"/>
      <w:marBottom w:val="0"/>
      <w:divBdr>
        <w:top w:val="none" w:sz="0" w:space="0" w:color="auto"/>
        <w:left w:val="none" w:sz="0" w:space="0" w:color="auto"/>
        <w:bottom w:val="none" w:sz="0" w:space="0" w:color="auto"/>
        <w:right w:val="none" w:sz="0" w:space="0" w:color="auto"/>
      </w:divBdr>
    </w:div>
    <w:div w:id="193232147">
      <w:bodyDiv w:val="1"/>
      <w:marLeft w:val="0"/>
      <w:marRight w:val="0"/>
      <w:marTop w:val="0"/>
      <w:marBottom w:val="0"/>
      <w:divBdr>
        <w:top w:val="none" w:sz="0" w:space="0" w:color="auto"/>
        <w:left w:val="none" w:sz="0" w:space="0" w:color="auto"/>
        <w:bottom w:val="none" w:sz="0" w:space="0" w:color="auto"/>
        <w:right w:val="none" w:sz="0" w:space="0" w:color="auto"/>
      </w:divBdr>
    </w:div>
    <w:div w:id="193812718">
      <w:bodyDiv w:val="1"/>
      <w:marLeft w:val="0"/>
      <w:marRight w:val="0"/>
      <w:marTop w:val="0"/>
      <w:marBottom w:val="0"/>
      <w:divBdr>
        <w:top w:val="none" w:sz="0" w:space="0" w:color="auto"/>
        <w:left w:val="none" w:sz="0" w:space="0" w:color="auto"/>
        <w:bottom w:val="none" w:sz="0" w:space="0" w:color="auto"/>
        <w:right w:val="none" w:sz="0" w:space="0" w:color="auto"/>
      </w:divBdr>
    </w:div>
    <w:div w:id="195121393">
      <w:bodyDiv w:val="1"/>
      <w:marLeft w:val="0"/>
      <w:marRight w:val="0"/>
      <w:marTop w:val="0"/>
      <w:marBottom w:val="0"/>
      <w:divBdr>
        <w:top w:val="none" w:sz="0" w:space="0" w:color="auto"/>
        <w:left w:val="none" w:sz="0" w:space="0" w:color="auto"/>
        <w:bottom w:val="none" w:sz="0" w:space="0" w:color="auto"/>
        <w:right w:val="none" w:sz="0" w:space="0" w:color="auto"/>
      </w:divBdr>
    </w:div>
    <w:div w:id="195850233">
      <w:bodyDiv w:val="1"/>
      <w:marLeft w:val="0"/>
      <w:marRight w:val="0"/>
      <w:marTop w:val="0"/>
      <w:marBottom w:val="0"/>
      <w:divBdr>
        <w:top w:val="none" w:sz="0" w:space="0" w:color="auto"/>
        <w:left w:val="none" w:sz="0" w:space="0" w:color="auto"/>
        <w:bottom w:val="none" w:sz="0" w:space="0" w:color="auto"/>
        <w:right w:val="none" w:sz="0" w:space="0" w:color="auto"/>
      </w:divBdr>
    </w:div>
    <w:div w:id="197351065">
      <w:bodyDiv w:val="1"/>
      <w:marLeft w:val="0"/>
      <w:marRight w:val="0"/>
      <w:marTop w:val="0"/>
      <w:marBottom w:val="0"/>
      <w:divBdr>
        <w:top w:val="none" w:sz="0" w:space="0" w:color="auto"/>
        <w:left w:val="none" w:sz="0" w:space="0" w:color="auto"/>
        <w:bottom w:val="none" w:sz="0" w:space="0" w:color="auto"/>
        <w:right w:val="none" w:sz="0" w:space="0" w:color="auto"/>
      </w:divBdr>
    </w:div>
    <w:div w:id="197473641">
      <w:bodyDiv w:val="1"/>
      <w:marLeft w:val="0"/>
      <w:marRight w:val="0"/>
      <w:marTop w:val="0"/>
      <w:marBottom w:val="0"/>
      <w:divBdr>
        <w:top w:val="none" w:sz="0" w:space="0" w:color="auto"/>
        <w:left w:val="none" w:sz="0" w:space="0" w:color="auto"/>
        <w:bottom w:val="none" w:sz="0" w:space="0" w:color="auto"/>
        <w:right w:val="none" w:sz="0" w:space="0" w:color="auto"/>
      </w:divBdr>
    </w:div>
    <w:div w:id="199054660">
      <w:bodyDiv w:val="1"/>
      <w:marLeft w:val="0"/>
      <w:marRight w:val="0"/>
      <w:marTop w:val="0"/>
      <w:marBottom w:val="0"/>
      <w:divBdr>
        <w:top w:val="none" w:sz="0" w:space="0" w:color="auto"/>
        <w:left w:val="none" w:sz="0" w:space="0" w:color="auto"/>
        <w:bottom w:val="none" w:sz="0" w:space="0" w:color="auto"/>
        <w:right w:val="none" w:sz="0" w:space="0" w:color="auto"/>
      </w:divBdr>
    </w:div>
    <w:div w:id="200292231">
      <w:bodyDiv w:val="1"/>
      <w:marLeft w:val="0"/>
      <w:marRight w:val="0"/>
      <w:marTop w:val="0"/>
      <w:marBottom w:val="0"/>
      <w:divBdr>
        <w:top w:val="none" w:sz="0" w:space="0" w:color="auto"/>
        <w:left w:val="none" w:sz="0" w:space="0" w:color="auto"/>
        <w:bottom w:val="none" w:sz="0" w:space="0" w:color="auto"/>
        <w:right w:val="none" w:sz="0" w:space="0" w:color="auto"/>
      </w:divBdr>
    </w:div>
    <w:div w:id="200748880">
      <w:bodyDiv w:val="1"/>
      <w:marLeft w:val="0"/>
      <w:marRight w:val="0"/>
      <w:marTop w:val="0"/>
      <w:marBottom w:val="0"/>
      <w:divBdr>
        <w:top w:val="none" w:sz="0" w:space="0" w:color="auto"/>
        <w:left w:val="none" w:sz="0" w:space="0" w:color="auto"/>
        <w:bottom w:val="none" w:sz="0" w:space="0" w:color="auto"/>
        <w:right w:val="none" w:sz="0" w:space="0" w:color="auto"/>
      </w:divBdr>
    </w:div>
    <w:div w:id="201598959">
      <w:bodyDiv w:val="1"/>
      <w:marLeft w:val="0"/>
      <w:marRight w:val="0"/>
      <w:marTop w:val="0"/>
      <w:marBottom w:val="0"/>
      <w:divBdr>
        <w:top w:val="none" w:sz="0" w:space="0" w:color="auto"/>
        <w:left w:val="none" w:sz="0" w:space="0" w:color="auto"/>
        <w:bottom w:val="none" w:sz="0" w:space="0" w:color="auto"/>
        <w:right w:val="none" w:sz="0" w:space="0" w:color="auto"/>
      </w:divBdr>
    </w:div>
    <w:div w:id="202258890">
      <w:bodyDiv w:val="1"/>
      <w:marLeft w:val="0"/>
      <w:marRight w:val="0"/>
      <w:marTop w:val="0"/>
      <w:marBottom w:val="0"/>
      <w:divBdr>
        <w:top w:val="none" w:sz="0" w:space="0" w:color="auto"/>
        <w:left w:val="none" w:sz="0" w:space="0" w:color="auto"/>
        <w:bottom w:val="none" w:sz="0" w:space="0" w:color="auto"/>
        <w:right w:val="none" w:sz="0" w:space="0" w:color="auto"/>
      </w:divBdr>
    </w:div>
    <w:div w:id="202862230">
      <w:bodyDiv w:val="1"/>
      <w:marLeft w:val="0"/>
      <w:marRight w:val="0"/>
      <w:marTop w:val="0"/>
      <w:marBottom w:val="0"/>
      <w:divBdr>
        <w:top w:val="none" w:sz="0" w:space="0" w:color="auto"/>
        <w:left w:val="none" w:sz="0" w:space="0" w:color="auto"/>
        <w:bottom w:val="none" w:sz="0" w:space="0" w:color="auto"/>
        <w:right w:val="none" w:sz="0" w:space="0" w:color="auto"/>
      </w:divBdr>
    </w:div>
    <w:div w:id="205025413">
      <w:bodyDiv w:val="1"/>
      <w:marLeft w:val="0"/>
      <w:marRight w:val="0"/>
      <w:marTop w:val="0"/>
      <w:marBottom w:val="0"/>
      <w:divBdr>
        <w:top w:val="none" w:sz="0" w:space="0" w:color="auto"/>
        <w:left w:val="none" w:sz="0" w:space="0" w:color="auto"/>
        <w:bottom w:val="none" w:sz="0" w:space="0" w:color="auto"/>
        <w:right w:val="none" w:sz="0" w:space="0" w:color="auto"/>
      </w:divBdr>
    </w:div>
    <w:div w:id="205064888">
      <w:bodyDiv w:val="1"/>
      <w:marLeft w:val="0"/>
      <w:marRight w:val="0"/>
      <w:marTop w:val="0"/>
      <w:marBottom w:val="0"/>
      <w:divBdr>
        <w:top w:val="none" w:sz="0" w:space="0" w:color="auto"/>
        <w:left w:val="none" w:sz="0" w:space="0" w:color="auto"/>
        <w:bottom w:val="none" w:sz="0" w:space="0" w:color="auto"/>
        <w:right w:val="none" w:sz="0" w:space="0" w:color="auto"/>
      </w:divBdr>
    </w:div>
    <w:div w:id="205068976">
      <w:bodyDiv w:val="1"/>
      <w:marLeft w:val="0"/>
      <w:marRight w:val="0"/>
      <w:marTop w:val="0"/>
      <w:marBottom w:val="0"/>
      <w:divBdr>
        <w:top w:val="none" w:sz="0" w:space="0" w:color="auto"/>
        <w:left w:val="none" w:sz="0" w:space="0" w:color="auto"/>
        <w:bottom w:val="none" w:sz="0" w:space="0" w:color="auto"/>
        <w:right w:val="none" w:sz="0" w:space="0" w:color="auto"/>
      </w:divBdr>
    </w:div>
    <w:div w:id="205531658">
      <w:bodyDiv w:val="1"/>
      <w:marLeft w:val="0"/>
      <w:marRight w:val="0"/>
      <w:marTop w:val="0"/>
      <w:marBottom w:val="0"/>
      <w:divBdr>
        <w:top w:val="none" w:sz="0" w:space="0" w:color="auto"/>
        <w:left w:val="none" w:sz="0" w:space="0" w:color="auto"/>
        <w:bottom w:val="none" w:sz="0" w:space="0" w:color="auto"/>
        <w:right w:val="none" w:sz="0" w:space="0" w:color="auto"/>
      </w:divBdr>
    </w:div>
    <w:div w:id="206768613">
      <w:bodyDiv w:val="1"/>
      <w:marLeft w:val="0"/>
      <w:marRight w:val="0"/>
      <w:marTop w:val="0"/>
      <w:marBottom w:val="0"/>
      <w:divBdr>
        <w:top w:val="none" w:sz="0" w:space="0" w:color="auto"/>
        <w:left w:val="none" w:sz="0" w:space="0" w:color="auto"/>
        <w:bottom w:val="none" w:sz="0" w:space="0" w:color="auto"/>
        <w:right w:val="none" w:sz="0" w:space="0" w:color="auto"/>
      </w:divBdr>
    </w:div>
    <w:div w:id="207299876">
      <w:bodyDiv w:val="1"/>
      <w:marLeft w:val="0"/>
      <w:marRight w:val="0"/>
      <w:marTop w:val="0"/>
      <w:marBottom w:val="0"/>
      <w:divBdr>
        <w:top w:val="none" w:sz="0" w:space="0" w:color="auto"/>
        <w:left w:val="none" w:sz="0" w:space="0" w:color="auto"/>
        <w:bottom w:val="none" w:sz="0" w:space="0" w:color="auto"/>
        <w:right w:val="none" w:sz="0" w:space="0" w:color="auto"/>
      </w:divBdr>
    </w:div>
    <w:div w:id="207573366">
      <w:bodyDiv w:val="1"/>
      <w:marLeft w:val="0"/>
      <w:marRight w:val="0"/>
      <w:marTop w:val="0"/>
      <w:marBottom w:val="0"/>
      <w:divBdr>
        <w:top w:val="none" w:sz="0" w:space="0" w:color="auto"/>
        <w:left w:val="none" w:sz="0" w:space="0" w:color="auto"/>
        <w:bottom w:val="none" w:sz="0" w:space="0" w:color="auto"/>
        <w:right w:val="none" w:sz="0" w:space="0" w:color="auto"/>
      </w:divBdr>
    </w:div>
    <w:div w:id="209803856">
      <w:bodyDiv w:val="1"/>
      <w:marLeft w:val="0"/>
      <w:marRight w:val="0"/>
      <w:marTop w:val="0"/>
      <w:marBottom w:val="0"/>
      <w:divBdr>
        <w:top w:val="none" w:sz="0" w:space="0" w:color="auto"/>
        <w:left w:val="none" w:sz="0" w:space="0" w:color="auto"/>
        <w:bottom w:val="none" w:sz="0" w:space="0" w:color="auto"/>
        <w:right w:val="none" w:sz="0" w:space="0" w:color="auto"/>
      </w:divBdr>
    </w:div>
    <w:div w:id="210382575">
      <w:bodyDiv w:val="1"/>
      <w:marLeft w:val="0"/>
      <w:marRight w:val="0"/>
      <w:marTop w:val="0"/>
      <w:marBottom w:val="0"/>
      <w:divBdr>
        <w:top w:val="none" w:sz="0" w:space="0" w:color="auto"/>
        <w:left w:val="none" w:sz="0" w:space="0" w:color="auto"/>
        <w:bottom w:val="none" w:sz="0" w:space="0" w:color="auto"/>
        <w:right w:val="none" w:sz="0" w:space="0" w:color="auto"/>
      </w:divBdr>
    </w:div>
    <w:div w:id="210650493">
      <w:bodyDiv w:val="1"/>
      <w:marLeft w:val="0"/>
      <w:marRight w:val="0"/>
      <w:marTop w:val="0"/>
      <w:marBottom w:val="0"/>
      <w:divBdr>
        <w:top w:val="none" w:sz="0" w:space="0" w:color="auto"/>
        <w:left w:val="none" w:sz="0" w:space="0" w:color="auto"/>
        <w:bottom w:val="none" w:sz="0" w:space="0" w:color="auto"/>
        <w:right w:val="none" w:sz="0" w:space="0" w:color="auto"/>
      </w:divBdr>
    </w:div>
    <w:div w:id="210650747">
      <w:bodyDiv w:val="1"/>
      <w:marLeft w:val="0"/>
      <w:marRight w:val="0"/>
      <w:marTop w:val="0"/>
      <w:marBottom w:val="0"/>
      <w:divBdr>
        <w:top w:val="none" w:sz="0" w:space="0" w:color="auto"/>
        <w:left w:val="none" w:sz="0" w:space="0" w:color="auto"/>
        <w:bottom w:val="none" w:sz="0" w:space="0" w:color="auto"/>
        <w:right w:val="none" w:sz="0" w:space="0" w:color="auto"/>
      </w:divBdr>
    </w:div>
    <w:div w:id="211119255">
      <w:bodyDiv w:val="1"/>
      <w:marLeft w:val="0"/>
      <w:marRight w:val="0"/>
      <w:marTop w:val="0"/>
      <w:marBottom w:val="0"/>
      <w:divBdr>
        <w:top w:val="none" w:sz="0" w:space="0" w:color="auto"/>
        <w:left w:val="none" w:sz="0" w:space="0" w:color="auto"/>
        <w:bottom w:val="none" w:sz="0" w:space="0" w:color="auto"/>
        <w:right w:val="none" w:sz="0" w:space="0" w:color="auto"/>
      </w:divBdr>
    </w:div>
    <w:div w:id="211694142">
      <w:bodyDiv w:val="1"/>
      <w:marLeft w:val="0"/>
      <w:marRight w:val="0"/>
      <w:marTop w:val="0"/>
      <w:marBottom w:val="0"/>
      <w:divBdr>
        <w:top w:val="none" w:sz="0" w:space="0" w:color="auto"/>
        <w:left w:val="none" w:sz="0" w:space="0" w:color="auto"/>
        <w:bottom w:val="none" w:sz="0" w:space="0" w:color="auto"/>
        <w:right w:val="none" w:sz="0" w:space="0" w:color="auto"/>
      </w:divBdr>
    </w:div>
    <w:div w:id="214506258">
      <w:bodyDiv w:val="1"/>
      <w:marLeft w:val="0"/>
      <w:marRight w:val="0"/>
      <w:marTop w:val="0"/>
      <w:marBottom w:val="0"/>
      <w:divBdr>
        <w:top w:val="none" w:sz="0" w:space="0" w:color="auto"/>
        <w:left w:val="none" w:sz="0" w:space="0" w:color="auto"/>
        <w:bottom w:val="none" w:sz="0" w:space="0" w:color="auto"/>
        <w:right w:val="none" w:sz="0" w:space="0" w:color="auto"/>
      </w:divBdr>
    </w:div>
    <w:div w:id="215090326">
      <w:bodyDiv w:val="1"/>
      <w:marLeft w:val="0"/>
      <w:marRight w:val="0"/>
      <w:marTop w:val="0"/>
      <w:marBottom w:val="0"/>
      <w:divBdr>
        <w:top w:val="none" w:sz="0" w:space="0" w:color="auto"/>
        <w:left w:val="none" w:sz="0" w:space="0" w:color="auto"/>
        <w:bottom w:val="none" w:sz="0" w:space="0" w:color="auto"/>
        <w:right w:val="none" w:sz="0" w:space="0" w:color="auto"/>
      </w:divBdr>
    </w:div>
    <w:div w:id="216206494">
      <w:bodyDiv w:val="1"/>
      <w:marLeft w:val="0"/>
      <w:marRight w:val="0"/>
      <w:marTop w:val="0"/>
      <w:marBottom w:val="0"/>
      <w:divBdr>
        <w:top w:val="none" w:sz="0" w:space="0" w:color="auto"/>
        <w:left w:val="none" w:sz="0" w:space="0" w:color="auto"/>
        <w:bottom w:val="none" w:sz="0" w:space="0" w:color="auto"/>
        <w:right w:val="none" w:sz="0" w:space="0" w:color="auto"/>
      </w:divBdr>
    </w:div>
    <w:div w:id="216285266">
      <w:bodyDiv w:val="1"/>
      <w:marLeft w:val="0"/>
      <w:marRight w:val="0"/>
      <w:marTop w:val="0"/>
      <w:marBottom w:val="0"/>
      <w:divBdr>
        <w:top w:val="none" w:sz="0" w:space="0" w:color="auto"/>
        <w:left w:val="none" w:sz="0" w:space="0" w:color="auto"/>
        <w:bottom w:val="none" w:sz="0" w:space="0" w:color="auto"/>
        <w:right w:val="none" w:sz="0" w:space="0" w:color="auto"/>
      </w:divBdr>
    </w:div>
    <w:div w:id="218635831">
      <w:bodyDiv w:val="1"/>
      <w:marLeft w:val="0"/>
      <w:marRight w:val="0"/>
      <w:marTop w:val="0"/>
      <w:marBottom w:val="0"/>
      <w:divBdr>
        <w:top w:val="none" w:sz="0" w:space="0" w:color="auto"/>
        <w:left w:val="none" w:sz="0" w:space="0" w:color="auto"/>
        <w:bottom w:val="none" w:sz="0" w:space="0" w:color="auto"/>
        <w:right w:val="none" w:sz="0" w:space="0" w:color="auto"/>
      </w:divBdr>
    </w:div>
    <w:div w:id="219365672">
      <w:bodyDiv w:val="1"/>
      <w:marLeft w:val="0"/>
      <w:marRight w:val="0"/>
      <w:marTop w:val="0"/>
      <w:marBottom w:val="0"/>
      <w:divBdr>
        <w:top w:val="none" w:sz="0" w:space="0" w:color="auto"/>
        <w:left w:val="none" w:sz="0" w:space="0" w:color="auto"/>
        <w:bottom w:val="none" w:sz="0" w:space="0" w:color="auto"/>
        <w:right w:val="none" w:sz="0" w:space="0" w:color="auto"/>
      </w:divBdr>
    </w:div>
    <w:div w:id="220096003">
      <w:bodyDiv w:val="1"/>
      <w:marLeft w:val="0"/>
      <w:marRight w:val="0"/>
      <w:marTop w:val="0"/>
      <w:marBottom w:val="0"/>
      <w:divBdr>
        <w:top w:val="none" w:sz="0" w:space="0" w:color="auto"/>
        <w:left w:val="none" w:sz="0" w:space="0" w:color="auto"/>
        <w:bottom w:val="none" w:sz="0" w:space="0" w:color="auto"/>
        <w:right w:val="none" w:sz="0" w:space="0" w:color="auto"/>
      </w:divBdr>
    </w:div>
    <w:div w:id="220219647">
      <w:bodyDiv w:val="1"/>
      <w:marLeft w:val="0"/>
      <w:marRight w:val="0"/>
      <w:marTop w:val="0"/>
      <w:marBottom w:val="0"/>
      <w:divBdr>
        <w:top w:val="none" w:sz="0" w:space="0" w:color="auto"/>
        <w:left w:val="none" w:sz="0" w:space="0" w:color="auto"/>
        <w:bottom w:val="none" w:sz="0" w:space="0" w:color="auto"/>
        <w:right w:val="none" w:sz="0" w:space="0" w:color="auto"/>
      </w:divBdr>
    </w:div>
    <w:div w:id="220332239">
      <w:bodyDiv w:val="1"/>
      <w:marLeft w:val="0"/>
      <w:marRight w:val="0"/>
      <w:marTop w:val="0"/>
      <w:marBottom w:val="0"/>
      <w:divBdr>
        <w:top w:val="none" w:sz="0" w:space="0" w:color="auto"/>
        <w:left w:val="none" w:sz="0" w:space="0" w:color="auto"/>
        <w:bottom w:val="none" w:sz="0" w:space="0" w:color="auto"/>
        <w:right w:val="none" w:sz="0" w:space="0" w:color="auto"/>
      </w:divBdr>
    </w:div>
    <w:div w:id="222066407">
      <w:bodyDiv w:val="1"/>
      <w:marLeft w:val="0"/>
      <w:marRight w:val="0"/>
      <w:marTop w:val="0"/>
      <w:marBottom w:val="0"/>
      <w:divBdr>
        <w:top w:val="none" w:sz="0" w:space="0" w:color="auto"/>
        <w:left w:val="none" w:sz="0" w:space="0" w:color="auto"/>
        <w:bottom w:val="none" w:sz="0" w:space="0" w:color="auto"/>
        <w:right w:val="none" w:sz="0" w:space="0" w:color="auto"/>
      </w:divBdr>
    </w:div>
    <w:div w:id="222105525">
      <w:bodyDiv w:val="1"/>
      <w:marLeft w:val="0"/>
      <w:marRight w:val="0"/>
      <w:marTop w:val="0"/>
      <w:marBottom w:val="0"/>
      <w:divBdr>
        <w:top w:val="none" w:sz="0" w:space="0" w:color="auto"/>
        <w:left w:val="none" w:sz="0" w:space="0" w:color="auto"/>
        <w:bottom w:val="none" w:sz="0" w:space="0" w:color="auto"/>
        <w:right w:val="none" w:sz="0" w:space="0" w:color="auto"/>
      </w:divBdr>
    </w:div>
    <w:div w:id="225142406">
      <w:bodyDiv w:val="1"/>
      <w:marLeft w:val="0"/>
      <w:marRight w:val="0"/>
      <w:marTop w:val="0"/>
      <w:marBottom w:val="0"/>
      <w:divBdr>
        <w:top w:val="none" w:sz="0" w:space="0" w:color="auto"/>
        <w:left w:val="none" w:sz="0" w:space="0" w:color="auto"/>
        <w:bottom w:val="none" w:sz="0" w:space="0" w:color="auto"/>
        <w:right w:val="none" w:sz="0" w:space="0" w:color="auto"/>
      </w:divBdr>
    </w:div>
    <w:div w:id="225382820">
      <w:bodyDiv w:val="1"/>
      <w:marLeft w:val="0"/>
      <w:marRight w:val="0"/>
      <w:marTop w:val="0"/>
      <w:marBottom w:val="0"/>
      <w:divBdr>
        <w:top w:val="none" w:sz="0" w:space="0" w:color="auto"/>
        <w:left w:val="none" w:sz="0" w:space="0" w:color="auto"/>
        <w:bottom w:val="none" w:sz="0" w:space="0" w:color="auto"/>
        <w:right w:val="none" w:sz="0" w:space="0" w:color="auto"/>
      </w:divBdr>
    </w:div>
    <w:div w:id="225530851">
      <w:bodyDiv w:val="1"/>
      <w:marLeft w:val="0"/>
      <w:marRight w:val="0"/>
      <w:marTop w:val="0"/>
      <w:marBottom w:val="0"/>
      <w:divBdr>
        <w:top w:val="none" w:sz="0" w:space="0" w:color="auto"/>
        <w:left w:val="none" w:sz="0" w:space="0" w:color="auto"/>
        <w:bottom w:val="none" w:sz="0" w:space="0" w:color="auto"/>
        <w:right w:val="none" w:sz="0" w:space="0" w:color="auto"/>
      </w:divBdr>
    </w:div>
    <w:div w:id="229922377">
      <w:bodyDiv w:val="1"/>
      <w:marLeft w:val="0"/>
      <w:marRight w:val="0"/>
      <w:marTop w:val="0"/>
      <w:marBottom w:val="0"/>
      <w:divBdr>
        <w:top w:val="none" w:sz="0" w:space="0" w:color="auto"/>
        <w:left w:val="none" w:sz="0" w:space="0" w:color="auto"/>
        <w:bottom w:val="none" w:sz="0" w:space="0" w:color="auto"/>
        <w:right w:val="none" w:sz="0" w:space="0" w:color="auto"/>
      </w:divBdr>
    </w:div>
    <w:div w:id="230117070">
      <w:bodyDiv w:val="1"/>
      <w:marLeft w:val="0"/>
      <w:marRight w:val="0"/>
      <w:marTop w:val="0"/>
      <w:marBottom w:val="0"/>
      <w:divBdr>
        <w:top w:val="none" w:sz="0" w:space="0" w:color="auto"/>
        <w:left w:val="none" w:sz="0" w:space="0" w:color="auto"/>
        <w:bottom w:val="none" w:sz="0" w:space="0" w:color="auto"/>
        <w:right w:val="none" w:sz="0" w:space="0" w:color="auto"/>
      </w:divBdr>
    </w:div>
    <w:div w:id="230165310">
      <w:bodyDiv w:val="1"/>
      <w:marLeft w:val="0"/>
      <w:marRight w:val="0"/>
      <w:marTop w:val="0"/>
      <w:marBottom w:val="0"/>
      <w:divBdr>
        <w:top w:val="none" w:sz="0" w:space="0" w:color="auto"/>
        <w:left w:val="none" w:sz="0" w:space="0" w:color="auto"/>
        <w:bottom w:val="none" w:sz="0" w:space="0" w:color="auto"/>
        <w:right w:val="none" w:sz="0" w:space="0" w:color="auto"/>
      </w:divBdr>
    </w:div>
    <w:div w:id="231044772">
      <w:bodyDiv w:val="1"/>
      <w:marLeft w:val="0"/>
      <w:marRight w:val="0"/>
      <w:marTop w:val="0"/>
      <w:marBottom w:val="0"/>
      <w:divBdr>
        <w:top w:val="none" w:sz="0" w:space="0" w:color="auto"/>
        <w:left w:val="none" w:sz="0" w:space="0" w:color="auto"/>
        <w:bottom w:val="none" w:sz="0" w:space="0" w:color="auto"/>
        <w:right w:val="none" w:sz="0" w:space="0" w:color="auto"/>
      </w:divBdr>
    </w:div>
    <w:div w:id="231082586">
      <w:bodyDiv w:val="1"/>
      <w:marLeft w:val="0"/>
      <w:marRight w:val="0"/>
      <w:marTop w:val="0"/>
      <w:marBottom w:val="0"/>
      <w:divBdr>
        <w:top w:val="none" w:sz="0" w:space="0" w:color="auto"/>
        <w:left w:val="none" w:sz="0" w:space="0" w:color="auto"/>
        <w:bottom w:val="none" w:sz="0" w:space="0" w:color="auto"/>
        <w:right w:val="none" w:sz="0" w:space="0" w:color="auto"/>
      </w:divBdr>
    </w:div>
    <w:div w:id="232816151">
      <w:bodyDiv w:val="1"/>
      <w:marLeft w:val="0"/>
      <w:marRight w:val="0"/>
      <w:marTop w:val="0"/>
      <w:marBottom w:val="0"/>
      <w:divBdr>
        <w:top w:val="none" w:sz="0" w:space="0" w:color="auto"/>
        <w:left w:val="none" w:sz="0" w:space="0" w:color="auto"/>
        <w:bottom w:val="none" w:sz="0" w:space="0" w:color="auto"/>
        <w:right w:val="none" w:sz="0" w:space="0" w:color="auto"/>
      </w:divBdr>
    </w:div>
    <w:div w:id="233593533">
      <w:bodyDiv w:val="1"/>
      <w:marLeft w:val="0"/>
      <w:marRight w:val="0"/>
      <w:marTop w:val="0"/>
      <w:marBottom w:val="0"/>
      <w:divBdr>
        <w:top w:val="none" w:sz="0" w:space="0" w:color="auto"/>
        <w:left w:val="none" w:sz="0" w:space="0" w:color="auto"/>
        <w:bottom w:val="none" w:sz="0" w:space="0" w:color="auto"/>
        <w:right w:val="none" w:sz="0" w:space="0" w:color="auto"/>
      </w:divBdr>
    </w:div>
    <w:div w:id="233668387">
      <w:bodyDiv w:val="1"/>
      <w:marLeft w:val="0"/>
      <w:marRight w:val="0"/>
      <w:marTop w:val="0"/>
      <w:marBottom w:val="0"/>
      <w:divBdr>
        <w:top w:val="none" w:sz="0" w:space="0" w:color="auto"/>
        <w:left w:val="none" w:sz="0" w:space="0" w:color="auto"/>
        <w:bottom w:val="none" w:sz="0" w:space="0" w:color="auto"/>
        <w:right w:val="none" w:sz="0" w:space="0" w:color="auto"/>
      </w:divBdr>
    </w:div>
    <w:div w:id="234322399">
      <w:bodyDiv w:val="1"/>
      <w:marLeft w:val="0"/>
      <w:marRight w:val="0"/>
      <w:marTop w:val="0"/>
      <w:marBottom w:val="0"/>
      <w:divBdr>
        <w:top w:val="none" w:sz="0" w:space="0" w:color="auto"/>
        <w:left w:val="none" w:sz="0" w:space="0" w:color="auto"/>
        <w:bottom w:val="none" w:sz="0" w:space="0" w:color="auto"/>
        <w:right w:val="none" w:sz="0" w:space="0" w:color="auto"/>
      </w:divBdr>
    </w:div>
    <w:div w:id="237060468">
      <w:bodyDiv w:val="1"/>
      <w:marLeft w:val="0"/>
      <w:marRight w:val="0"/>
      <w:marTop w:val="0"/>
      <w:marBottom w:val="0"/>
      <w:divBdr>
        <w:top w:val="none" w:sz="0" w:space="0" w:color="auto"/>
        <w:left w:val="none" w:sz="0" w:space="0" w:color="auto"/>
        <w:bottom w:val="none" w:sz="0" w:space="0" w:color="auto"/>
        <w:right w:val="none" w:sz="0" w:space="0" w:color="auto"/>
      </w:divBdr>
    </w:div>
    <w:div w:id="237440888">
      <w:bodyDiv w:val="1"/>
      <w:marLeft w:val="0"/>
      <w:marRight w:val="0"/>
      <w:marTop w:val="0"/>
      <w:marBottom w:val="0"/>
      <w:divBdr>
        <w:top w:val="none" w:sz="0" w:space="0" w:color="auto"/>
        <w:left w:val="none" w:sz="0" w:space="0" w:color="auto"/>
        <w:bottom w:val="none" w:sz="0" w:space="0" w:color="auto"/>
        <w:right w:val="none" w:sz="0" w:space="0" w:color="auto"/>
      </w:divBdr>
    </w:div>
    <w:div w:id="237637251">
      <w:bodyDiv w:val="1"/>
      <w:marLeft w:val="0"/>
      <w:marRight w:val="0"/>
      <w:marTop w:val="0"/>
      <w:marBottom w:val="0"/>
      <w:divBdr>
        <w:top w:val="none" w:sz="0" w:space="0" w:color="auto"/>
        <w:left w:val="none" w:sz="0" w:space="0" w:color="auto"/>
        <w:bottom w:val="none" w:sz="0" w:space="0" w:color="auto"/>
        <w:right w:val="none" w:sz="0" w:space="0" w:color="auto"/>
      </w:divBdr>
    </w:div>
    <w:div w:id="237904605">
      <w:bodyDiv w:val="1"/>
      <w:marLeft w:val="0"/>
      <w:marRight w:val="0"/>
      <w:marTop w:val="0"/>
      <w:marBottom w:val="0"/>
      <w:divBdr>
        <w:top w:val="none" w:sz="0" w:space="0" w:color="auto"/>
        <w:left w:val="none" w:sz="0" w:space="0" w:color="auto"/>
        <w:bottom w:val="none" w:sz="0" w:space="0" w:color="auto"/>
        <w:right w:val="none" w:sz="0" w:space="0" w:color="auto"/>
      </w:divBdr>
    </w:div>
    <w:div w:id="239221998">
      <w:bodyDiv w:val="1"/>
      <w:marLeft w:val="0"/>
      <w:marRight w:val="0"/>
      <w:marTop w:val="0"/>
      <w:marBottom w:val="0"/>
      <w:divBdr>
        <w:top w:val="none" w:sz="0" w:space="0" w:color="auto"/>
        <w:left w:val="none" w:sz="0" w:space="0" w:color="auto"/>
        <w:bottom w:val="none" w:sz="0" w:space="0" w:color="auto"/>
        <w:right w:val="none" w:sz="0" w:space="0" w:color="auto"/>
      </w:divBdr>
    </w:div>
    <w:div w:id="241377771">
      <w:bodyDiv w:val="1"/>
      <w:marLeft w:val="0"/>
      <w:marRight w:val="0"/>
      <w:marTop w:val="0"/>
      <w:marBottom w:val="0"/>
      <w:divBdr>
        <w:top w:val="none" w:sz="0" w:space="0" w:color="auto"/>
        <w:left w:val="none" w:sz="0" w:space="0" w:color="auto"/>
        <w:bottom w:val="none" w:sz="0" w:space="0" w:color="auto"/>
        <w:right w:val="none" w:sz="0" w:space="0" w:color="auto"/>
      </w:divBdr>
    </w:div>
    <w:div w:id="243413919">
      <w:bodyDiv w:val="1"/>
      <w:marLeft w:val="0"/>
      <w:marRight w:val="0"/>
      <w:marTop w:val="0"/>
      <w:marBottom w:val="0"/>
      <w:divBdr>
        <w:top w:val="none" w:sz="0" w:space="0" w:color="auto"/>
        <w:left w:val="none" w:sz="0" w:space="0" w:color="auto"/>
        <w:bottom w:val="none" w:sz="0" w:space="0" w:color="auto"/>
        <w:right w:val="none" w:sz="0" w:space="0" w:color="auto"/>
      </w:divBdr>
    </w:div>
    <w:div w:id="243613929">
      <w:bodyDiv w:val="1"/>
      <w:marLeft w:val="0"/>
      <w:marRight w:val="0"/>
      <w:marTop w:val="0"/>
      <w:marBottom w:val="0"/>
      <w:divBdr>
        <w:top w:val="none" w:sz="0" w:space="0" w:color="auto"/>
        <w:left w:val="none" w:sz="0" w:space="0" w:color="auto"/>
        <w:bottom w:val="none" w:sz="0" w:space="0" w:color="auto"/>
        <w:right w:val="none" w:sz="0" w:space="0" w:color="auto"/>
      </w:divBdr>
    </w:div>
    <w:div w:id="244076433">
      <w:bodyDiv w:val="1"/>
      <w:marLeft w:val="0"/>
      <w:marRight w:val="0"/>
      <w:marTop w:val="0"/>
      <w:marBottom w:val="0"/>
      <w:divBdr>
        <w:top w:val="none" w:sz="0" w:space="0" w:color="auto"/>
        <w:left w:val="none" w:sz="0" w:space="0" w:color="auto"/>
        <w:bottom w:val="none" w:sz="0" w:space="0" w:color="auto"/>
        <w:right w:val="none" w:sz="0" w:space="0" w:color="auto"/>
      </w:divBdr>
    </w:div>
    <w:div w:id="244655229">
      <w:bodyDiv w:val="1"/>
      <w:marLeft w:val="0"/>
      <w:marRight w:val="0"/>
      <w:marTop w:val="0"/>
      <w:marBottom w:val="0"/>
      <w:divBdr>
        <w:top w:val="none" w:sz="0" w:space="0" w:color="auto"/>
        <w:left w:val="none" w:sz="0" w:space="0" w:color="auto"/>
        <w:bottom w:val="none" w:sz="0" w:space="0" w:color="auto"/>
        <w:right w:val="none" w:sz="0" w:space="0" w:color="auto"/>
      </w:divBdr>
    </w:div>
    <w:div w:id="244924315">
      <w:bodyDiv w:val="1"/>
      <w:marLeft w:val="0"/>
      <w:marRight w:val="0"/>
      <w:marTop w:val="0"/>
      <w:marBottom w:val="0"/>
      <w:divBdr>
        <w:top w:val="none" w:sz="0" w:space="0" w:color="auto"/>
        <w:left w:val="none" w:sz="0" w:space="0" w:color="auto"/>
        <w:bottom w:val="none" w:sz="0" w:space="0" w:color="auto"/>
        <w:right w:val="none" w:sz="0" w:space="0" w:color="auto"/>
      </w:divBdr>
    </w:div>
    <w:div w:id="245113615">
      <w:bodyDiv w:val="1"/>
      <w:marLeft w:val="0"/>
      <w:marRight w:val="0"/>
      <w:marTop w:val="0"/>
      <w:marBottom w:val="0"/>
      <w:divBdr>
        <w:top w:val="none" w:sz="0" w:space="0" w:color="auto"/>
        <w:left w:val="none" w:sz="0" w:space="0" w:color="auto"/>
        <w:bottom w:val="none" w:sz="0" w:space="0" w:color="auto"/>
        <w:right w:val="none" w:sz="0" w:space="0" w:color="auto"/>
      </w:divBdr>
    </w:div>
    <w:div w:id="245261369">
      <w:bodyDiv w:val="1"/>
      <w:marLeft w:val="0"/>
      <w:marRight w:val="0"/>
      <w:marTop w:val="0"/>
      <w:marBottom w:val="0"/>
      <w:divBdr>
        <w:top w:val="none" w:sz="0" w:space="0" w:color="auto"/>
        <w:left w:val="none" w:sz="0" w:space="0" w:color="auto"/>
        <w:bottom w:val="none" w:sz="0" w:space="0" w:color="auto"/>
        <w:right w:val="none" w:sz="0" w:space="0" w:color="auto"/>
      </w:divBdr>
    </w:div>
    <w:div w:id="247078785">
      <w:bodyDiv w:val="1"/>
      <w:marLeft w:val="0"/>
      <w:marRight w:val="0"/>
      <w:marTop w:val="0"/>
      <w:marBottom w:val="0"/>
      <w:divBdr>
        <w:top w:val="none" w:sz="0" w:space="0" w:color="auto"/>
        <w:left w:val="none" w:sz="0" w:space="0" w:color="auto"/>
        <w:bottom w:val="none" w:sz="0" w:space="0" w:color="auto"/>
        <w:right w:val="none" w:sz="0" w:space="0" w:color="auto"/>
      </w:divBdr>
      <w:divsChild>
        <w:div w:id="1980911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828264">
              <w:marLeft w:val="0"/>
              <w:marRight w:val="0"/>
              <w:marTop w:val="0"/>
              <w:marBottom w:val="0"/>
              <w:divBdr>
                <w:top w:val="none" w:sz="0" w:space="0" w:color="auto"/>
                <w:left w:val="none" w:sz="0" w:space="0" w:color="auto"/>
                <w:bottom w:val="none" w:sz="0" w:space="0" w:color="auto"/>
                <w:right w:val="none" w:sz="0" w:space="0" w:color="auto"/>
              </w:divBdr>
              <w:divsChild>
                <w:div w:id="9850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62208">
      <w:bodyDiv w:val="1"/>
      <w:marLeft w:val="0"/>
      <w:marRight w:val="0"/>
      <w:marTop w:val="0"/>
      <w:marBottom w:val="0"/>
      <w:divBdr>
        <w:top w:val="none" w:sz="0" w:space="0" w:color="auto"/>
        <w:left w:val="none" w:sz="0" w:space="0" w:color="auto"/>
        <w:bottom w:val="none" w:sz="0" w:space="0" w:color="auto"/>
        <w:right w:val="none" w:sz="0" w:space="0" w:color="auto"/>
      </w:divBdr>
    </w:div>
    <w:div w:id="247690030">
      <w:bodyDiv w:val="1"/>
      <w:marLeft w:val="0"/>
      <w:marRight w:val="0"/>
      <w:marTop w:val="0"/>
      <w:marBottom w:val="0"/>
      <w:divBdr>
        <w:top w:val="none" w:sz="0" w:space="0" w:color="auto"/>
        <w:left w:val="none" w:sz="0" w:space="0" w:color="auto"/>
        <w:bottom w:val="none" w:sz="0" w:space="0" w:color="auto"/>
        <w:right w:val="none" w:sz="0" w:space="0" w:color="auto"/>
      </w:divBdr>
    </w:div>
    <w:div w:id="248202102">
      <w:bodyDiv w:val="1"/>
      <w:marLeft w:val="0"/>
      <w:marRight w:val="0"/>
      <w:marTop w:val="0"/>
      <w:marBottom w:val="0"/>
      <w:divBdr>
        <w:top w:val="none" w:sz="0" w:space="0" w:color="auto"/>
        <w:left w:val="none" w:sz="0" w:space="0" w:color="auto"/>
        <w:bottom w:val="none" w:sz="0" w:space="0" w:color="auto"/>
        <w:right w:val="none" w:sz="0" w:space="0" w:color="auto"/>
      </w:divBdr>
    </w:div>
    <w:div w:id="249119154">
      <w:bodyDiv w:val="1"/>
      <w:marLeft w:val="0"/>
      <w:marRight w:val="0"/>
      <w:marTop w:val="0"/>
      <w:marBottom w:val="0"/>
      <w:divBdr>
        <w:top w:val="none" w:sz="0" w:space="0" w:color="auto"/>
        <w:left w:val="none" w:sz="0" w:space="0" w:color="auto"/>
        <w:bottom w:val="none" w:sz="0" w:space="0" w:color="auto"/>
        <w:right w:val="none" w:sz="0" w:space="0" w:color="auto"/>
      </w:divBdr>
    </w:div>
    <w:div w:id="249586927">
      <w:bodyDiv w:val="1"/>
      <w:marLeft w:val="0"/>
      <w:marRight w:val="0"/>
      <w:marTop w:val="0"/>
      <w:marBottom w:val="0"/>
      <w:divBdr>
        <w:top w:val="none" w:sz="0" w:space="0" w:color="auto"/>
        <w:left w:val="none" w:sz="0" w:space="0" w:color="auto"/>
        <w:bottom w:val="none" w:sz="0" w:space="0" w:color="auto"/>
        <w:right w:val="none" w:sz="0" w:space="0" w:color="auto"/>
      </w:divBdr>
    </w:div>
    <w:div w:id="250046306">
      <w:bodyDiv w:val="1"/>
      <w:marLeft w:val="0"/>
      <w:marRight w:val="0"/>
      <w:marTop w:val="0"/>
      <w:marBottom w:val="0"/>
      <w:divBdr>
        <w:top w:val="none" w:sz="0" w:space="0" w:color="auto"/>
        <w:left w:val="none" w:sz="0" w:space="0" w:color="auto"/>
        <w:bottom w:val="none" w:sz="0" w:space="0" w:color="auto"/>
        <w:right w:val="none" w:sz="0" w:space="0" w:color="auto"/>
      </w:divBdr>
    </w:div>
    <w:div w:id="251739951">
      <w:bodyDiv w:val="1"/>
      <w:marLeft w:val="0"/>
      <w:marRight w:val="0"/>
      <w:marTop w:val="0"/>
      <w:marBottom w:val="0"/>
      <w:divBdr>
        <w:top w:val="none" w:sz="0" w:space="0" w:color="auto"/>
        <w:left w:val="none" w:sz="0" w:space="0" w:color="auto"/>
        <w:bottom w:val="none" w:sz="0" w:space="0" w:color="auto"/>
        <w:right w:val="none" w:sz="0" w:space="0" w:color="auto"/>
      </w:divBdr>
    </w:div>
    <w:div w:id="251814087">
      <w:bodyDiv w:val="1"/>
      <w:marLeft w:val="0"/>
      <w:marRight w:val="0"/>
      <w:marTop w:val="0"/>
      <w:marBottom w:val="0"/>
      <w:divBdr>
        <w:top w:val="none" w:sz="0" w:space="0" w:color="auto"/>
        <w:left w:val="none" w:sz="0" w:space="0" w:color="auto"/>
        <w:bottom w:val="none" w:sz="0" w:space="0" w:color="auto"/>
        <w:right w:val="none" w:sz="0" w:space="0" w:color="auto"/>
      </w:divBdr>
    </w:div>
    <w:div w:id="252396143">
      <w:bodyDiv w:val="1"/>
      <w:marLeft w:val="0"/>
      <w:marRight w:val="0"/>
      <w:marTop w:val="0"/>
      <w:marBottom w:val="0"/>
      <w:divBdr>
        <w:top w:val="none" w:sz="0" w:space="0" w:color="auto"/>
        <w:left w:val="none" w:sz="0" w:space="0" w:color="auto"/>
        <w:bottom w:val="none" w:sz="0" w:space="0" w:color="auto"/>
        <w:right w:val="none" w:sz="0" w:space="0" w:color="auto"/>
      </w:divBdr>
    </w:div>
    <w:div w:id="253322192">
      <w:bodyDiv w:val="1"/>
      <w:marLeft w:val="0"/>
      <w:marRight w:val="0"/>
      <w:marTop w:val="0"/>
      <w:marBottom w:val="0"/>
      <w:divBdr>
        <w:top w:val="none" w:sz="0" w:space="0" w:color="auto"/>
        <w:left w:val="none" w:sz="0" w:space="0" w:color="auto"/>
        <w:bottom w:val="none" w:sz="0" w:space="0" w:color="auto"/>
        <w:right w:val="none" w:sz="0" w:space="0" w:color="auto"/>
      </w:divBdr>
    </w:div>
    <w:div w:id="253630422">
      <w:bodyDiv w:val="1"/>
      <w:marLeft w:val="0"/>
      <w:marRight w:val="0"/>
      <w:marTop w:val="0"/>
      <w:marBottom w:val="0"/>
      <w:divBdr>
        <w:top w:val="none" w:sz="0" w:space="0" w:color="auto"/>
        <w:left w:val="none" w:sz="0" w:space="0" w:color="auto"/>
        <w:bottom w:val="none" w:sz="0" w:space="0" w:color="auto"/>
        <w:right w:val="none" w:sz="0" w:space="0" w:color="auto"/>
      </w:divBdr>
    </w:div>
    <w:div w:id="253981032">
      <w:bodyDiv w:val="1"/>
      <w:marLeft w:val="0"/>
      <w:marRight w:val="0"/>
      <w:marTop w:val="0"/>
      <w:marBottom w:val="0"/>
      <w:divBdr>
        <w:top w:val="none" w:sz="0" w:space="0" w:color="auto"/>
        <w:left w:val="none" w:sz="0" w:space="0" w:color="auto"/>
        <w:bottom w:val="none" w:sz="0" w:space="0" w:color="auto"/>
        <w:right w:val="none" w:sz="0" w:space="0" w:color="auto"/>
      </w:divBdr>
    </w:div>
    <w:div w:id="254635963">
      <w:bodyDiv w:val="1"/>
      <w:marLeft w:val="0"/>
      <w:marRight w:val="0"/>
      <w:marTop w:val="0"/>
      <w:marBottom w:val="0"/>
      <w:divBdr>
        <w:top w:val="none" w:sz="0" w:space="0" w:color="auto"/>
        <w:left w:val="none" w:sz="0" w:space="0" w:color="auto"/>
        <w:bottom w:val="none" w:sz="0" w:space="0" w:color="auto"/>
        <w:right w:val="none" w:sz="0" w:space="0" w:color="auto"/>
      </w:divBdr>
    </w:div>
    <w:div w:id="255674152">
      <w:bodyDiv w:val="1"/>
      <w:marLeft w:val="0"/>
      <w:marRight w:val="0"/>
      <w:marTop w:val="0"/>
      <w:marBottom w:val="0"/>
      <w:divBdr>
        <w:top w:val="none" w:sz="0" w:space="0" w:color="auto"/>
        <w:left w:val="none" w:sz="0" w:space="0" w:color="auto"/>
        <w:bottom w:val="none" w:sz="0" w:space="0" w:color="auto"/>
        <w:right w:val="none" w:sz="0" w:space="0" w:color="auto"/>
      </w:divBdr>
    </w:div>
    <w:div w:id="255989858">
      <w:bodyDiv w:val="1"/>
      <w:marLeft w:val="0"/>
      <w:marRight w:val="0"/>
      <w:marTop w:val="0"/>
      <w:marBottom w:val="0"/>
      <w:divBdr>
        <w:top w:val="none" w:sz="0" w:space="0" w:color="auto"/>
        <w:left w:val="none" w:sz="0" w:space="0" w:color="auto"/>
        <w:bottom w:val="none" w:sz="0" w:space="0" w:color="auto"/>
        <w:right w:val="none" w:sz="0" w:space="0" w:color="auto"/>
      </w:divBdr>
    </w:div>
    <w:div w:id="256795677">
      <w:bodyDiv w:val="1"/>
      <w:marLeft w:val="0"/>
      <w:marRight w:val="0"/>
      <w:marTop w:val="0"/>
      <w:marBottom w:val="0"/>
      <w:divBdr>
        <w:top w:val="none" w:sz="0" w:space="0" w:color="auto"/>
        <w:left w:val="none" w:sz="0" w:space="0" w:color="auto"/>
        <w:bottom w:val="none" w:sz="0" w:space="0" w:color="auto"/>
        <w:right w:val="none" w:sz="0" w:space="0" w:color="auto"/>
      </w:divBdr>
    </w:div>
    <w:div w:id="257106439">
      <w:bodyDiv w:val="1"/>
      <w:marLeft w:val="0"/>
      <w:marRight w:val="0"/>
      <w:marTop w:val="0"/>
      <w:marBottom w:val="0"/>
      <w:divBdr>
        <w:top w:val="none" w:sz="0" w:space="0" w:color="auto"/>
        <w:left w:val="none" w:sz="0" w:space="0" w:color="auto"/>
        <w:bottom w:val="none" w:sz="0" w:space="0" w:color="auto"/>
        <w:right w:val="none" w:sz="0" w:space="0" w:color="auto"/>
      </w:divBdr>
    </w:div>
    <w:div w:id="257714889">
      <w:bodyDiv w:val="1"/>
      <w:marLeft w:val="0"/>
      <w:marRight w:val="0"/>
      <w:marTop w:val="0"/>
      <w:marBottom w:val="0"/>
      <w:divBdr>
        <w:top w:val="none" w:sz="0" w:space="0" w:color="auto"/>
        <w:left w:val="none" w:sz="0" w:space="0" w:color="auto"/>
        <w:bottom w:val="none" w:sz="0" w:space="0" w:color="auto"/>
        <w:right w:val="none" w:sz="0" w:space="0" w:color="auto"/>
      </w:divBdr>
    </w:div>
    <w:div w:id="257716639">
      <w:bodyDiv w:val="1"/>
      <w:marLeft w:val="0"/>
      <w:marRight w:val="0"/>
      <w:marTop w:val="0"/>
      <w:marBottom w:val="0"/>
      <w:divBdr>
        <w:top w:val="none" w:sz="0" w:space="0" w:color="auto"/>
        <w:left w:val="none" w:sz="0" w:space="0" w:color="auto"/>
        <w:bottom w:val="none" w:sz="0" w:space="0" w:color="auto"/>
        <w:right w:val="none" w:sz="0" w:space="0" w:color="auto"/>
      </w:divBdr>
    </w:div>
    <w:div w:id="259460239">
      <w:bodyDiv w:val="1"/>
      <w:marLeft w:val="0"/>
      <w:marRight w:val="0"/>
      <w:marTop w:val="0"/>
      <w:marBottom w:val="0"/>
      <w:divBdr>
        <w:top w:val="none" w:sz="0" w:space="0" w:color="auto"/>
        <w:left w:val="none" w:sz="0" w:space="0" w:color="auto"/>
        <w:bottom w:val="none" w:sz="0" w:space="0" w:color="auto"/>
        <w:right w:val="none" w:sz="0" w:space="0" w:color="auto"/>
      </w:divBdr>
    </w:div>
    <w:div w:id="261187292">
      <w:bodyDiv w:val="1"/>
      <w:marLeft w:val="0"/>
      <w:marRight w:val="0"/>
      <w:marTop w:val="0"/>
      <w:marBottom w:val="0"/>
      <w:divBdr>
        <w:top w:val="none" w:sz="0" w:space="0" w:color="auto"/>
        <w:left w:val="none" w:sz="0" w:space="0" w:color="auto"/>
        <w:bottom w:val="none" w:sz="0" w:space="0" w:color="auto"/>
        <w:right w:val="none" w:sz="0" w:space="0" w:color="auto"/>
      </w:divBdr>
    </w:div>
    <w:div w:id="263265678">
      <w:bodyDiv w:val="1"/>
      <w:marLeft w:val="0"/>
      <w:marRight w:val="0"/>
      <w:marTop w:val="0"/>
      <w:marBottom w:val="0"/>
      <w:divBdr>
        <w:top w:val="none" w:sz="0" w:space="0" w:color="auto"/>
        <w:left w:val="none" w:sz="0" w:space="0" w:color="auto"/>
        <w:bottom w:val="none" w:sz="0" w:space="0" w:color="auto"/>
        <w:right w:val="none" w:sz="0" w:space="0" w:color="auto"/>
      </w:divBdr>
    </w:div>
    <w:div w:id="265163621">
      <w:bodyDiv w:val="1"/>
      <w:marLeft w:val="0"/>
      <w:marRight w:val="0"/>
      <w:marTop w:val="0"/>
      <w:marBottom w:val="0"/>
      <w:divBdr>
        <w:top w:val="none" w:sz="0" w:space="0" w:color="auto"/>
        <w:left w:val="none" w:sz="0" w:space="0" w:color="auto"/>
        <w:bottom w:val="none" w:sz="0" w:space="0" w:color="auto"/>
        <w:right w:val="none" w:sz="0" w:space="0" w:color="auto"/>
      </w:divBdr>
    </w:div>
    <w:div w:id="267006068">
      <w:bodyDiv w:val="1"/>
      <w:marLeft w:val="0"/>
      <w:marRight w:val="0"/>
      <w:marTop w:val="0"/>
      <w:marBottom w:val="0"/>
      <w:divBdr>
        <w:top w:val="none" w:sz="0" w:space="0" w:color="auto"/>
        <w:left w:val="none" w:sz="0" w:space="0" w:color="auto"/>
        <w:bottom w:val="none" w:sz="0" w:space="0" w:color="auto"/>
        <w:right w:val="none" w:sz="0" w:space="0" w:color="auto"/>
      </w:divBdr>
    </w:div>
    <w:div w:id="267007975">
      <w:bodyDiv w:val="1"/>
      <w:marLeft w:val="0"/>
      <w:marRight w:val="0"/>
      <w:marTop w:val="0"/>
      <w:marBottom w:val="0"/>
      <w:divBdr>
        <w:top w:val="none" w:sz="0" w:space="0" w:color="auto"/>
        <w:left w:val="none" w:sz="0" w:space="0" w:color="auto"/>
        <w:bottom w:val="none" w:sz="0" w:space="0" w:color="auto"/>
        <w:right w:val="none" w:sz="0" w:space="0" w:color="auto"/>
      </w:divBdr>
    </w:div>
    <w:div w:id="267549669">
      <w:bodyDiv w:val="1"/>
      <w:marLeft w:val="0"/>
      <w:marRight w:val="0"/>
      <w:marTop w:val="0"/>
      <w:marBottom w:val="0"/>
      <w:divBdr>
        <w:top w:val="none" w:sz="0" w:space="0" w:color="auto"/>
        <w:left w:val="none" w:sz="0" w:space="0" w:color="auto"/>
        <w:bottom w:val="none" w:sz="0" w:space="0" w:color="auto"/>
        <w:right w:val="none" w:sz="0" w:space="0" w:color="auto"/>
      </w:divBdr>
    </w:div>
    <w:div w:id="269581814">
      <w:bodyDiv w:val="1"/>
      <w:marLeft w:val="0"/>
      <w:marRight w:val="0"/>
      <w:marTop w:val="0"/>
      <w:marBottom w:val="0"/>
      <w:divBdr>
        <w:top w:val="none" w:sz="0" w:space="0" w:color="auto"/>
        <w:left w:val="none" w:sz="0" w:space="0" w:color="auto"/>
        <w:bottom w:val="none" w:sz="0" w:space="0" w:color="auto"/>
        <w:right w:val="none" w:sz="0" w:space="0" w:color="auto"/>
      </w:divBdr>
    </w:div>
    <w:div w:id="270554524">
      <w:bodyDiv w:val="1"/>
      <w:marLeft w:val="0"/>
      <w:marRight w:val="0"/>
      <w:marTop w:val="0"/>
      <w:marBottom w:val="0"/>
      <w:divBdr>
        <w:top w:val="none" w:sz="0" w:space="0" w:color="auto"/>
        <w:left w:val="none" w:sz="0" w:space="0" w:color="auto"/>
        <w:bottom w:val="none" w:sz="0" w:space="0" w:color="auto"/>
        <w:right w:val="none" w:sz="0" w:space="0" w:color="auto"/>
      </w:divBdr>
    </w:div>
    <w:div w:id="270824960">
      <w:bodyDiv w:val="1"/>
      <w:marLeft w:val="0"/>
      <w:marRight w:val="0"/>
      <w:marTop w:val="0"/>
      <w:marBottom w:val="0"/>
      <w:divBdr>
        <w:top w:val="none" w:sz="0" w:space="0" w:color="auto"/>
        <w:left w:val="none" w:sz="0" w:space="0" w:color="auto"/>
        <w:bottom w:val="none" w:sz="0" w:space="0" w:color="auto"/>
        <w:right w:val="none" w:sz="0" w:space="0" w:color="auto"/>
      </w:divBdr>
    </w:div>
    <w:div w:id="271788430">
      <w:bodyDiv w:val="1"/>
      <w:marLeft w:val="0"/>
      <w:marRight w:val="0"/>
      <w:marTop w:val="0"/>
      <w:marBottom w:val="0"/>
      <w:divBdr>
        <w:top w:val="none" w:sz="0" w:space="0" w:color="auto"/>
        <w:left w:val="none" w:sz="0" w:space="0" w:color="auto"/>
        <w:bottom w:val="none" w:sz="0" w:space="0" w:color="auto"/>
        <w:right w:val="none" w:sz="0" w:space="0" w:color="auto"/>
      </w:divBdr>
    </w:div>
    <w:div w:id="274100482">
      <w:bodyDiv w:val="1"/>
      <w:marLeft w:val="0"/>
      <w:marRight w:val="0"/>
      <w:marTop w:val="0"/>
      <w:marBottom w:val="0"/>
      <w:divBdr>
        <w:top w:val="none" w:sz="0" w:space="0" w:color="auto"/>
        <w:left w:val="none" w:sz="0" w:space="0" w:color="auto"/>
        <w:bottom w:val="none" w:sz="0" w:space="0" w:color="auto"/>
        <w:right w:val="none" w:sz="0" w:space="0" w:color="auto"/>
      </w:divBdr>
    </w:div>
    <w:div w:id="274561058">
      <w:bodyDiv w:val="1"/>
      <w:marLeft w:val="0"/>
      <w:marRight w:val="0"/>
      <w:marTop w:val="0"/>
      <w:marBottom w:val="0"/>
      <w:divBdr>
        <w:top w:val="none" w:sz="0" w:space="0" w:color="auto"/>
        <w:left w:val="none" w:sz="0" w:space="0" w:color="auto"/>
        <w:bottom w:val="none" w:sz="0" w:space="0" w:color="auto"/>
        <w:right w:val="none" w:sz="0" w:space="0" w:color="auto"/>
      </w:divBdr>
    </w:div>
    <w:div w:id="278025785">
      <w:bodyDiv w:val="1"/>
      <w:marLeft w:val="0"/>
      <w:marRight w:val="0"/>
      <w:marTop w:val="0"/>
      <w:marBottom w:val="0"/>
      <w:divBdr>
        <w:top w:val="none" w:sz="0" w:space="0" w:color="auto"/>
        <w:left w:val="none" w:sz="0" w:space="0" w:color="auto"/>
        <w:bottom w:val="none" w:sz="0" w:space="0" w:color="auto"/>
        <w:right w:val="none" w:sz="0" w:space="0" w:color="auto"/>
      </w:divBdr>
    </w:div>
    <w:div w:id="279265710">
      <w:bodyDiv w:val="1"/>
      <w:marLeft w:val="0"/>
      <w:marRight w:val="0"/>
      <w:marTop w:val="0"/>
      <w:marBottom w:val="0"/>
      <w:divBdr>
        <w:top w:val="none" w:sz="0" w:space="0" w:color="auto"/>
        <w:left w:val="none" w:sz="0" w:space="0" w:color="auto"/>
        <w:bottom w:val="none" w:sz="0" w:space="0" w:color="auto"/>
        <w:right w:val="none" w:sz="0" w:space="0" w:color="auto"/>
      </w:divBdr>
    </w:div>
    <w:div w:id="279385558">
      <w:bodyDiv w:val="1"/>
      <w:marLeft w:val="0"/>
      <w:marRight w:val="0"/>
      <w:marTop w:val="0"/>
      <w:marBottom w:val="0"/>
      <w:divBdr>
        <w:top w:val="none" w:sz="0" w:space="0" w:color="auto"/>
        <w:left w:val="none" w:sz="0" w:space="0" w:color="auto"/>
        <w:bottom w:val="none" w:sz="0" w:space="0" w:color="auto"/>
        <w:right w:val="none" w:sz="0" w:space="0" w:color="auto"/>
      </w:divBdr>
    </w:div>
    <w:div w:id="280577327">
      <w:bodyDiv w:val="1"/>
      <w:marLeft w:val="0"/>
      <w:marRight w:val="0"/>
      <w:marTop w:val="0"/>
      <w:marBottom w:val="0"/>
      <w:divBdr>
        <w:top w:val="none" w:sz="0" w:space="0" w:color="auto"/>
        <w:left w:val="none" w:sz="0" w:space="0" w:color="auto"/>
        <w:bottom w:val="none" w:sz="0" w:space="0" w:color="auto"/>
        <w:right w:val="none" w:sz="0" w:space="0" w:color="auto"/>
      </w:divBdr>
    </w:div>
    <w:div w:id="280846551">
      <w:bodyDiv w:val="1"/>
      <w:marLeft w:val="0"/>
      <w:marRight w:val="0"/>
      <w:marTop w:val="0"/>
      <w:marBottom w:val="0"/>
      <w:divBdr>
        <w:top w:val="none" w:sz="0" w:space="0" w:color="auto"/>
        <w:left w:val="none" w:sz="0" w:space="0" w:color="auto"/>
        <w:bottom w:val="none" w:sz="0" w:space="0" w:color="auto"/>
        <w:right w:val="none" w:sz="0" w:space="0" w:color="auto"/>
      </w:divBdr>
    </w:div>
    <w:div w:id="281308833">
      <w:bodyDiv w:val="1"/>
      <w:marLeft w:val="0"/>
      <w:marRight w:val="0"/>
      <w:marTop w:val="0"/>
      <w:marBottom w:val="0"/>
      <w:divBdr>
        <w:top w:val="none" w:sz="0" w:space="0" w:color="auto"/>
        <w:left w:val="none" w:sz="0" w:space="0" w:color="auto"/>
        <w:bottom w:val="none" w:sz="0" w:space="0" w:color="auto"/>
        <w:right w:val="none" w:sz="0" w:space="0" w:color="auto"/>
      </w:divBdr>
    </w:div>
    <w:div w:id="281889190">
      <w:bodyDiv w:val="1"/>
      <w:marLeft w:val="0"/>
      <w:marRight w:val="0"/>
      <w:marTop w:val="0"/>
      <w:marBottom w:val="0"/>
      <w:divBdr>
        <w:top w:val="none" w:sz="0" w:space="0" w:color="auto"/>
        <w:left w:val="none" w:sz="0" w:space="0" w:color="auto"/>
        <w:bottom w:val="none" w:sz="0" w:space="0" w:color="auto"/>
        <w:right w:val="none" w:sz="0" w:space="0" w:color="auto"/>
      </w:divBdr>
    </w:div>
    <w:div w:id="282228762">
      <w:bodyDiv w:val="1"/>
      <w:marLeft w:val="0"/>
      <w:marRight w:val="0"/>
      <w:marTop w:val="0"/>
      <w:marBottom w:val="0"/>
      <w:divBdr>
        <w:top w:val="none" w:sz="0" w:space="0" w:color="auto"/>
        <w:left w:val="none" w:sz="0" w:space="0" w:color="auto"/>
        <w:bottom w:val="none" w:sz="0" w:space="0" w:color="auto"/>
        <w:right w:val="none" w:sz="0" w:space="0" w:color="auto"/>
      </w:divBdr>
    </w:div>
    <w:div w:id="283848126">
      <w:bodyDiv w:val="1"/>
      <w:marLeft w:val="0"/>
      <w:marRight w:val="0"/>
      <w:marTop w:val="0"/>
      <w:marBottom w:val="0"/>
      <w:divBdr>
        <w:top w:val="none" w:sz="0" w:space="0" w:color="auto"/>
        <w:left w:val="none" w:sz="0" w:space="0" w:color="auto"/>
        <w:bottom w:val="none" w:sz="0" w:space="0" w:color="auto"/>
        <w:right w:val="none" w:sz="0" w:space="0" w:color="auto"/>
      </w:divBdr>
    </w:div>
    <w:div w:id="284119510">
      <w:bodyDiv w:val="1"/>
      <w:marLeft w:val="0"/>
      <w:marRight w:val="0"/>
      <w:marTop w:val="0"/>
      <w:marBottom w:val="0"/>
      <w:divBdr>
        <w:top w:val="none" w:sz="0" w:space="0" w:color="auto"/>
        <w:left w:val="none" w:sz="0" w:space="0" w:color="auto"/>
        <w:bottom w:val="none" w:sz="0" w:space="0" w:color="auto"/>
        <w:right w:val="none" w:sz="0" w:space="0" w:color="auto"/>
      </w:divBdr>
    </w:div>
    <w:div w:id="284238287">
      <w:bodyDiv w:val="1"/>
      <w:marLeft w:val="0"/>
      <w:marRight w:val="0"/>
      <w:marTop w:val="0"/>
      <w:marBottom w:val="0"/>
      <w:divBdr>
        <w:top w:val="none" w:sz="0" w:space="0" w:color="auto"/>
        <w:left w:val="none" w:sz="0" w:space="0" w:color="auto"/>
        <w:bottom w:val="none" w:sz="0" w:space="0" w:color="auto"/>
        <w:right w:val="none" w:sz="0" w:space="0" w:color="auto"/>
      </w:divBdr>
    </w:div>
    <w:div w:id="284702662">
      <w:bodyDiv w:val="1"/>
      <w:marLeft w:val="0"/>
      <w:marRight w:val="0"/>
      <w:marTop w:val="0"/>
      <w:marBottom w:val="0"/>
      <w:divBdr>
        <w:top w:val="none" w:sz="0" w:space="0" w:color="auto"/>
        <w:left w:val="none" w:sz="0" w:space="0" w:color="auto"/>
        <w:bottom w:val="none" w:sz="0" w:space="0" w:color="auto"/>
        <w:right w:val="none" w:sz="0" w:space="0" w:color="auto"/>
      </w:divBdr>
    </w:div>
    <w:div w:id="285161154">
      <w:bodyDiv w:val="1"/>
      <w:marLeft w:val="0"/>
      <w:marRight w:val="0"/>
      <w:marTop w:val="0"/>
      <w:marBottom w:val="0"/>
      <w:divBdr>
        <w:top w:val="none" w:sz="0" w:space="0" w:color="auto"/>
        <w:left w:val="none" w:sz="0" w:space="0" w:color="auto"/>
        <w:bottom w:val="none" w:sz="0" w:space="0" w:color="auto"/>
        <w:right w:val="none" w:sz="0" w:space="0" w:color="auto"/>
      </w:divBdr>
    </w:div>
    <w:div w:id="286475024">
      <w:bodyDiv w:val="1"/>
      <w:marLeft w:val="0"/>
      <w:marRight w:val="0"/>
      <w:marTop w:val="0"/>
      <w:marBottom w:val="0"/>
      <w:divBdr>
        <w:top w:val="none" w:sz="0" w:space="0" w:color="auto"/>
        <w:left w:val="none" w:sz="0" w:space="0" w:color="auto"/>
        <w:bottom w:val="none" w:sz="0" w:space="0" w:color="auto"/>
        <w:right w:val="none" w:sz="0" w:space="0" w:color="auto"/>
      </w:divBdr>
    </w:div>
    <w:div w:id="287126761">
      <w:bodyDiv w:val="1"/>
      <w:marLeft w:val="0"/>
      <w:marRight w:val="0"/>
      <w:marTop w:val="0"/>
      <w:marBottom w:val="0"/>
      <w:divBdr>
        <w:top w:val="none" w:sz="0" w:space="0" w:color="auto"/>
        <w:left w:val="none" w:sz="0" w:space="0" w:color="auto"/>
        <w:bottom w:val="none" w:sz="0" w:space="0" w:color="auto"/>
        <w:right w:val="none" w:sz="0" w:space="0" w:color="auto"/>
      </w:divBdr>
    </w:div>
    <w:div w:id="288170438">
      <w:bodyDiv w:val="1"/>
      <w:marLeft w:val="0"/>
      <w:marRight w:val="0"/>
      <w:marTop w:val="0"/>
      <w:marBottom w:val="0"/>
      <w:divBdr>
        <w:top w:val="none" w:sz="0" w:space="0" w:color="auto"/>
        <w:left w:val="none" w:sz="0" w:space="0" w:color="auto"/>
        <w:bottom w:val="none" w:sz="0" w:space="0" w:color="auto"/>
        <w:right w:val="none" w:sz="0" w:space="0" w:color="auto"/>
      </w:divBdr>
    </w:div>
    <w:div w:id="289677649">
      <w:bodyDiv w:val="1"/>
      <w:marLeft w:val="0"/>
      <w:marRight w:val="0"/>
      <w:marTop w:val="0"/>
      <w:marBottom w:val="0"/>
      <w:divBdr>
        <w:top w:val="none" w:sz="0" w:space="0" w:color="auto"/>
        <w:left w:val="none" w:sz="0" w:space="0" w:color="auto"/>
        <w:bottom w:val="none" w:sz="0" w:space="0" w:color="auto"/>
        <w:right w:val="none" w:sz="0" w:space="0" w:color="auto"/>
      </w:divBdr>
    </w:div>
    <w:div w:id="290750285">
      <w:bodyDiv w:val="1"/>
      <w:marLeft w:val="0"/>
      <w:marRight w:val="0"/>
      <w:marTop w:val="0"/>
      <w:marBottom w:val="0"/>
      <w:divBdr>
        <w:top w:val="none" w:sz="0" w:space="0" w:color="auto"/>
        <w:left w:val="none" w:sz="0" w:space="0" w:color="auto"/>
        <w:bottom w:val="none" w:sz="0" w:space="0" w:color="auto"/>
        <w:right w:val="none" w:sz="0" w:space="0" w:color="auto"/>
      </w:divBdr>
    </w:div>
    <w:div w:id="291911569">
      <w:bodyDiv w:val="1"/>
      <w:marLeft w:val="0"/>
      <w:marRight w:val="0"/>
      <w:marTop w:val="0"/>
      <w:marBottom w:val="0"/>
      <w:divBdr>
        <w:top w:val="none" w:sz="0" w:space="0" w:color="auto"/>
        <w:left w:val="none" w:sz="0" w:space="0" w:color="auto"/>
        <w:bottom w:val="none" w:sz="0" w:space="0" w:color="auto"/>
        <w:right w:val="none" w:sz="0" w:space="0" w:color="auto"/>
      </w:divBdr>
    </w:div>
    <w:div w:id="293367039">
      <w:bodyDiv w:val="1"/>
      <w:marLeft w:val="0"/>
      <w:marRight w:val="0"/>
      <w:marTop w:val="0"/>
      <w:marBottom w:val="0"/>
      <w:divBdr>
        <w:top w:val="none" w:sz="0" w:space="0" w:color="auto"/>
        <w:left w:val="none" w:sz="0" w:space="0" w:color="auto"/>
        <w:bottom w:val="none" w:sz="0" w:space="0" w:color="auto"/>
        <w:right w:val="none" w:sz="0" w:space="0" w:color="auto"/>
      </w:divBdr>
    </w:div>
    <w:div w:id="293994695">
      <w:bodyDiv w:val="1"/>
      <w:marLeft w:val="0"/>
      <w:marRight w:val="0"/>
      <w:marTop w:val="0"/>
      <w:marBottom w:val="0"/>
      <w:divBdr>
        <w:top w:val="none" w:sz="0" w:space="0" w:color="auto"/>
        <w:left w:val="none" w:sz="0" w:space="0" w:color="auto"/>
        <w:bottom w:val="none" w:sz="0" w:space="0" w:color="auto"/>
        <w:right w:val="none" w:sz="0" w:space="0" w:color="auto"/>
      </w:divBdr>
    </w:div>
    <w:div w:id="294263724">
      <w:bodyDiv w:val="1"/>
      <w:marLeft w:val="0"/>
      <w:marRight w:val="0"/>
      <w:marTop w:val="0"/>
      <w:marBottom w:val="0"/>
      <w:divBdr>
        <w:top w:val="none" w:sz="0" w:space="0" w:color="auto"/>
        <w:left w:val="none" w:sz="0" w:space="0" w:color="auto"/>
        <w:bottom w:val="none" w:sz="0" w:space="0" w:color="auto"/>
        <w:right w:val="none" w:sz="0" w:space="0" w:color="auto"/>
      </w:divBdr>
    </w:div>
    <w:div w:id="294723216">
      <w:bodyDiv w:val="1"/>
      <w:marLeft w:val="0"/>
      <w:marRight w:val="0"/>
      <w:marTop w:val="0"/>
      <w:marBottom w:val="0"/>
      <w:divBdr>
        <w:top w:val="none" w:sz="0" w:space="0" w:color="auto"/>
        <w:left w:val="none" w:sz="0" w:space="0" w:color="auto"/>
        <w:bottom w:val="none" w:sz="0" w:space="0" w:color="auto"/>
        <w:right w:val="none" w:sz="0" w:space="0" w:color="auto"/>
      </w:divBdr>
    </w:div>
    <w:div w:id="295061853">
      <w:bodyDiv w:val="1"/>
      <w:marLeft w:val="0"/>
      <w:marRight w:val="0"/>
      <w:marTop w:val="0"/>
      <w:marBottom w:val="0"/>
      <w:divBdr>
        <w:top w:val="none" w:sz="0" w:space="0" w:color="auto"/>
        <w:left w:val="none" w:sz="0" w:space="0" w:color="auto"/>
        <w:bottom w:val="none" w:sz="0" w:space="0" w:color="auto"/>
        <w:right w:val="none" w:sz="0" w:space="0" w:color="auto"/>
      </w:divBdr>
    </w:div>
    <w:div w:id="295333766">
      <w:bodyDiv w:val="1"/>
      <w:marLeft w:val="0"/>
      <w:marRight w:val="0"/>
      <w:marTop w:val="0"/>
      <w:marBottom w:val="0"/>
      <w:divBdr>
        <w:top w:val="none" w:sz="0" w:space="0" w:color="auto"/>
        <w:left w:val="none" w:sz="0" w:space="0" w:color="auto"/>
        <w:bottom w:val="none" w:sz="0" w:space="0" w:color="auto"/>
        <w:right w:val="none" w:sz="0" w:space="0" w:color="auto"/>
      </w:divBdr>
    </w:div>
    <w:div w:id="295720007">
      <w:bodyDiv w:val="1"/>
      <w:marLeft w:val="0"/>
      <w:marRight w:val="0"/>
      <w:marTop w:val="0"/>
      <w:marBottom w:val="0"/>
      <w:divBdr>
        <w:top w:val="none" w:sz="0" w:space="0" w:color="auto"/>
        <w:left w:val="none" w:sz="0" w:space="0" w:color="auto"/>
        <w:bottom w:val="none" w:sz="0" w:space="0" w:color="auto"/>
        <w:right w:val="none" w:sz="0" w:space="0" w:color="auto"/>
      </w:divBdr>
    </w:div>
    <w:div w:id="296450949">
      <w:bodyDiv w:val="1"/>
      <w:marLeft w:val="0"/>
      <w:marRight w:val="0"/>
      <w:marTop w:val="0"/>
      <w:marBottom w:val="0"/>
      <w:divBdr>
        <w:top w:val="none" w:sz="0" w:space="0" w:color="auto"/>
        <w:left w:val="none" w:sz="0" w:space="0" w:color="auto"/>
        <w:bottom w:val="none" w:sz="0" w:space="0" w:color="auto"/>
        <w:right w:val="none" w:sz="0" w:space="0" w:color="auto"/>
      </w:divBdr>
    </w:div>
    <w:div w:id="297077304">
      <w:bodyDiv w:val="1"/>
      <w:marLeft w:val="0"/>
      <w:marRight w:val="0"/>
      <w:marTop w:val="0"/>
      <w:marBottom w:val="0"/>
      <w:divBdr>
        <w:top w:val="none" w:sz="0" w:space="0" w:color="auto"/>
        <w:left w:val="none" w:sz="0" w:space="0" w:color="auto"/>
        <w:bottom w:val="none" w:sz="0" w:space="0" w:color="auto"/>
        <w:right w:val="none" w:sz="0" w:space="0" w:color="auto"/>
      </w:divBdr>
    </w:div>
    <w:div w:id="299268360">
      <w:bodyDiv w:val="1"/>
      <w:marLeft w:val="0"/>
      <w:marRight w:val="0"/>
      <w:marTop w:val="0"/>
      <w:marBottom w:val="0"/>
      <w:divBdr>
        <w:top w:val="none" w:sz="0" w:space="0" w:color="auto"/>
        <w:left w:val="none" w:sz="0" w:space="0" w:color="auto"/>
        <w:bottom w:val="none" w:sz="0" w:space="0" w:color="auto"/>
        <w:right w:val="none" w:sz="0" w:space="0" w:color="auto"/>
      </w:divBdr>
    </w:div>
    <w:div w:id="299531333">
      <w:bodyDiv w:val="1"/>
      <w:marLeft w:val="0"/>
      <w:marRight w:val="0"/>
      <w:marTop w:val="0"/>
      <w:marBottom w:val="0"/>
      <w:divBdr>
        <w:top w:val="none" w:sz="0" w:space="0" w:color="auto"/>
        <w:left w:val="none" w:sz="0" w:space="0" w:color="auto"/>
        <w:bottom w:val="none" w:sz="0" w:space="0" w:color="auto"/>
        <w:right w:val="none" w:sz="0" w:space="0" w:color="auto"/>
      </w:divBdr>
    </w:div>
    <w:div w:id="300498190">
      <w:bodyDiv w:val="1"/>
      <w:marLeft w:val="0"/>
      <w:marRight w:val="0"/>
      <w:marTop w:val="0"/>
      <w:marBottom w:val="0"/>
      <w:divBdr>
        <w:top w:val="none" w:sz="0" w:space="0" w:color="auto"/>
        <w:left w:val="none" w:sz="0" w:space="0" w:color="auto"/>
        <w:bottom w:val="none" w:sz="0" w:space="0" w:color="auto"/>
        <w:right w:val="none" w:sz="0" w:space="0" w:color="auto"/>
      </w:divBdr>
    </w:div>
    <w:div w:id="302084610">
      <w:bodyDiv w:val="1"/>
      <w:marLeft w:val="0"/>
      <w:marRight w:val="0"/>
      <w:marTop w:val="0"/>
      <w:marBottom w:val="0"/>
      <w:divBdr>
        <w:top w:val="none" w:sz="0" w:space="0" w:color="auto"/>
        <w:left w:val="none" w:sz="0" w:space="0" w:color="auto"/>
        <w:bottom w:val="none" w:sz="0" w:space="0" w:color="auto"/>
        <w:right w:val="none" w:sz="0" w:space="0" w:color="auto"/>
      </w:divBdr>
    </w:div>
    <w:div w:id="303043742">
      <w:bodyDiv w:val="1"/>
      <w:marLeft w:val="0"/>
      <w:marRight w:val="0"/>
      <w:marTop w:val="0"/>
      <w:marBottom w:val="0"/>
      <w:divBdr>
        <w:top w:val="none" w:sz="0" w:space="0" w:color="auto"/>
        <w:left w:val="none" w:sz="0" w:space="0" w:color="auto"/>
        <w:bottom w:val="none" w:sz="0" w:space="0" w:color="auto"/>
        <w:right w:val="none" w:sz="0" w:space="0" w:color="auto"/>
      </w:divBdr>
    </w:div>
    <w:div w:id="303505440">
      <w:bodyDiv w:val="1"/>
      <w:marLeft w:val="0"/>
      <w:marRight w:val="0"/>
      <w:marTop w:val="0"/>
      <w:marBottom w:val="0"/>
      <w:divBdr>
        <w:top w:val="none" w:sz="0" w:space="0" w:color="auto"/>
        <w:left w:val="none" w:sz="0" w:space="0" w:color="auto"/>
        <w:bottom w:val="none" w:sz="0" w:space="0" w:color="auto"/>
        <w:right w:val="none" w:sz="0" w:space="0" w:color="auto"/>
      </w:divBdr>
    </w:div>
    <w:div w:id="305207712">
      <w:bodyDiv w:val="1"/>
      <w:marLeft w:val="0"/>
      <w:marRight w:val="0"/>
      <w:marTop w:val="0"/>
      <w:marBottom w:val="0"/>
      <w:divBdr>
        <w:top w:val="none" w:sz="0" w:space="0" w:color="auto"/>
        <w:left w:val="none" w:sz="0" w:space="0" w:color="auto"/>
        <w:bottom w:val="none" w:sz="0" w:space="0" w:color="auto"/>
        <w:right w:val="none" w:sz="0" w:space="0" w:color="auto"/>
      </w:divBdr>
    </w:div>
    <w:div w:id="305791137">
      <w:bodyDiv w:val="1"/>
      <w:marLeft w:val="0"/>
      <w:marRight w:val="0"/>
      <w:marTop w:val="0"/>
      <w:marBottom w:val="0"/>
      <w:divBdr>
        <w:top w:val="none" w:sz="0" w:space="0" w:color="auto"/>
        <w:left w:val="none" w:sz="0" w:space="0" w:color="auto"/>
        <w:bottom w:val="none" w:sz="0" w:space="0" w:color="auto"/>
        <w:right w:val="none" w:sz="0" w:space="0" w:color="auto"/>
      </w:divBdr>
    </w:div>
    <w:div w:id="308487633">
      <w:bodyDiv w:val="1"/>
      <w:marLeft w:val="0"/>
      <w:marRight w:val="0"/>
      <w:marTop w:val="0"/>
      <w:marBottom w:val="0"/>
      <w:divBdr>
        <w:top w:val="none" w:sz="0" w:space="0" w:color="auto"/>
        <w:left w:val="none" w:sz="0" w:space="0" w:color="auto"/>
        <w:bottom w:val="none" w:sz="0" w:space="0" w:color="auto"/>
        <w:right w:val="none" w:sz="0" w:space="0" w:color="auto"/>
      </w:divBdr>
    </w:div>
    <w:div w:id="309214261">
      <w:bodyDiv w:val="1"/>
      <w:marLeft w:val="0"/>
      <w:marRight w:val="0"/>
      <w:marTop w:val="0"/>
      <w:marBottom w:val="0"/>
      <w:divBdr>
        <w:top w:val="none" w:sz="0" w:space="0" w:color="auto"/>
        <w:left w:val="none" w:sz="0" w:space="0" w:color="auto"/>
        <w:bottom w:val="none" w:sz="0" w:space="0" w:color="auto"/>
        <w:right w:val="none" w:sz="0" w:space="0" w:color="auto"/>
      </w:divBdr>
    </w:div>
    <w:div w:id="309796587">
      <w:bodyDiv w:val="1"/>
      <w:marLeft w:val="0"/>
      <w:marRight w:val="0"/>
      <w:marTop w:val="0"/>
      <w:marBottom w:val="0"/>
      <w:divBdr>
        <w:top w:val="none" w:sz="0" w:space="0" w:color="auto"/>
        <w:left w:val="none" w:sz="0" w:space="0" w:color="auto"/>
        <w:bottom w:val="none" w:sz="0" w:space="0" w:color="auto"/>
        <w:right w:val="none" w:sz="0" w:space="0" w:color="auto"/>
      </w:divBdr>
    </w:div>
    <w:div w:id="311524184">
      <w:bodyDiv w:val="1"/>
      <w:marLeft w:val="0"/>
      <w:marRight w:val="0"/>
      <w:marTop w:val="0"/>
      <w:marBottom w:val="0"/>
      <w:divBdr>
        <w:top w:val="none" w:sz="0" w:space="0" w:color="auto"/>
        <w:left w:val="none" w:sz="0" w:space="0" w:color="auto"/>
        <w:bottom w:val="none" w:sz="0" w:space="0" w:color="auto"/>
        <w:right w:val="none" w:sz="0" w:space="0" w:color="auto"/>
      </w:divBdr>
    </w:div>
    <w:div w:id="312025150">
      <w:bodyDiv w:val="1"/>
      <w:marLeft w:val="0"/>
      <w:marRight w:val="0"/>
      <w:marTop w:val="0"/>
      <w:marBottom w:val="0"/>
      <w:divBdr>
        <w:top w:val="none" w:sz="0" w:space="0" w:color="auto"/>
        <w:left w:val="none" w:sz="0" w:space="0" w:color="auto"/>
        <w:bottom w:val="none" w:sz="0" w:space="0" w:color="auto"/>
        <w:right w:val="none" w:sz="0" w:space="0" w:color="auto"/>
      </w:divBdr>
    </w:div>
    <w:div w:id="312415080">
      <w:bodyDiv w:val="1"/>
      <w:marLeft w:val="0"/>
      <w:marRight w:val="0"/>
      <w:marTop w:val="0"/>
      <w:marBottom w:val="0"/>
      <w:divBdr>
        <w:top w:val="none" w:sz="0" w:space="0" w:color="auto"/>
        <w:left w:val="none" w:sz="0" w:space="0" w:color="auto"/>
        <w:bottom w:val="none" w:sz="0" w:space="0" w:color="auto"/>
        <w:right w:val="none" w:sz="0" w:space="0" w:color="auto"/>
      </w:divBdr>
    </w:div>
    <w:div w:id="312947444">
      <w:bodyDiv w:val="1"/>
      <w:marLeft w:val="0"/>
      <w:marRight w:val="0"/>
      <w:marTop w:val="0"/>
      <w:marBottom w:val="0"/>
      <w:divBdr>
        <w:top w:val="none" w:sz="0" w:space="0" w:color="auto"/>
        <w:left w:val="none" w:sz="0" w:space="0" w:color="auto"/>
        <w:bottom w:val="none" w:sz="0" w:space="0" w:color="auto"/>
        <w:right w:val="none" w:sz="0" w:space="0" w:color="auto"/>
      </w:divBdr>
    </w:div>
    <w:div w:id="313220978">
      <w:bodyDiv w:val="1"/>
      <w:marLeft w:val="0"/>
      <w:marRight w:val="0"/>
      <w:marTop w:val="0"/>
      <w:marBottom w:val="0"/>
      <w:divBdr>
        <w:top w:val="none" w:sz="0" w:space="0" w:color="auto"/>
        <w:left w:val="none" w:sz="0" w:space="0" w:color="auto"/>
        <w:bottom w:val="none" w:sz="0" w:space="0" w:color="auto"/>
        <w:right w:val="none" w:sz="0" w:space="0" w:color="auto"/>
      </w:divBdr>
    </w:div>
    <w:div w:id="313415368">
      <w:bodyDiv w:val="1"/>
      <w:marLeft w:val="0"/>
      <w:marRight w:val="0"/>
      <w:marTop w:val="0"/>
      <w:marBottom w:val="0"/>
      <w:divBdr>
        <w:top w:val="none" w:sz="0" w:space="0" w:color="auto"/>
        <w:left w:val="none" w:sz="0" w:space="0" w:color="auto"/>
        <w:bottom w:val="none" w:sz="0" w:space="0" w:color="auto"/>
        <w:right w:val="none" w:sz="0" w:space="0" w:color="auto"/>
      </w:divBdr>
    </w:div>
    <w:div w:id="314527125">
      <w:bodyDiv w:val="1"/>
      <w:marLeft w:val="0"/>
      <w:marRight w:val="0"/>
      <w:marTop w:val="0"/>
      <w:marBottom w:val="0"/>
      <w:divBdr>
        <w:top w:val="none" w:sz="0" w:space="0" w:color="auto"/>
        <w:left w:val="none" w:sz="0" w:space="0" w:color="auto"/>
        <w:bottom w:val="none" w:sz="0" w:space="0" w:color="auto"/>
        <w:right w:val="none" w:sz="0" w:space="0" w:color="auto"/>
      </w:divBdr>
    </w:div>
    <w:div w:id="315231571">
      <w:bodyDiv w:val="1"/>
      <w:marLeft w:val="0"/>
      <w:marRight w:val="0"/>
      <w:marTop w:val="0"/>
      <w:marBottom w:val="0"/>
      <w:divBdr>
        <w:top w:val="none" w:sz="0" w:space="0" w:color="auto"/>
        <w:left w:val="none" w:sz="0" w:space="0" w:color="auto"/>
        <w:bottom w:val="none" w:sz="0" w:space="0" w:color="auto"/>
        <w:right w:val="none" w:sz="0" w:space="0" w:color="auto"/>
      </w:divBdr>
    </w:div>
    <w:div w:id="315301340">
      <w:bodyDiv w:val="1"/>
      <w:marLeft w:val="0"/>
      <w:marRight w:val="0"/>
      <w:marTop w:val="0"/>
      <w:marBottom w:val="0"/>
      <w:divBdr>
        <w:top w:val="none" w:sz="0" w:space="0" w:color="auto"/>
        <w:left w:val="none" w:sz="0" w:space="0" w:color="auto"/>
        <w:bottom w:val="none" w:sz="0" w:space="0" w:color="auto"/>
        <w:right w:val="none" w:sz="0" w:space="0" w:color="auto"/>
      </w:divBdr>
    </w:div>
    <w:div w:id="316811074">
      <w:bodyDiv w:val="1"/>
      <w:marLeft w:val="0"/>
      <w:marRight w:val="0"/>
      <w:marTop w:val="0"/>
      <w:marBottom w:val="0"/>
      <w:divBdr>
        <w:top w:val="none" w:sz="0" w:space="0" w:color="auto"/>
        <w:left w:val="none" w:sz="0" w:space="0" w:color="auto"/>
        <w:bottom w:val="none" w:sz="0" w:space="0" w:color="auto"/>
        <w:right w:val="none" w:sz="0" w:space="0" w:color="auto"/>
      </w:divBdr>
    </w:div>
    <w:div w:id="318076013">
      <w:bodyDiv w:val="1"/>
      <w:marLeft w:val="0"/>
      <w:marRight w:val="0"/>
      <w:marTop w:val="0"/>
      <w:marBottom w:val="0"/>
      <w:divBdr>
        <w:top w:val="none" w:sz="0" w:space="0" w:color="auto"/>
        <w:left w:val="none" w:sz="0" w:space="0" w:color="auto"/>
        <w:bottom w:val="none" w:sz="0" w:space="0" w:color="auto"/>
        <w:right w:val="none" w:sz="0" w:space="0" w:color="auto"/>
      </w:divBdr>
    </w:div>
    <w:div w:id="321936508">
      <w:bodyDiv w:val="1"/>
      <w:marLeft w:val="0"/>
      <w:marRight w:val="0"/>
      <w:marTop w:val="0"/>
      <w:marBottom w:val="0"/>
      <w:divBdr>
        <w:top w:val="none" w:sz="0" w:space="0" w:color="auto"/>
        <w:left w:val="none" w:sz="0" w:space="0" w:color="auto"/>
        <w:bottom w:val="none" w:sz="0" w:space="0" w:color="auto"/>
        <w:right w:val="none" w:sz="0" w:space="0" w:color="auto"/>
      </w:divBdr>
    </w:div>
    <w:div w:id="322392150">
      <w:bodyDiv w:val="1"/>
      <w:marLeft w:val="0"/>
      <w:marRight w:val="0"/>
      <w:marTop w:val="0"/>
      <w:marBottom w:val="0"/>
      <w:divBdr>
        <w:top w:val="none" w:sz="0" w:space="0" w:color="auto"/>
        <w:left w:val="none" w:sz="0" w:space="0" w:color="auto"/>
        <w:bottom w:val="none" w:sz="0" w:space="0" w:color="auto"/>
        <w:right w:val="none" w:sz="0" w:space="0" w:color="auto"/>
      </w:divBdr>
    </w:div>
    <w:div w:id="323583711">
      <w:bodyDiv w:val="1"/>
      <w:marLeft w:val="0"/>
      <w:marRight w:val="0"/>
      <w:marTop w:val="0"/>
      <w:marBottom w:val="0"/>
      <w:divBdr>
        <w:top w:val="none" w:sz="0" w:space="0" w:color="auto"/>
        <w:left w:val="none" w:sz="0" w:space="0" w:color="auto"/>
        <w:bottom w:val="none" w:sz="0" w:space="0" w:color="auto"/>
        <w:right w:val="none" w:sz="0" w:space="0" w:color="auto"/>
      </w:divBdr>
    </w:div>
    <w:div w:id="324087748">
      <w:bodyDiv w:val="1"/>
      <w:marLeft w:val="0"/>
      <w:marRight w:val="0"/>
      <w:marTop w:val="0"/>
      <w:marBottom w:val="0"/>
      <w:divBdr>
        <w:top w:val="none" w:sz="0" w:space="0" w:color="auto"/>
        <w:left w:val="none" w:sz="0" w:space="0" w:color="auto"/>
        <w:bottom w:val="none" w:sz="0" w:space="0" w:color="auto"/>
        <w:right w:val="none" w:sz="0" w:space="0" w:color="auto"/>
      </w:divBdr>
    </w:div>
    <w:div w:id="326370549">
      <w:bodyDiv w:val="1"/>
      <w:marLeft w:val="0"/>
      <w:marRight w:val="0"/>
      <w:marTop w:val="0"/>
      <w:marBottom w:val="0"/>
      <w:divBdr>
        <w:top w:val="none" w:sz="0" w:space="0" w:color="auto"/>
        <w:left w:val="none" w:sz="0" w:space="0" w:color="auto"/>
        <w:bottom w:val="none" w:sz="0" w:space="0" w:color="auto"/>
        <w:right w:val="none" w:sz="0" w:space="0" w:color="auto"/>
      </w:divBdr>
    </w:div>
    <w:div w:id="326632404">
      <w:bodyDiv w:val="1"/>
      <w:marLeft w:val="0"/>
      <w:marRight w:val="0"/>
      <w:marTop w:val="0"/>
      <w:marBottom w:val="0"/>
      <w:divBdr>
        <w:top w:val="none" w:sz="0" w:space="0" w:color="auto"/>
        <w:left w:val="none" w:sz="0" w:space="0" w:color="auto"/>
        <w:bottom w:val="none" w:sz="0" w:space="0" w:color="auto"/>
        <w:right w:val="none" w:sz="0" w:space="0" w:color="auto"/>
      </w:divBdr>
    </w:div>
    <w:div w:id="326633248">
      <w:bodyDiv w:val="1"/>
      <w:marLeft w:val="0"/>
      <w:marRight w:val="0"/>
      <w:marTop w:val="0"/>
      <w:marBottom w:val="0"/>
      <w:divBdr>
        <w:top w:val="none" w:sz="0" w:space="0" w:color="auto"/>
        <w:left w:val="none" w:sz="0" w:space="0" w:color="auto"/>
        <w:bottom w:val="none" w:sz="0" w:space="0" w:color="auto"/>
        <w:right w:val="none" w:sz="0" w:space="0" w:color="auto"/>
      </w:divBdr>
    </w:div>
    <w:div w:id="327056466">
      <w:bodyDiv w:val="1"/>
      <w:marLeft w:val="0"/>
      <w:marRight w:val="0"/>
      <w:marTop w:val="0"/>
      <w:marBottom w:val="0"/>
      <w:divBdr>
        <w:top w:val="none" w:sz="0" w:space="0" w:color="auto"/>
        <w:left w:val="none" w:sz="0" w:space="0" w:color="auto"/>
        <w:bottom w:val="none" w:sz="0" w:space="0" w:color="auto"/>
        <w:right w:val="none" w:sz="0" w:space="0" w:color="auto"/>
      </w:divBdr>
    </w:div>
    <w:div w:id="328755303">
      <w:bodyDiv w:val="1"/>
      <w:marLeft w:val="0"/>
      <w:marRight w:val="0"/>
      <w:marTop w:val="0"/>
      <w:marBottom w:val="0"/>
      <w:divBdr>
        <w:top w:val="none" w:sz="0" w:space="0" w:color="auto"/>
        <w:left w:val="none" w:sz="0" w:space="0" w:color="auto"/>
        <w:bottom w:val="none" w:sz="0" w:space="0" w:color="auto"/>
        <w:right w:val="none" w:sz="0" w:space="0" w:color="auto"/>
      </w:divBdr>
    </w:div>
    <w:div w:id="331839673">
      <w:bodyDiv w:val="1"/>
      <w:marLeft w:val="0"/>
      <w:marRight w:val="0"/>
      <w:marTop w:val="0"/>
      <w:marBottom w:val="0"/>
      <w:divBdr>
        <w:top w:val="none" w:sz="0" w:space="0" w:color="auto"/>
        <w:left w:val="none" w:sz="0" w:space="0" w:color="auto"/>
        <w:bottom w:val="none" w:sz="0" w:space="0" w:color="auto"/>
        <w:right w:val="none" w:sz="0" w:space="0" w:color="auto"/>
      </w:divBdr>
    </w:div>
    <w:div w:id="332535102">
      <w:bodyDiv w:val="1"/>
      <w:marLeft w:val="0"/>
      <w:marRight w:val="0"/>
      <w:marTop w:val="0"/>
      <w:marBottom w:val="0"/>
      <w:divBdr>
        <w:top w:val="none" w:sz="0" w:space="0" w:color="auto"/>
        <w:left w:val="none" w:sz="0" w:space="0" w:color="auto"/>
        <w:bottom w:val="none" w:sz="0" w:space="0" w:color="auto"/>
        <w:right w:val="none" w:sz="0" w:space="0" w:color="auto"/>
      </w:divBdr>
    </w:div>
    <w:div w:id="332535639">
      <w:bodyDiv w:val="1"/>
      <w:marLeft w:val="0"/>
      <w:marRight w:val="0"/>
      <w:marTop w:val="0"/>
      <w:marBottom w:val="0"/>
      <w:divBdr>
        <w:top w:val="none" w:sz="0" w:space="0" w:color="auto"/>
        <w:left w:val="none" w:sz="0" w:space="0" w:color="auto"/>
        <w:bottom w:val="none" w:sz="0" w:space="0" w:color="auto"/>
        <w:right w:val="none" w:sz="0" w:space="0" w:color="auto"/>
      </w:divBdr>
    </w:div>
    <w:div w:id="332805536">
      <w:bodyDiv w:val="1"/>
      <w:marLeft w:val="0"/>
      <w:marRight w:val="0"/>
      <w:marTop w:val="0"/>
      <w:marBottom w:val="0"/>
      <w:divBdr>
        <w:top w:val="none" w:sz="0" w:space="0" w:color="auto"/>
        <w:left w:val="none" w:sz="0" w:space="0" w:color="auto"/>
        <w:bottom w:val="none" w:sz="0" w:space="0" w:color="auto"/>
        <w:right w:val="none" w:sz="0" w:space="0" w:color="auto"/>
      </w:divBdr>
    </w:div>
    <w:div w:id="334503443">
      <w:bodyDiv w:val="1"/>
      <w:marLeft w:val="0"/>
      <w:marRight w:val="0"/>
      <w:marTop w:val="0"/>
      <w:marBottom w:val="0"/>
      <w:divBdr>
        <w:top w:val="none" w:sz="0" w:space="0" w:color="auto"/>
        <w:left w:val="none" w:sz="0" w:space="0" w:color="auto"/>
        <w:bottom w:val="none" w:sz="0" w:space="0" w:color="auto"/>
        <w:right w:val="none" w:sz="0" w:space="0" w:color="auto"/>
      </w:divBdr>
    </w:div>
    <w:div w:id="335378281">
      <w:bodyDiv w:val="1"/>
      <w:marLeft w:val="0"/>
      <w:marRight w:val="0"/>
      <w:marTop w:val="0"/>
      <w:marBottom w:val="0"/>
      <w:divBdr>
        <w:top w:val="none" w:sz="0" w:space="0" w:color="auto"/>
        <w:left w:val="none" w:sz="0" w:space="0" w:color="auto"/>
        <w:bottom w:val="none" w:sz="0" w:space="0" w:color="auto"/>
        <w:right w:val="none" w:sz="0" w:space="0" w:color="auto"/>
      </w:divBdr>
    </w:div>
    <w:div w:id="335808142">
      <w:bodyDiv w:val="1"/>
      <w:marLeft w:val="0"/>
      <w:marRight w:val="0"/>
      <w:marTop w:val="0"/>
      <w:marBottom w:val="0"/>
      <w:divBdr>
        <w:top w:val="none" w:sz="0" w:space="0" w:color="auto"/>
        <w:left w:val="none" w:sz="0" w:space="0" w:color="auto"/>
        <w:bottom w:val="none" w:sz="0" w:space="0" w:color="auto"/>
        <w:right w:val="none" w:sz="0" w:space="0" w:color="auto"/>
      </w:divBdr>
    </w:div>
    <w:div w:id="336200044">
      <w:bodyDiv w:val="1"/>
      <w:marLeft w:val="0"/>
      <w:marRight w:val="0"/>
      <w:marTop w:val="0"/>
      <w:marBottom w:val="0"/>
      <w:divBdr>
        <w:top w:val="none" w:sz="0" w:space="0" w:color="auto"/>
        <w:left w:val="none" w:sz="0" w:space="0" w:color="auto"/>
        <w:bottom w:val="none" w:sz="0" w:space="0" w:color="auto"/>
        <w:right w:val="none" w:sz="0" w:space="0" w:color="auto"/>
      </w:divBdr>
    </w:div>
    <w:div w:id="336349941">
      <w:bodyDiv w:val="1"/>
      <w:marLeft w:val="0"/>
      <w:marRight w:val="0"/>
      <w:marTop w:val="0"/>
      <w:marBottom w:val="0"/>
      <w:divBdr>
        <w:top w:val="none" w:sz="0" w:space="0" w:color="auto"/>
        <w:left w:val="none" w:sz="0" w:space="0" w:color="auto"/>
        <w:bottom w:val="none" w:sz="0" w:space="0" w:color="auto"/>
        <w:right w:val="none" w:sz="0" w:space="0" w:color="auto"/>
      </w:divBdr>
    </w:div>
    <w:div w:id="337855273">
      <w:bodyDiv w:val="1"/>
      <w:marLeft w:val="0"/>
      <w:marRight w:val="0"/>
      <w:marTop w:val="0"/>
      <w:marBottom w:val="0"/>
      <w:divBdr>
        <w:top w:val="none" w:sz="0" w:space="0" w:color="auto"/>
        <w:left w:val="none" w:sz="0" w:space="0" w:color="auto"/>
        <w:bottom w:val="none" w:sz="0" w:space="0" w:color="auto"/>
        <w:right w:val="none" w:sz="0" w:space="0" w:color="auto"/>
      </w:divBdr>
    </w:div>
    <w:div w:id="337855461">
      <w:bodyDiv w:val="1"/>
      <w:marLeft w:val="0"/>
      <w:marRight w:val="0"/>
      <w:marTop w:val="0"/>
      <w:marBottom w:val="0"/>
      <w:divBdr>
        <w:top w:val="none" w:sz="0" w:space="0" w:color="auto"/>
        <w:left w:val="none" w:sz="0" w:space="0" w:color="auto"/>
        <w:bottom w:val="none" w:sz="0" w:space="0" w:color="auto"/>
        <w:right w:val="none" w:sz="0" w:space="0" w:color="auto"/>
      </w:divBdr>
    </w:div>
    <w:div w:id="338428026">
      <w:bodyDiv w:val="1"/>
      <w:marLeft w:val="0"/>
      <w:marRight w:val="0"/>
      <w:marTop w:val="0"/>
      <w:marBottom w:val="0"/>
      <w:divBdr>
        <w:top w:val="none" w:sz="0" w:space="0" w:color="auto"/>
        <w:left w:val="none" w:sz="0" w:space="0" w:color="auto"/>
        <w:bottom w:val="none" w:sz="0" w:space="0" w:color="auto"/>
        <w:right w:val="none" w:sz="0" w:space="0" w:color="auto"/>
      </w:divBdr>
    </w:div>
    <w:div w:id="340200274">
      <w:bodyDiv w:val="1"/>
      <w:marLeft w:val="0"/>
      <w:marRight w:val="0"/>
      <w:marTop w:val="0"/>
      <w:marBottom w:val="0"/>
      <w:divBdr>
        <w:top w:val="none" w:sz="0" w:space="0" w:color="auto"/>
        <w:left w:val="none" w:sz="0" w:space="0" w:color="auto"/>
        <w:bottom w:val="none" w:sz="0" w:space="0" w:color="auto"/>
        <w:right w:val="none" w:sz="0" w:space="0" w:color="auto"/>
      </w:divBdr>
    </w:div>
    <w:div w:id="340856711">
      <w:bodyDiv w:val="1"/>
      <w:marLeft w:val="0"/>
      <w:marRight w:val="0"/>
      <w:marTop w:val="0"/>
      <w:marBottom w:val="0"/>
      <w:divBdr>
        <w:top w:val="none" w:sz="0" w:space="0" w:color="auto"/>
        <w:left w:val="none" w:sz="0" w:space="0" w:color="auto"/>
        <w:bottom w:val="none" w:sz="0" w:space="0" w:color="auto"/>
        <w:right w:val="none" w:sz="0" w:space="0" w:color="auto"/>
      </w:divBdr>
    </w:div>
    <w:div w:id="341132762">
      <w:bodyDiv w:val="1"/>
      <w:marLeft w:val="0"/>
      <w:marRight w:val="0"/>
      <w:marTop w:val="0"/>
      <w:marBottom w:val="0"/>
      <w:divBdr>
        <w:top w:val="none" w:sz="0" w:space="0" w:color="auto"/>
        <w:left w:val="none" w:sz="0" w:space="0" w:color="auto"/>
        <w:bottom w:val="none" w:sz="0" w:space="0" w:color="auto"/>
        <w:right w:val="none" w:sz="0" w:space="0" w:color="auto"/>
      </w:divBdr>
    </w:div>
    <w:div w:id="341204049">
      <w:bodyDiv w:val="1"/>
      <w:marLeft w:val="0"/>
      <w:marRight w:val="0"/>
      <w:marTop w:val="0"/>
      <w:marBottom w:val="0"/>
      <w:divBdr>
        <w:top w:val="none" w:sz="0" w:space="0" w:color="auto"/>
        <w:left w:val="none" w:sz="0" w:space="0" w:color="auto"/>
        <w:bottom w:val="none" w:sz="0" w:space="0" w:color="auto"/>
        <w:right w:val="none" w:sz="0" w:space="0" w:color="auto"/>
      </w:divBdr>
    </w:div>
    <w:div w:id="342055488">
      <w:bodyDiv w:val="1"/>
      <w:marLeft w:val="0"/>
      <w:marRight w:val="0"/>
      <w:marTop w:val="0"/>
      <w:marBottom w:val="0"/>
      <w:divBdr>
        <w:top w:val="none" w:sz="0" w:space="0" w:color="auto"/>
        <w:left w:val="none" w:sz="0" w:space="0" w:color="auto"/>
        <w:bottom w:val="none" w:sz="0" w:space="0" w:color="auto"/>
        <w:right w:val="none" w:sz="0" w:space="0" w:color="auto"/>
      </w:divBdr>
    </w:div>
    <w:div w:id="347220017">
      <w:bodyDiv w:val="1"/>
      <w:marLeft w:val="0"/>
      <w:marRight w:val="0"/>
      <w:marTop w:val="0"/>
      <w:marBottom w:val="0"/>
      <w:divBdr>
        <w:top w:val="none" w:sz="0" w:space="0" w:color="auto"/>
        <w:left w:val="none" w:sz="0" w:space="0" w:color="auto"/>
        <w:bottom w:val="none" w:sz="0" w:space="0" w:color="auto"/>
        <w:right w:val="none" w:sz="0" w:space="0" w:color="auto"/>
      </w:divBdr>
    </w:div>
    <w:div w:id="349383098">
      <w:bodyDiv w:val="1"/>
      <w:marLeft w:val="0"/>
      <w:marRight w:val="0"/>
      <w:marTop w:val="0"/>
      <w:marBottom w:val="0"/>
      <w:divBdr>
        <w:top w:val="none" w:sz="0" w:space="0" w:color="auto"/>
        <w:left w:val="none" w:sz="0" w:space="0" w:color="auto"/>
        <w:bottom w:val="none" w:sz="0" w:space="0" w:color="auto"/>
        <w:right w:val="none" w:sz="0" w:space="0" w:color="auto"/>
      </w:divBdr>
    </w:div>
    <w:div w:id="350952944">
      <w:bodyDiv w:val="1"/>
      <w:marLeft w:val="0"/>
      <w:marRight w:val="0"/>
      <w:marTop w:val="0"/>
      <w:marBottom w:val="0"/>
      <w:divBdr>
        <w:top w:val="none" w:sz="0" w:space="0" w:color="auto"/>
        <w:left w:val="none" w:sz="0" w:space="0" w:color="auto"/>
        <w:bottom w:val="none" w:sz="0" w:space="0" w:color="auto"/>
        <w:right w:val="none" w:sz="0" w:space="0" w:color="auto"/>
      </w:divBdr>
    </w:div>
    <w:div w:id="351610152">
      <w:bodyDiv w:val="1"/>
      <w:marLeft w:val="0"/>
      <w:marRight w:val="0"/>
      <w:marTop w:val="0"/>
      <w:marBottom w:val="0"/>
      <w:divBdr>
        <w:top w:val="none" w:sz="0" w:space="0" w:color="auto"/>
        <w:left w:val="none" w:sz="0" w:space="0" w:color="auto"/>
        <w:bottom w:val="none" w:sz="0" w:space="0" w:color="auto"/>
        <w:right w:val="none" w:sz="0" w:space="0" w:color="auto"/>
      </w:divBdr>
    </w:div>
    <w:div w:id="354234480">
      <w:bodyDiv w:val="1"/>
      <w:marLeft w:val="0"/>
      <w:marRight w:val="0"/>
      <w:marTop w:val="0"/>
      <w:marBottom w:val="0"/>
      <w:divBdr>
        <w:top w:val="none" w:sz="0" w:space="0" w:color="auto"/>
        <w:left w:val="none" w:sz="0" w:space="0" w:color="auto"/>
        <w:bottom w:val="none" w:sz="0" w:space="0" w:color="auto"/>
        <w:right w:val="none" w:sz="0" w:space="0" w:color="auto"/>
      </w:divBdr>
    </w:div>
    <w:div w:id="354968145">
      <w:bodyDiv w:val="1"/>
      <w:marLeft w:val="0"/>
      <w:marRight w:val="0"/>
      <w:marTop w:val="0"/>
      <w:marBottom w:val="0"/>
      <w:divBdr>
        <w:top w:val="none" w:sz="0" w:space="0" w:color="auto"/>
        <w:left w:val="none" w:sz="0" w:space="0" w:color="auto"/>
        <w:bottom w:val="none" w:sz="0" w:space="0" w:color="auto"/>
        <w:right w:val="none" w:sz="0" w:space="0" w:color="auto"/>
      </w:divBdr>
    </w:div>
    <w:div w:id="355085224">
      <w:bodyDiv w:val="1"/>
      <w:marLeft w:val="0"/>
      <w:marRight w:val="0"/>
      <w:marTop w:val="0"/>
      <w:marBottom w:val="0"/>
      <w:divBdr>
        <w:top w:val="none" w:sz="0" w:space="0" w:color="auto"/>
        <w:left w:val="none" w:sz="0" w:space="0" w:color="auto"/>
        <w:bottom w:val="none" w:sz="0" w:space="0" w:color="auto"/>
        <w:right w:val="none" w:sz="0" w:space="0" w:color="auto"/>
      </w:divBdr>
    </w:div>
    <w:div w:id="357051082">
      <w:bodyDiv w:val="1"/>
      <w:marLeft w:val="0"/>
      <w:marRight w:val="0"/>
      <w:marTop w:val="0"/>
      <w:marBottom w:val="0"/>
      <w:divBdr>
        <w:top w:val="none" w:sz="0" w:space="0" w:color="auto"/>
        <w:left w:val="none" w:sz="0" w:space="0" w:color="auto"/>
        <w:bottom w:val="none" w:sz="0" w:space="0" w:color="auto"/>
        <w:right w:val="none" w:sz="0" w:space="0" w:color="auto"/>
      </w:divBdr>
    </w:div>
    <w:div w:id="358359022">
      <w:bodyDiv w:val="1"/>
      <w:marLeft w:val="0"/>
      <w:marRight w:val="0"/>
      <w:marTop w:val="0"/>
      <w:marBottom w:val="0"/>
      <w:divBdr>
        <w:top w:val="none" w:sz="0" w:space="0" w:color="auto"/>
        <w:left w:val="none" w:sz="0" w:space="0" w:color="auto"/>
        <w:bottom w:val="none" w:sz="0" w:space="0" w:color="auto"/>
        <w:right w:val="none" w:sz="0" w:space="0" w:color="auto"/>
      </w:divBdr>
    </w:div>
    <w:div w:id="360324565">
      <w:bodyDiv w:val="1"/>
      <w:marLeft w:val="0"/>
      <w:marRight w:val="0"/>
      <w:marTop w:val="0"/>
      <w:marBottom w:val="0"/>
      <w:divBdr>
        <w:top w:val="none" w:sz="0" w:space="0" w:color="auto"/>
        <w:left w:val="none" w:sz="0" w:space="0" w:color="auto"/>
        <w:bottom w:val="none" w:sz="0" w:space="0" w:color="auto"/>
        <w:right w:val="none" w:sz="0" w:space="0" w:color="auto"/>
      </w:divBdr>
    </w:div>
    <w:div w:id="360781706">
      <w:bodyDiv w:val="1"/>
      <w:marLeft w:val="0"/>
      <w:marRight w:val="0"/>
      <w:marTop w:val="0"/>
      <w:marBottom w:val="0"/>
      <w:divBdr>
        <w:top w:val="none" w:sz="0" w:space="0" w:color="auto"/>
        <w:left w:val="none" w:sz="0" w:space="0" w:color="auto"/>
        <w:bottom w:val="none" w:sz="0" w:space="0" w:color="auto"/>
        <w:right w:val="none" w:sz="0" w:space="0" w:color="auto"/>
      </w:divBdr>
    </w:div>
    <w:div w:id="361714412">
      <w:bodyDiv w:val="1"/>
      <w:marLeft w:val="0"/>
      <w:marRight w:val="0"/>
      <w:marTop w:val="0"/>
      <w:marBottom w:val="0"/>
      <w:divBdr>
        <w:top w:val="none" w:sz="0" w:space="0" w:color="auto"/>
        <w:left w:val="none" w:sz="0" w:space="0" w:color="auto"/>
        <w:bottom w:val="none" w:sz="0" w:space="0" w:color="auto"/>
        <w:right w:val="none" w:sz="0" w:space="0" w:color="auto"/>
      </w:divBdr>
    </w:div>
    <w:div w:id="362563915">
      <w:bodyDiv w:val="1"/>
      <w:marLeft w:val="0"/>
      <w:marRight w:val="0"/>
      <w:marTop w:val="0"/>
      <w:marBottom w:val="0"/>
      <w:divBdr>
        <w:top w:val="none" w:sz="0" w:space="0" w:color="auto"/>
        <w:left w:val="none" w:sz="0" w:space="0" w:color="auto"/>
        <w:bottom w:val="none" w:sz="0" w:space="0" w:color="auto"/>
        <w:right w:val="none" w:sz="0" w:space="0" w:color="auto"/>
      </w:divBdr>
    </w:div>
    <w:div w:id="362831077">
      <w:bodyDiv w:val="1"/>
      <w:marLeft w:val="0"/>
      <w:marRight w:val="0"/>
      <w:marTop w:val="0"/>
      <w:marBottom w:val="0"/>
      <w:divBdr>
        <w:top w:val="none" w:sz="0" w:space="0" w:color="auto"/>
        <w:left w:val="none" w:sz="0" w:space="0" w:color="auto"/>
        <w:bottom w:val="none" w:sz="0" w:space="0" w:color="auto"/>
        <w:right w:val="none" w:sz="0" w:space="0" w:color="auto"/>
      </w:divBdr>
    </w:div>
    <w:div w:id="363217226">
      <w:bodyDiv w:val="1"/>
      <w:marLeft w:val="0"/>
      <w:marRight w:val="0"/>
      <w:marTop w:val="0"/>
      <w:marBottom w:val="0"/>
      <w:divBdr>
        <w:top w:val="none" w:sz="0" w:space="0" w:color="auto"/>
        <w:left w:val="none" w:sz="0" w:space="0" w:color="auto"/>
        <w:bottom w:val="none" w:sz="0" w:space="0" w:color="auto"/>
        <w:right w:val="none" w:sz="0" w:space="0" w:color="auto"/>
      </w:divBdr>
    </w:div>
    <w:div w:id="364793635">
      <w:bodyDiv w:val="1"/>
      <w:marLeft w:val="0"/>
      <w:marRight w:val="0"/>
      <w:marTop w:val="0"/>
      <w:marBottom w:val="0"/>
      <w:divBdr>
        <w:top w:val="none" w:sz="0" w:space="0" w:color="auto"/>
        <w:left w:val="none" w:sz="0" w:space="0" w:color="auto"/>
        <w:bottom w:val="none" w:sz="0" w:space="0" w:color="auto"/>
        <w:right w:val="none" w:sz="0" w:space="0" w:color="auto"/>
      </w:divBdr>
    </w:div>
    <w:div w:id="365719279">
      <w:bodyDiv w:val="1"/>
      <w:marLeft w:val="0"/>
      <w:marRight w:val="0"/>
      <w:marTop w:val="0"/>
      <w:marBottom w:val="0"/>
      <w:divBdr>
        <w:top w:val="none" w:sz="0" w:space="0" w:color="auto"/>
        <w:left w:val="none" w:sz="0" w:space="0" w:color="auto"/>
        <w:bottom w:val="none" w:sz="0" w:space="0" w:color="auto"/>
        <w:right w:val="none" w:sz="0" w:space="0" w:color="auto"/>
      </w:divBdr>
    </w:div>
    <w:div w:id="368725076">
      <w:bodyDiv w:val="1"/>
      <w:marLeft w:val="0"/>
      <w:marRight w:val="0"/>
      <w:marTop w:val="0"/>
      <w:marBottom w:val="0"/>
      <w:divBdr>
        <w:top w:val="none" w:sz="0" w:space="0" w:color="auto"/>
        <w:left w:val="none" w:sz="0" w:space="0" w:color="auto"/>
        <w:bottom w:val="none" w:sz="0" w:space="0" w:color="auto"/>
        <w:right w:val="none" w:sz="0" w:space="0" w:color="auto"/>
      </w:divBdr>
    </w:div>
    <w:div w:id="369115362">
      <w:bodyDiv w:val="1"/>
      <w:marLeft w:val="0"/>
      <w:marRight w:val="0"/>
      <w:marTop w:val="0"/>
      <w:marBottom w:val="0"/>
      <w:divBdr>
        <w:top w:val="none" w:sz="0" w:space="0" w:color="auto"/>
        <w:left w:val="none" w:sz="0" w:space="0" w:color="auto"/>
        <w:bottom w:val="none" w:sz="0" w:space="0" w:color="auto"/>
        <w:right w:val="none" w:sz="0" w:space="0" w:color="auto"/>
      </w:divBdr>
    </w:div>
    <w:div w:id="369692892">
      <w:bodyDiv w:val="1"/>
      <w:marLeft w:val="0"/>
      <w:marRight w:val="0"/>
      <w:marTop w:val="0"/>
      <w:marBottom w:val="0"/>
      <w:divBdr>
        <w:top w:val="none" w:sz="0" w:space="0" w:color="auto"/>
        <w:left w:val="none" w:sz="0" w:space="0" w:color="auto"/>
        <w:bottom w:val="none" w:sz="0" w:space="0" w:color="auto"/>
        <w:right w:val="none" w:sz="0" w:space="0" w:color="auto"/>
      </w:divBdr>
    </w:div>
    <w:div w:id="370691716">
      <w:bodyDiv w:val="1"/>
      <w:marLeft w:val="0"/>
      <w:marRight w:val="0"/>
      <w:marTop w:val="0"/>
      <w:marBottom w:val="0"/>
      <w:divBdr>
        <w:top w:val="none" w:sz="0" w:space="0" w:color="auto"/>
        <w:left w:val="none" w:sz="0" w:space="0" w:color="auto"/>
        <w:bottom w:val="none" w:sz="0" w:space="0" w:color="auto"/>
        <w:right w:val="none" w:sz="0" w:space="0" w:color="auto"/>
      </w:divBdr>
    </w:div>
    <w:div w:id="372507074">
      <w:bodyDiv w:val="1"/>
      <w:marLeft w:val="0"/>
      <w:marRight w:val="0"/>
      <w:marTop w:val="0"/>
      <w:marBottom w:val="0"/>
      <w:divBdr>
        <w:top w:val="none" w:sz="0" w:space="0" w:color="auto"/>
        <w:left w:val="none" w:sz="0" w:space="0" w:color="auto"/>
        <w:bottom w:val="none" w:sz="0" w:space="0" w:color="auto"/>
        <w:right w:val="none" w:sz="0" w:space="0" w:color="auto"/>
      </w:divBdr>
    </w:div>
    <w:div w:id="375201769">
      <w:bodyDiv w:val="1"/>
      <w:marLeft w:val="0"/>
      <w:marRight w:val="0"/>
      <w:marTop w:val="0"/>
      <w:marBottom w:val="0"/>
      <w:divBdr>
        <w:top w:val="none" w:sz="0" w:space="0" w:color="auto"/>
        <w:left w:val="none" w:sz="0" w:space="0" w:color="auto"/>
        <w:bottom w:val="none" w:sz="0" w:space="0" w:color="auto"/>
        <w:right w:val="none" w:sz="0" w:space="0" w:color="auto"/>
      </w:divBdr>
    </w:div>
    <w:div w:id="379983901">
      <w:bodyDiv w:val="1"/>
      <w:marLeft w:val="0"/>
      <w:marRight w:val="0"/>
      <w:marTop w:val="0"/>
      <w:marBottom w:val="0"/>
      <w:divBdr>
        <w:top w:val="none" w:sz="0" w:space="0" w:color="auto"/>
        <w:left w:val="none" w:sz="0" w:space="0" w:color="auto"/>
        <w:bottom w:val="none" w:sz="0" w:space="0" w:color="auto"/>
        <w:right w:val="none" w:sz="0" w:space="0" w:color="auto"/>
      </w:divBdr>
    </w:div>
    <w:div w:id="380133249">
      <w:bodyDiv w:val="1"/>
      <w:marLeft w:val="0"/>
      <w:marRight w:val="0"/>
      <w:marTop w:val="0"/>
      <w:marBottom w:val="0"/>
      <w:divBdr>
        <w:top w:val="none" w:sz="0" w:space="0" w:color="auto"/>
        <w:left w:val="none" w:sz="0" w:space="0" w:color="auto"/>
        <w:bottom w:val="none" w:sz="0" w:space="0" w:color="auto"/>
        <w:right w:val="none" w:sz="0" w:space="0" w:color="auto"/>
      </w:divBdr>
    </w:div>
    <w:div w:id="380179315">
      <w:bodyDiv w:val="1"/>
      <w:marLeft w:val="0"/>
      <w:marRight w:val="0"/>
      <w:marTop w:val="0"/>
      <w:marBottom w:val="0"/>
      <w:divBdr>
        <w:top w:val="none" w:sz="0" w:space="0" w:color="auto"/>
        <w:left w:val="none" w:sz="0" w:space="0" w:color="auto"/>
        <w:bottom w:val="none" w:sz="0" w:space="0" w:color="auto"/>
        <w:right w:val="none" w:sz="0" w:space="0" w:color="auto"/>
      </w:divBdr>
    </w:div>
    <w:div w:id="381947829">
      <w:bodyDiv w:val="1"/>
      <w:marLeft w:val="0"/>
      <w:marRight w:val="0"/>
      <w:marTop w:val="0"/>
      <w:marBottom w:val="0"/>
      <w:divBdr>
        <w:top w:val="none" w:sz="0" w:space="0" w:color="auto"/>
        <w:left w:val="none" w:sz="0" w:space="0" w:color="auto"/>
        <w:bottom w:val="none" w:sz="0" w:space="0" w:color="auto"/>
        <w:right w:val="none" w:sz="0" w:space="0" w:color="auto"/>
      </w:divBdr>
    </w:div>
    <w:div w:id="383603914">
      <w:bodyDiv w:val="1"/>
      <w:marLeft w:val="0"/>
      <w:marRight w:val="0"/>
      <w:marTop w:val="0"/>
      <w:marBottom w:val="0"/>
      <w:divBdr>
        <w:top w:val="none" w:sz="0" w:space="0" w:color="auto"/>
        <w:left w:val="none" w:sz="0" w:space="0" w:color="auto"/>
        <w:bottom w:val="none" w:sz="0" w:space="0" w:color="auto"/>
        <w:right w:val="none" w:sz="0" w:space="0" w:color="auto"/>
      </w:divBdr>
    </w:div>
    <w:div w:id="383990909">
      <w:bodyDiv w:val="1"/>
      <w:marLeft w:val="0"/>
      <w:marRight w:val="0"/>
      <w:marTop w:val="0"/>
      <w:marBottom w:val="0"/>
      <w:divBdr>
        <w:top w:val="none" w:sz="0" w:space="0" w:color="auto"/>
        <w:left w:val="none" w:sz="0" w:space="0" w:color="auto"/>
        <w:bottom w:val="none" w:sz="0" w:space="0" w:color="auto"/>
        <w:right w:val="none" w:sz="0" w:space="0" w:color="auto"/>
      </w:divBdr>
    </w:div>
    <w:div w:id="384372519">
      <w:bodyDiv w:val="1"/>
      <w:marLeft w:val="0"/>
      <w:marRight w:val="0"/>
      <w:marTop w:val="0"/>
      <w:marBottom w:val="0"/>
      <w:divBdr>
        <w:top w:val="none" w:sz="0" w:space="0" w:color="auto"/>
        <w:left w:val="none" w:sz="0" w:space="0" w:color="auto"/>
        <w:bottom w:val="none" w:sz="0" w:space="0" w:color="auto"/>
        <w:right w:val="none" w:sz="0" w:space="0" w:color="auto"/>
      </w:divBdr>
    </w:div>
    <w:div w:id="384724566">
      <w:bodyDiv w:val="1"/>
      <w:marLeft w:val="0"/>
      <w:marRight w:val="0"/>
      <w:marTop w:val="0"/>
      <w:marBottom w:val="0"/>
      <w:divBdr>
        <w:top w:val="none" w:sz="0" w:space="0" w:color="auto"/>
        <w:left w:val="none" w:sz="0" w:space="0" w:color="auto"/>
        <w:bottom w:val="none" w:sz="0" w:space="0" w:color="auto"/>
        <w:right w:val="none" w:sz="0" w:space="0" w:color="auto"/>
      </w:divBdr>
    </w:div>
    <w:div w:id="386027080">
      <w:bodyDiv w:val="1"/>
      <w:marLeft w:val="0"/>
      <w:marRight w:val="0"/>
      <w:marTop w:val="0"/>
      <w:marBottom w:val="0"/>
      <w:divBdr>
        <w:top w:val="none" w:sz="0" w:space="0" w:color="auto"/>
        <w:left w:val="none" w:sz="0" w:space="0" w:color="auto"/>
        <w:bottom w:val="none" w:sz="0" w:space="0" w:color="auto"/>
        <w:right w:val="none" w:sz="0" w:space="0" w:color="auto"/>
      </w:divBdr>
    </w:div>
    <w:div w:id="386035006">
      <w:bodyDiv w:val="1"/>
      <w:marLeft w:val="0"/>
      <w:marRight w:val="0"/>
      <w:marTop w:val="0"/>
      <w:marBottom w:val="0"/>
      <w:divBdr>
        <w:top w:val="none" w:sz="0" w:space="0" w:color="auto"/>
        <w:left w:val="none" w:sz="0" w:space="0" w:color="auto"/>
        <w:bottom w:val="none" w:sz="0" w:space="0" w:color="auto"/>
        <w:right w:val="none" w:sz="0" w:space="0" w:color="auto"/>
      </w:divBdr>
    </w:div>
    <w:div w:id="386102434">
      <w:bodyDiv w:val="1"/>
      <w:marLeft w:val="0"/>
      <w:marRight w:val="0"/>
      <w:marTop w:val="0"/>
      <w:marBottom w:val="0"/>
      <w:divBdr>
        <w:top w:val="none" w:sz="0" w:space="0" w:color="auto"/>
        <w:left w:val="none" w:sz="0" w:space="0" w:color="auto"/>
        <w:bottom w:val="none" w:sz="0" w:space="0" w:color="auto"/>
        <w:right w:val="none" w:sz="0" w:space="0" w:color="auto"/>
      </w:divBdr>
    </w:div>
    <w:div w:id="386149780">
      <w:bodyDiv w:val="1"/>
      <w:marLeft w:val="0"/>
      <w:marRight w:val="0"/>
      <w:marTop w:val="0"/>
      <w:marBottom w:val="0"/>
      <w:divBdr>
        <w:top w:val="none" w:sz="0" w:space="0" w:color="auto"/>
        <w:left w:val="none" w:sz="0" w:space="0" w:color="auto"/>
        <w:bottom w:val="none" w:sz="0" w:space="0" w:color="auto"/>
        <w:right w:val="none" w:sz="0" w:space="0" w:color="auto"/>
      </w:divBdr>
    </w:div>
    <w:div w:id="387534202">
      <w:bodyDiv w:val="1"/>
      <w:marLeft w:val="0"/>
      <w:marRight w:val="0"/>
      <w:marTop w:val="0"/>
      <w:marBottom w:val="0"/>
      <w:divBdr>
        <w:top w:val="none" w:sz="0" w:space="0" w:color="auto"/>
        <w:left w:val="none" w:sz="0" w:space="0" w:color="auto"/>
        <w:bottom w:val="none" w:sz="0" w:space="0" w:color="auto"/>
        <w:right w:val="none" w:sz="0" w:space="0" w:color="auto"/>
      </w:divBdr>
    </w:div>
    <w:div w:id="388962419">
      <w:bodyDiv w:val="1"/>
      <w:marLeft w:val="0"/>
      <w:marRight w:val="0"/>
      <w:marTop w:val="0"/>
      <w:marBottom w:val="0"/>
      <w:divBdr>
        <w:top w:val="none" w:sz="0" w:space="0" w:color="auto"/>
        <w:left w:val="none" w:sz="0" w:space="0" w:color="auto"/>
        <w:bottom w:val="none" w:sz="0" w:space="0" w:color="auto"/>
        <w:right w:val="none" w:sz="0" w:space="0" w:color="auto"/>
      </w:divBdr>
    </w:div>
    <w:div w:id="389694141">
      <w:bodyDiv w:val="1"/>
      <w:marLeft w:val="0"/>
      <w:marRight w:val="0"/>
      <w:marTop w:val="0"/>
      <w:marBottom w:val="0"/>
      <w:divBdr>
        <w:top w:val="none" w:sz="0" w:space="0" w:color="auto"/>
        <w:left w:val="none" w:sz="0" w:space="0" w:color="auto"/>
        <w:bottom w:val="none" w:sz="0" w:space="0" w:color="auto"/>
        <w:right w:val="none" w:sz="0" w:space="0" w:color="auto"/>
      </w:divBdr>
    </w:div>
    <w:div w:id="390233469">
      <w:bodyDiv w:val="1"/>
      <w:marLeft w:val="0"/>
      <w:marRight w:val="0"/>
      <w:marTop w:val="0"/>
      <w:marBottom w:val="0"/>
      <w:divBdr>
        <w:top w:val="none" w:sz="0" w:space="0" w:color="auto"/>
        <w:left w:val="none" w:sz="0" w:space="0" w:color="auto"/>
        <w:bottom w:val="none" w:sz="0" w:space="0" w:color="auto"/>
        <w:right w:val="none" w:sz="0" w:space="0" w:color="auto"/>
      </w:divBdr>
    </w:div>
    <w:div w:id="391318831">
      <w:bodyDiv w:val="1"/>
      <w:marLeft w:val="0"/>
      <w:marRight w:val="0"/>
      <w:marTop w:val="0"/>
      <w:marBottom w:val="0"/>
      <w:divBdr>
        <w:top w:val="none" w:sz="0" w:space="0" w:color="auto"/>
        <w:left w:val="none" w:sz="0" w:space="0" w:color="auto"/>
        <w:bottom w:val="none" w:sz="0" w:space="0" w:color="auto"/>
        <w:right w:val="none" w:sz="0" w:space="0" w:color="auto"/>
      </w:divBdr>
    </w:div>
    <w:div w:id="391733931">
      <w:bodyDiv w:val="1"/>
      <w:marLeft w:val="0"/>
      <w:marRight w:val="0"/>
      <w:marTop w:val="0"/>
      <w:marBottom w:val="0"/>
      <w:divBdr>
        <w:top w:val="none" w:sz="0" w:space="0" w:color="auto"/>
        <w:left w:val="none" w:sz="0" w:space="0" w:color="auto"/>
        <w:bottom w:val="none" w:sz="0" w:space="0" w:color="auto"/>
        <w:right w:val="none" w:sz="0" w:space="0" w:color="auto"/>
      </w:divBdr>
    </w:div>
    <w:div w:id="391930224">
      <w:bodyDiv w:val="1"/>
      <w:marLeft w:val="0"/>
      <w:marRight w:val="0"/>
      <w:marTop w:val="0"/>
      <w:marBottom w:val="0"/>
      <w:divBdr>
        <w:top w:val="none" w:sz="0" w:space="0" w:color="auto"/>
        <w:left w:val="none" w:sz="0" w:space="0" w:color="auto"/>
        <w:bottom w:val="none" w:sz="0" w:space="0" w:color="auto"/>
        <w:right w:val="none" w:sz="0" w:space="0" w:color="auto"/>
      </w:divBdr>
    </w:div>
    <w:div w:id="394008303">
      <w:bodyDiv w:val="1"/>
      <w:marLeft w:val="0"/>
      <w:marRight w:val="0"/>
      <w:marTop w:val="0"/>
      <w:marBottom w:val="0"/>
      <w:divBdr>
        <w:top w:val="none" w:sz="0" w:space="0" w:color="auto"/>
        <w:left w:val="none" w:sz="0" w:space="0" w:color="auto"/>
        <w:bottom w:val="none" w:sz="0" w:space="0" w:color="auto"/>
        <w:right w:val="none" w:sz="0" w:space="0" w:color="auto"/>
      </w:divBdr>
    </w:div>
    <w:div w:id="394739684">
      <w:bodyDiv w:val="1"/>
      <w:marLeft w:val="0"/>
      <w:marRight w:val="0"/>
      <w:marTop w:val="0"/>
      <w:marBottom w:val="0"/>
      <w:divBdr>
        <w:top w:val="none" w:sz="0" w:space="0" w:color="auto"/>
        <w:left w:val="none" w:sz="0" w:space="0" w:color="auto"/>
        <w:bottom w:val="none" w:sz="0" w:space="0" w:color="auto"/>
        <w:right w:val="none" w:sz="0" w:space="0" w:color="auto"/>
      </w:divBdr>
    </w:div>
    <w:div w:id="397436289">
      <w:bodyDiv w:val="1"/>
      <w:marLeft w:val="0"/>
      <w:marRight w:val="0"/>
      <w:marTop w:val="0"/>
      <w:marBottom w:val="0"/>
      <w:divBdr>
        <w:top w:val="none" w:sz="0" w:space="0" w:color="auto"/>
        <w:left w:val="none" w:sz="0" w:space="0" w:color="auto"/>
        <w:bottom w:val="none" w:sz="0" w:space="0" w:color="auto"/>
        <w:right w:val="none" w:sz="0" w:space="0" w:color="auto"/>
      </w:divBdr>
    </w:div>
    <w:div w:id="397561771">
      <w:bodyDiv w:val="1"/>
      <w:marLeft w:val="0"/>
      <w:marRight w:val="0"/>
      <w:marTop w:val="0"/>
      <w:marBottom w:val="0"/>
      <w:divBdr>
        <w:top w:val="none" w:sz="0" w:space="0" w:color="auto"/>
        <w:left w:val="none" w:sz="0" w:space="0" w:color="auto"/>
        <w:bottom w:val="none" w:sz="0" w:space="0" w:color="auto"/>
        <w:right w:val="none" w:sz="0" w:space="0" w:color="auto"/>
      </w:divBdr>
    </w:div>
    <w:div w:id="397674806">
      <w:bodyDiv w:val="1"/>
      <w:marLeft w:val="0"/>
      <w:marRight w:val="0"/>
      <w:marTop w:val="0"/>
      <w:marBottom w:val="0"/>
      <w:divBdr>
        <w:top w:val="none" w:sz="0" w:space="0" w:color="auto"/>
        <w:left w:val="none" w:sz="0" w:space="0" w:color="auto"/>
        <w:bottom w:val="none" w:sz="0" w:space="0" w:color="auto"/>
        <w:right w:val="none" w:sz="0" w:space="0" w:color="auto"/>
      </w:divBdr>
    </w:div>
    <w:div w:id="398021891">
      <w:bodyDiv w:val="1"/>
      <w:marLeft w:val="0"/>
      <w:marRight w:val="0"/>
      <w:marTop w:val="0"/>
      <w:marBottom w:val="0"/>
      <w:divBdr>
        <w:top w:val="none" w:sz="0" w:space="0" w:color="auto"/>
        <w:left w:val="none" w:sz="0" w:space="0" w:color="auto"/>
        <w:bottom w:val="none" w:sz="0" w:space="0" w:color="auto"/>
        <w:right w:val="none" w:sz="0" w:space="0" w:color="auto"/>
      </w:divBdr>
    </w:div>
    <w:div w:id="399788901">
      <w:bodyDiv w:val="1"/>
      <w:marLeft w:val="0"/>
      <w:marRight w:val="0"/>
      <w:marTop w:val="0"/>
      <w:marBottom w:val="0"/>
      <w:divBdr>
        <w:top w:val="none" w:sz="0" w:space="0" w:color="auto"/>
        <w:left w:val="none" w:sz="0" w:space="0" w:color="auto"/>
        <w:bottom w:val="none" w:sz="0" w:space="0" w:color="auto"/>
        <w:right w:val="none" w:sz="0" w:space="0" w:color="auto"/>
      </w:divBdr>
    </w:div>
    <w:div w:id="400905154">
      <w:bodyDiv w:val="1"/>
      <w:marLeft w:val="0"/>
      <w:marRight w:val="0"/>
      <w:marTop w:val="0"/>
      <w:marBottom w:val="0"/>
      <w:divBdr>
        <w:top w:val="none" w:sz="0" w:space="0" w:color="auto"/>
        <w:left w:val="none" w:sz="0" w:space="0" w:color="auto"/>
        <w:bottom w:val="none" w:sz="0" w:space="0" w:color="auto"/>
        <w:right w:val="none" w:sz="0" w:space="0" w:color="auto"/>
      </w:divBdr>
    </w:div>
    <w:div w:id="401221500">
      <w:bodyDiv w:val="1"/>
      <w:marLeft w:val="0"/>
      <w:marRight w:val="0"/>
      <w:marTop w:val="0"/>
      <w:marBottom w:val="0"/>
      <w:divBdr>
        <w:top w:val="none" w:sz="0" w:space="0" w:color="auto"/>
        <w:left w:val="none" w:sz="0" w:space="0" w:color="auto"/>
        <w:bottom w:val="none" w:sz="0" w:space="0" w:color="auto"/>
        <w:right w:val="none" w:sz="0" w:space="0" w:color="auto"/>
      </w:divBdr>
    </w:div>
    <w:div w:id="402144910">
      <w:bodyDiv w:val="1"/>
      <w:marLeft w:val="0"/>
      <w:marRight w:val="0"/>
      <w:marTop w:val="0"/>
      <w:marBottom w:val="0"/>
      <w:divBdr>
        <w:top w:val="none" w:sz="0" w:space="0" w:color="auto"/>
        <w:left w:val="none" w:sz="0" w:space="0" w:color="auto"/>
        <w:bottom w:val="none" w:sz="0" w:space="0" w:color="auto"/>
        <w:right w:val="none" w:sz="0" w:space="0" w:color="auto"/>
      </w:divBdr>
    </w:div>
    <w:div w:id="402603396">
      <w:bodyDiv w:val="1"/>
      <w:marLeft w:val="0"/>
      <w:marRight w:val="0"/>
      <w:marTop w:val="0"/>
      <w:marBottom w:val="0"/>
      <w:divBdr>
        <w:top w:val="none" w:sz="0" w:space="0" w:color="auto"/>
        <w:left w:val="none" w:sz="0" w:space="0" w:color="auto"/>
        <w:bottom w:val="none" w:sz="0" w:space="0" w:color="auto"/>
        <w:right w:val="none" w:sz="0" w:space="0" w:color="auto"/>
      </w:divBdr>
    </w:div>
    <w:div w:id="403526848">
      <w:bodyDiv w:val="1"/>
      <w:marLeft w:val="0"/>
      <w:marRight w:val="0"/>
      <w:marTop w:val="0"/>
      <w:marBottom w:val="0"/>
      <w:divBdr>
        <w:top w:val="none" w:sz="0" w:space="0" w:color="auto"/>
        <w:left w:val="none" w:sz="0" w:space="0" w:color="auto"/>
        <w:bottom w:val="none" w:sz="0" w:space="0" w:color="auto"/>
        <w:right w:val="none" w:sz="0" w:space="0" w:color="auto"/>
      </w:divBdr>
    </w:div>
    <w:div w:id="403768446">
      <w:bodyDiv w:val="1"/>
      <w:marLeft w:val="0"/>
      <w:marRight w:val="0"/>
      <w:marTop w:val="0"/>
      <w:marBottom w:val="0"/>
      <w:divBdr>
        <w:top w:val="none" w:sz="0" w:space="0" w:color="auto"/>
        <w:left w:val="none" w:sz="0" w:space="0" w:color="auto"/>
        <w:bottom w:val="none" w:sz="0" w:space="0" w:color="auto"/>
        <w:right w:val="none" w:sz="0" w:space="0" w:color="auto"/>
      </w:divBdr>
    </w:div>
    <w:div w:id="403797689">
      <w:bodyDiv w:val="1"/>
      <w:marLeft w:val="0"/>
      <w:marRight w:val="0"/>
      <w:marTop w:val="0"/>
      <w:marBottom w:val="0"/>
      <w:divBdr>
        <w:top w:val="none" w:sz="0" w:space="0" w:color="auto"/>
        <w:left w:val="none" w:sz="0" w:space="0" w:color="auto"/>
        <w:bottom w:val="none" w:sz="0" w:space="0" w:color="auto"/>
        <w:right w:val="none" w:sz="0" w:space="0" w:color="auto"/>
      </w:divBdr>
    </w:div>
    <w:div w:id="405421579">
      <w:bodyDiv w:val="1"/>
      <w:marLeft w:val="0"/>
      <w:marRight w:val="0"/>
      <w:marTop w:val="0"/>
      <w:marBottom w:val="0"/>
      <w:divBdr>
        <w:top w:val="none" w:sz="0" w:space="0" w:color="auto"/>
        <w:left w:val="none" w:sz="0" w:space="0" w:color="auto"/>
        <w:bottom w:val="none" w:sz="0" w:space="0" w:color="auto"/>
        <w:right w:val="none" w:sz="0" w:space="0" w:color="auto"/>
      </w:divBdr>
    </w:div>
    <w:div w:id="405423582">
      <w:bodyDiv w:val="1"/>
      <w:marLeft w:val="0"/>
      <w:marRight w:val="0"/>
      <w:marTop w:val="0"/>
      <w:marBottom w:val="0"/>
      <w:divBdr>
        <w:top w:val="none" w:sz="0" w:space="0" w:color="auto"/>
        <w:left w:val="none" w:sz="0" w:space="0" w:color="auto"/>
        <w:bottom w:val="none" w:sz="0" w:space="0" w:color="auto"/>
        <w:right w:val="none" w:sz="0" w:space="0" w:color="auto"/>
      </w:divBdr>
    </w:div>
    <w:div w:id="405612366">
      <w:bodyDiv w:val="1"/>
      <w:marLeft w:val="0"/>
      <w:marRight w:val="0"/>
      <w:marTop w:val="0"/>
      <w:marBottom w:val="0"/>
      <w:divBdr>
        <w:top w:val="none" w:sz="0" w:space="0" w:color="auto"/>
        <w:left w:val="none" w:sz="0" w:space="0" w:color="auto"/>
        <w:bottom w:val="none" w:sz="0" w:space="0" w:color="auto"/>
        <w:right w:val="none" w:sz="0" w:space="0" w:color="auto"/>
      </w:divBdr>
    </w:div>
    <w:div w:id="405803175">
      <w:bodyDiv w:val="1"/>
      <w:marLeft w:val="0"/>
      <w:marRight w:val="0"/>
      <w:marTop w:val="0"/>
      <w:marBottom w:val="0"/>
      <w:divBdr>
        <w:top w:val="none" w:sz="0" w:space="0" w:color="auto"/>
        <w:left w:val="none" w:sz="0" w:space="0" w:color="auto"/>
        <w:bottom w:val="none" w:sz="0" w:space="0" w:color="auto"/>
        <w:right w:val="none" w:sz="0" w:space="0" w:color="auto"/>
      </w:divBdr>
    </w:div>
    <w:div w:id="406806795">
      <w:bodyDiv w:val="1"/>
      <w:marLeft w:val="0"/>
      <w:marRight w:val="0"/>
      <w:marTop w:val="0"/>
      <w:marBottom w:val="0"/>
      <w:divBdr>
        <w:top w:val="none" w:sz="0" w:space="0" w:color="auto"/>
        <w:left w:val="none" w:sz="0" w:space="0" w:color="auto"/>
        <w:bottom w:val="none" w:sz="0" w:space="0" w:color="auto"/>
        <w:right w:val="none" w:sz="0" w:space="0" w:color="auto"/>
      </w:divBdr>
    </w:div>
    <w:div w:id="408499610">
      <w:bodyDiv w:val="1"/>
      <w:marLeft w:val="0"/>
      <w:marRight w:val="0"/>
      <w:marTop w:val="0"/>
      <w:marBottom w:val="0"/>
      <w:divBdr>
        <w:top w:val="none" w:sz="0" w:space="0" w:color="auto"/>
        <w:left w:val="none" w:sz="0" w:space="0" w:color="auto"/>
        <w:bottom w:val="none" w:sz="0" w:space="0" w:color="auto"/>
        <w:right w:val="none" w:sz="0" w:space="0" w:color="auto"/>
      </w:divBdr>
    </w:div>
    <w:div w:id="411589751">
      <w:bodyDiv w:val="1"/>
      <w:marLeft w:val="0"/>
      <w:marRight w:val="0"/>
      <w:marTop w:val="0"/>
      <w:marBottom w:val="0"/>
      <w:divBdr>
        <w:top w:val="none" w:sz="0" w:space="0" w:color="auto"/>
        <w:left w:val="none" w:sz="0" w:space="0" w:color="auto"/>
        <w:bottom w:val="none" w:sz="0" w:space="0" w:color="auto"/>
        <w:right w:val="none" w:sz="0" w:space="0" w:color="auto"/>
      </w:divBdr>
    </w:div>
    <w:div w:id="414398482">
      <w:bodyDiv w:val="1"/>
      <w:marLeft w:val="0"/>
      <w:marRight w:val="0"/>
      <w:marTop w:val="0"/>
      <w:marBottom w:val="0"/>
      <w:divBdr>
        <w:top w:val="none" w:sz="0" w:space="0" w:color="auto"/>
        <w:left w:val="none" w:sz="0" w:space="0" w:color="auto"/>
        <w:bottom w:val="none" w:sz="0" w:space="0" w:color="auto"/>
        <w:right w:val="none" w:sz="0" w:space="0" w:color="auto"/>
      </w:divBdr>
    </w:div>
    <w:div w:id="416441867">
      <w:bodyDiv w:val="1"/>
      <w:marLeft w:val="0"/>
      <w:marRight w:val="0"/>
      <w:marTop w:val="0"/>
      <w:marBottom w:val="0"/>
      <w:divBdr>
        <w:top w:val="none" w:sz="0" w:space="0" w:color="auto"/>
        <w:left w:val="none" w:sz="0" w:space="0" w:color="auto"/>
        <w:bottom w:val="none" w:sz="0" w:space="0" w:color="auto"/>
        <w:right w:val="none" w:sz="0" w:space="0" w:color="auto"/>
      </w:divBdr>
    </w:div>
    <w:div w:id="417560657">
      <w:bodyDiv w:val="1"/>
      <w:marLeft w:val="0"/>
      <w:marRight w:val="0"/>
      <w:marTop w:val="0"/>
      <w:marBottom w:val="0"/>
      <w:divBdr>
        <w:top w:val="none" w:sz="0" w:space="0" w:color="auto"/>
        <w:left w:val="none" w:sz="0" w:space="0" w:color="auto"/>
        <w:bottom w:val="none" w:sz="0" w:space="0" w:color="auto"/>
        <w:right w:val="none" w:sz="0" w:space="0" w:color="auto"/>
      </w:divBdr>
    </w:div>
    <w:div w:id="417799432">
      <w:bodyDiv w:val="1"/>
      <w:marLeft w:val="0"/>
      <w:marRight w:val="0"/>
      <w:marTop w:val="0"/>
      <w:marBottom w:val="0"/>
      <w:divBdr>
        <w:top w:val="none" w:sz="0" w:space="0" w:color="auto"/>
        <w:left w:val="none" w:sz="0" w:space="0" w:color="auto"/>
        <w:bottom w:val="none" w:sz="0" w:space="0" w:color="auto"/>
        <w:right w:val="none" w:sz="0" w:space="0" w:color="auto"/>
      </w:divBdr>
    </w:div>
    <w:div w:id="419833518">
      <w:bodyDiv w:val="1"/>
      <w:marLeft w:val="0"/>
      <w:marRight w:val="0"/>
      <w:marTop w:val="0"/>
      <w:marBottom w:val="0"/>
      <w:divBdr>
        <w:top w:val="none" w:sz="0" w:space="0" w:color="auto"/>
        <w:left w:val="none" w:sz="0" w:space="0" w:color="auto"/>
        <w:bottom w:val="none" w:sz="0" w:space="0" w:color="auto"/>
        <w:right w:val="none" w:sz="0" w:space="0" w:color="auto"/>
      </w:divBdr>
    </w:div>
    <w:div w:id="420030881">
      <w:bodyDiv w:val="1"/>
      <w:marLeft w:val="0"/>
      <w:marRight w:val="0"/>
      <w:marTop w:val="0"/>
      <w:marBottom w:val="0"/>
      <w:divBdr>
        <w:top w:val="none" w:sz="0" w:space="0" w:color="auto"/>
        <w:left w:val="none" w:sz="0" w:space="0" w:color="auto"/>
        <w:bottom w:val="none" w:sz="0" w:space="0" w:color="auto"/>
        <w:right w:val="none" w:sz="0" w:space="0" w:color="auto"/>
      </w:divBdr>
    </w:div>
    <w:div w:id="423379661">
      <w:bodyDiv w:val="1"/>
      <w:marLeft w:val="0"/>
      <w:marRight w:val="0"/>
      <w:marTop w:val="0"/>
      <w:marBottom w:val="0"/>
      <w:divBdr>
        <w:top w:val="none" w:sz="0" w:space="0" w:color="auto"/>
        <w:left w:val="none" w:sz="0" w:space="0" w:color="auto"/>
        <w:bottom w:val="none" w:sz="0" w:space="0" w:color="auto"/>
        <w:right w:val="none" w:sz="0" w:space="0" w:color="auto"/>
      </w:divBdr>
    </w:div>
    <w:div w:id="423963872">
      <w:bodyDiv w:val="1"/>
      <w:marLeft w:val="0"/>
      <w:marRight w:val="0"/>
      <w:marTop w:val="0"/>
      <w:marBottom w:val="0"/>
      <w:divBdr>
        <w:top w:val="none" w:sz="0" w:space="0" w:color="auto"/>
        <w:left w:val="none" w:sz="0" w:space="0" w:color="auto"/>
        <w:bottom w:val="none" w:sz="0" w:space="0" w:color="auto"/>
        <w:right w:val="none" w:sz="0" w:space="0" w:color="auto"/>
      </w:divBdr>
    </w:div>
    <w:div w:id="424498133">
      <w:bodyDiv w:val="1"/>
      <w:marLeft w:val="0"/>
      <w:marRight w:val="0"/>
      <w:marTop w:val="0"/>
      <w:marBottom w:val="0"/>
      <w:divBdr>
        <w:top w:val="none" w:sz="0" w:space="0" w:color="auto"/>
        <w:left w:val="none" w:sz="0" w:space="0" w:color="auto"/>
        <w:bottom w:val="none" w:sz="0" w:space="0" w:color="auto"/>
        <w:right w:val="none" w:sz="0" w:space="0" w:color="auto"/>
      </w:divBdr>
    </w:div>
    <w:div w:id="425539548">
      <w:bodyDiv w:val="1"/>
      <w:marLeft w:val="0"/>
      <w:marRight w:val="0"/>
      <w:marTop w:val="0"/>
      <w:marBottom w:val="0"/>
      <w:divBdr>
        <w:top w:val="none" w:sz="0" w:space="0" w:color="auto"/>
        <w:left w:val="none" w:sz="0" w:space="0" w:color="auto"/>
        <w:bottom w:val="none" w:sz="0" w:space="0" w:color="auto"/>
        <w:right w:val="none" w:sz="0" w:space="0" w:color="auto"/>
      </w:divBdr>
    </w:div>
    <w:div w:id="426727950">
      <w:bodyDiv w:val="1"/>
      <w:marLeft w:val="0"/>
      <w:marRight w:val="0"/>
      <w:marTop w:val="0"/>
      <w:marBottom w:val="0"/>
      <w:divBdr>
        <w:top w:val="none" w:sz="0" w:space="0" w:color="auto"/>
        <w:left w:val="none" w:sz="0" w:space="0" w:color="auto"/>
        <w:bottom w:val="none" w:sz="0" w:space="0" w:color="auto"/>
        <w:right w:val="none" w:sz="0" w:space="0" w:color="auto"/>
      </w:divBdr>
    </w:div>
    <w:div w:id="427507661">
      <w:bodyDiv w:val="1"/>
      <w:marLeft w:val="0"/>
      <w:marRight w:val="0"/>
      <w:marTop w:val="0"/>
      <w:marBottom w:val="0"/>
      <w:divBdr>
        <w:top w:val="none" w:sz="0" w:space="0" w:color="auto"/>
        <w:left w:val="none" w:sz="0" w:space="0" w:color="auto"/>
        <w:bottom w:val="none" w:sz="0" w:space="0" w:color="auto"/>
        <w:right w:val="none" w:sz="0" w:space="0" w:color="auto"/>
      </w:divBdr>
    </w:div>
    <w:div w:id="428087735">
      <w:bodyDiv w:val="1"/>
      <w:marLeft w:val="0"/>
      <w:marRight w:val="0"/>
      <w:marTop w:val="0"/>
      <w:marBottom w:val="0"/>
      <w:divBdr>
        <w:top w:val="none" w:sz="0" w:space="0" w:color="auto"/>
        <w:left w:val="none" w:sz="0" w:space="0" w:color="auto"/>
        <w:bottom w:val="none" w:sz="0" w:space="0" w:color="auto"/>
        <w:right w:val="none" w:sz="0" w:space="0" w:color="auto"/>
      </w:divBdr>
    </w:div>
    <w:div w:id="429082480">
      <w:bodyDiv w:val="1"/>
      <w:marLeft w:val="0"/>
      <w:marRight w:val="0"/>
      <w:marTop w:val="0"/>
      <w:marBottom w:val="0"/>
      <w:divBdr>
        <w:top w:val="none" w:sz="0" w:space="0" w:color="auto"/>
        <w:left w:val="none" w:sz="0" w:space="0" w:color="auto"/>
        <w:bottom w:val="none" w:sz="0" w:space="0" w:color="auto"/>
        <w:right w:val="none" w:sz="0" w:space="0" w:color="auto"/>
      </w:divBdr>
      <w:divsChild>
        <w:div w:id="349455544">
          <w:marLeft w:val="0"/>
          <w:marRight w:val="0"/>
          <w:marTop w:val="0"/>
          <w:marBottom w:val="0"/>
          <w:divBdr>
            <w:top w:val="none" w:sz="0" w:space="0" w:color="auto"/>
            <w:left w:val="none" w:sz="0" w:space="0" w:color="auto"/>
            <w:bottom w:val="none" w:sz="0" w:space="0" w:color="auto"/>
            <w:right w:val="none" w:sz="0" w:space="0" w:color="auto"/>
          </w:divBdr>
          <w:divsChild>
            <w:div w:id="146292230">
              <w:marLeft w:val="0"/>
              <w:marRight w:val="0"/>
              <w:marTop w:val="0"/>
              <w:marBottom w:val="300"/>
              <w:divBdr>
                <w:top w:val="none" w:sz="0" w:space="0" w:color="auto"/>
                <w:left w:val="none" w:sz="0" w:space="0" w:color="auto"/>
                <w:bottom w:val="none" w:sz="0" w:space="0" w:color="auto"/>
                <w:right w:val="none" w:sz="0" w:space="0" w:color="auto"/>
              </w:divBdr>
              <w:divsChild>
                <w:div w:id="416559633">
                  <w:marLeft w:val="0"/>
                  <w:marRight w:val="0"/>
                  <w:marTop w:val="0"/>
                  <w:marBottom w:val="0"/>
                  <w:divBdr>
                    <w:top w:val="none" w:sz="0" w:space="0" w:color="auto"/>
                    <w:left w:val="none" w:sz="0" w:space="0" w:color="auto"/>
                    <w:bottom w:val="none" w:sz="0" w:space="0" w:color="auto"/>
                    <w:right w:val="none" w:sz="0" w:space="0" w:color="auto"/>
                  </w:divBdr>
                  <w:divsChild>
                    <w:div w:id="1658879474">
                      <w:marLeft w:val="0"/>
                      <w:marRight w:val="0"/>
                      <w:marTop w:val="0"/>
                      <w:marBottom w:val="0"/>
                      <w:divBdr>
                        <w:top w:val="none" w:sz="0" w:space="0" w:color="DDDDDD"/>
                        <w:left w:val="none" w:sz="0" w:space="0" w:color="DDDDDD"/>
                        <w:bottom w:val="none" w:sz="0" w:space="0" w:color="auto"/>
                        <w:right w:val="none" w:sz="0" w:space="0" w:color="DDDDDD"/>
                      </w:divBdr>
                    </w:div>
                    <w:div w:id="1391537503">
                      <w:marLeft w:val="0"/>
                      <w:marRight w:val="0"/>
                      <w:marTop w:val="0"/>
                      <w:marBottom w:val="0"/>
                      <w:divBdr>
                        <w:top w:val="none" w:sz="0" w:space="0" w:color="auto"/>
                        <w:left w:val="none" w:sz="0" w:space="0" w:color="auto"/>
                        <w:bottom w:val="none" w:sz="0" w:space="0" w:color="auto"/>
                        <w:right w:val="none" w:sz="0" w:space="0" w:color="auto"/>
                      </w:divBdr>
                      <w:divsChild>
                        <w:div w:id="3810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11103">
                  <w:marLeft w:val="0"/>
                  <w:marRight w:val="0"/>
                  <w:marTop w:val="30"/>
                  <w:marBottom w:val="0"/>
                  <w:divBdr>
                    <w:top w:val="none" w:sz="0" w:space="0" w:color="auto"/>
                    <w:left w:val="none" w:sz="0" w:space="0" w:color="auto"/>
                    <w:bottom w:val="none" w:sz="0" w:space="0" w:color="auto"/>
                    <w:right w:val="none" w:sz="0" w:space="0" w:color="auto"/>
                  </w:divBdr>
                  <w:divsChild>
                    <w:div w:id="1018853602">
                      <w:marLeft w:val="0"/>
                      <w:marRight w:val="0"/>
                      <w:marTop w:val="0"/>
                      <w:marBottom w:val="0"/>
                      <w:divBdr>
                        <w:top w:val="none" w:sz="0" w:space="0" w:color="DDDDDD"/>
                        <w:left w:val="none" w:sz="0" w:space="0" w:color="DDDDDD"/>
                        <w:bottom w:val="none" w:sz="0" w:space="0" w:color="auto"/>
                        <w:right w:val="none" w:sz="0" w:space="0" w:color="DDDDDD"/>
                      </w:divBdr>
                    </w:div>
                  </w:divsChild>
                </w:div>
                <w:div w:id="380061490">
                  <w:marLeft w:val="0"/>
                  <w:marRight w:val="0"/>
                  <w:marTop w:val="30"/>
                  <w:marBottom w:val="0"/>
                  <w:divBdr>
                    <w:top w:val="none" w:sz="0" w:space="0" w:color="auto"/>
                    <w:left w:val="none" w:sz="0" w:space="0" w:color="auto"/>
                    <w:bottom w:val="none" w:sz="0" w:space="0" w:color="auto"/>
                    <w:right w:val="none" w:sz="0" w:space="0" w:color="auto"/>
                  </w:divBdr>
                  <w:divsChild>
                    <w:div w:id="1727488508">
                      <w:marLeft w:val="0"/>
                      <w:marRight w:val="0"/>
                      <w:marTop w:val="0"/>
                      <w:marBottom w:val="0"/>
                      <w:divBdr>
                        <w:top w:val="none" w:sz="0" w:space="0" w:color="DDDDDD"/>
                        <w:left w:val="none" w:sz="0" w:space="0" w:color="DDDDDD"/>
                        <w:bottom w:val="none" w:sz="0" w:space="0" w:color="auto"/>
                        <w:right w:val="none" w:sz="0" w:space="0" w:color="DDDDDD"/>
                      </w:divBdr>
                    </w:div>
                  </w:divsChild>
                </w:div>
                <w:div w:id="494997758">
                  <w:marLeft w:val="0"/>
                  <w:marRight w:val="0"/>
                  <w:marTop w:val="30"/>
                  <w:marBottom w:val="0"/>
                  <w:divBdr>
                    <w:top w:val="none" w:sz="0" w:space="0" w:color="auto"/>
                    <w:left w:val="none" w:sz="0" w:space="0" w:color="auto"/>
                    <w:bottom w:val="none" w:sz="0" w:space="0" w:color="auto"/>
                    <w:right w:val="none" w:sz="0" w:space="0" w:color="auto"/>
                  </w:divBdr>
                  <w:divsChild>
                    <w:div w:id="1566643225">
                      <w:marLeft w:val="0"/>
                      <w:marRight w:val="0"/>
                      <w:marTop w:val="0"/>
                      <w:marBottom w:val="0"/>
                      <w:divBdr>
                        <w:top w:val="none" w:sz="0" w:space="0" w:color="DDDDDD"/>
                        <w:left w:val="none" w:sz="0" w:space="0" w:color="DDDDDD"/>
                        <w:bottom w:val="none" w:sz="0" w:space="0" w:color="auto"/>
                        <w:right w:val="none" w:sz="0" w:space="0" w:color="DDDDDD"/>
                      </w:divBdr>
                    </w:div>
                  </w:divsChild>
                </w:div>
                <w:div w:id="86343345">
                  <w:marLeft w:val="0"/>
                  <w:marRight w:val="0"/>
                  <w:marTop w:val="30"/>
                  <w:marBottom w:val="0"/>
                  <w:divBdr>
                    <w:top w:val="none" w:sz="0" w:space="0" w:color="auto"/>
                    <w:left w:val="none" w:sz="0" w:space="0" w:color="auto"/>
                    <w:bottom w:val="none" w:sz="0" w:space="0" w:color="auto"/>
                    <w:right w:val="none" w:sz="0" w:space="0" w:color="auto"/>
                  </w:divBdr>
                  <w:divsChild>
                    <w:div w:id="1933737289">
                      <w:marLeft w:val="0"/>
                      <w:marRight w:val="0"/>
                      <w:marTop w:val="0"/>
                      <w:marBottom w:val="0"/>
                      <w:divBdr>
                        <w:top w:val="none" w:sz="0" w:space="0" w:color="DDDDDD"/>
                        <w:left w:val="none" w:sz="0" w:space="0" w:color="DDDDDD"/>
                        <w:bottom w:val="none" w:sz="0" w:space="0" w:color="auto"/>
                        <w:right w:val="none" w:sz="0" w:space="0" w:color="DDDDDD"/>
                      </w:divBdr>
                    </w:div>
                  </w:divsChild>
                </w:div>
                <w:div w:id="1067188403">
                  <w:marLeft w:val="0"/>
                  <w:marRight w:val="0"/>
                  <w:marTop w:val="30"/>
                  <w:marBottom w:val="0"/>
                  <w:divBdr>
                    <w:top w:val="none" w:sz="0" w:space="0" w:color="auto"/>
                    <w:left w:val="none" w:sz="0" w:space="0" w:color="auto"/>
                    <w:bottom w:val="none" w:sz="0" w:space="0" w:color="auto"/>
                    <w:right w:val="none" w:sz="0" w:space="0" w:color="auto"/>
                  </w:divBdr>
                  <w:divsChild>
                    <w:div w:id="2146465859">
                      <w:marLeft w:val="0"/>
                      <w:marRight w:val="0"/>
                      <w:marTop w:val="0"/>
                      <w:marBottom w:val="0"/>
                      <w:divBdr>
                        <w:top w:val="none" w:sz="0" w:space="0" w:color="DDDDDD"/>
                        <w:left w:val="none" w:sz="0" w:space="0" w:color="DDDDDD"/>
                        <w:bottom w:val="none" w:sz="0" w:space="0" w:color="auto"/>
                        <w:right w:val="none" w:sz="0" w:space="0" w:color="DDDDDD"/>
                      </w:divBdr>
                    </w:div>
                  </w:divsChild>
                </w:div>
                <w:div w:id="146242282">
                  <w:marLeft w:val="0"/>
                  <w:marRight w:val="0"/>
                  <w:marTop w:val="30"/>
                  <w:marBottom w:val="0"/>
                  <w:divBdr>
                    <w:top w:val="none" w:sz="0" w:space="0" w:color="auto"/>
                    <w:left w:val="none" w:sz="0" w:space="0" w:color="auto"/>
                    <w:bottom w:val="none" w:sz="0" w:space="0" w:color="auto"/>
                    <w:right w:val="none" w:sz="0" w:space="0" w:color="auto"/>
                  </w:divBdr>
                  <w:divsChild>
                    <w:div w:id="1344284351">
                      <w:marLeft w:val="0"/>
                      <w:marRight w:val="0"/>
                      <w:marTop w:val="0"/>
                      <w:marBottom w:val="0"/>
                      <w:divBdr>
                        <w:top w:val="none" w:sz="0" w:space="0" w:color="DDDDDD"/>
                        <w:left w:val="none" w:sz="0" w:space="0" w:color="DDDDDD"/>
                        <w:bottom w:val="none" w:sz="0" w:space="0" w:color="auto"/>
                        <w:right w:val="none" w:sz="0" w:space="0" w:color="DDDDDD"/>
                      </w:divBdr>
                    </w:div>
                  </w:divsChild>
                </w:div>
                <w:div w:id="211581667">
                  <w:marLeft w:val="0"/>
                  <w:marRight w:val="0"/>
                  <w:marTop w:val="30"/>
                  <w:marBottom w:val="0"/>
                  <w:divBdr>
                    <w:top w:val="none" w:sz="0" w:space="0" w:color="auto"/>
                    <w:left w:val="none" w:sz="0" w:space="0" w:color="auto"/>
                    <w:bottom w:val="none" w:sz="0" w:space="0" w:color="auto"/>
                    <w:right w:val="none" w:sz="0" w:space="0" w:color="auto"/>
                  </w:divBdr>
                  <w:divsChild>
                    <w:div w:id="485512005">
                      <w:marLeft w:val="0"/>
                      <w:marRight w:val="0"/>
                      <w:marTop w:val="0"/>
                      <w:marBottom w:val="0"/>
                      <w:divBdr>
                        <w:top w:val="none" w:sz="0" w:space="0" w:color="DDDDDD"/>
                        <w:left w:val="none" w:sz="0" w:space="0" w:color="DDDDDD"/>
                        <w:bottom w:val="none" w:sz="0" w:space="0" w:color="auto"/>
                        <w:right w:val="none" w:sz="0" w:space="0" w:color="DDDDDD"/>
                      </w:divBdr>
                    </w:div>
                  </w:divsChild>
                </w:div>
                <w:div w:id="1030377187">
                  <w:marLeft w:val="0"/>
                  <w:marRight w:val="0"/>
                  <w:marTop w:val="30"/>
                  <w:marBottom w:val="0"/>
                  <w:divBdr>
                    <w:top w:val="none" w:sz="0" w:space="0" w:color="auto"/>
                    <w:left w:val="none" w:sz="0" w:space="0" w:color="auto"/>
                    <w:bottom w:val="none" w:sz="0" w:space="0" w:color="auto"/>
                    <w:right w:val="none" w:sz="0" w:space="0" w:color="auto"/>
                  </w:divBdr>
                  <w:divsChild>
                    <w:div w:id="267130216">
                      <w:marLeft w:val="0"/>
                      <w:marRight w:val="0"/>
                      <w:marTop w:val="0"/>
                      <w:marBottom w:val="0"/>
                      <w:divBdr>
                        <w:top w:val="none" w:sz="0" w:space="0" w:color="DDDDDD"/>
                        <w:left w:val="none" w:sz="0" w:space="0" w:color="DDDDDD"/>
                        <w:bottom w:val="none" w:sz="0" w:space="0" w:color="auto"/>
                        <w:right w:val="none" w:sz="0" w:space="0" w:color="DDDDDD"/>
                      </w:divBdr>
                    </w:div>
                  </w:divsChild>
                </w:div>
                <w:div w:id="224680118">
                  <w:marLeft w:val="0"/>
                  <w:marRight w:val="0"/>
                  <w:marTop w:val="30"/>
                  <w:marBottom w:val="0"/>
                  <w:divBdr>
                    <w:top w:val="none" w:sz="0" w:space="0" w:color="auto"/>
                    <w:left w:val="none" w:sz="0" w:space="0" w:color="auto"/>
                    <w:bottom w:val="none" w:sz="0" w:space="0" w:color="auto"/>
                    <w:right w:val="none" w:sz="0" w:space="0" w:color="auto"/>
                  </w:divBdr>
                  <w:divsChild>
                    <w:div w:id="2100834047">
                      <w:marLeft w:val="0"/>
                      <w:marRight w:val="0"/>
                      <w:marTop w:val="0"/>
                      <w:marBottom w:val="0"/>
                      <w:divBdr>
                        <w:top w:val="none" w:sz="0" w:space="0" w:color="DDDDDD"/>
                        <w:left w:val="none" w:sz="0" w:space="0" w:color="DDDDDD"/>
                        <w:bottom w:val="none" w:sz="0" w:space="0" w:color="auto"/>
                        <w:right w:val="none" w:sz="0" w:space="0" w:color="DDDDDD"/>
                      </w:divBdr>
                    </w:div>
                  </w:divsChild>
                </w:div>
                <w:div w:id="12077880">
                  <w:marLeft w:val="0"/>
                  <w:marRight w:val="0"/>
                  <w:marTop w:val="30"/>
                  <w:marBottom w:val="0"/>
                  <w:divBdr>
                    <w:top w:val="none" w:sz="0" w:space="0" w:color="auto"/>
                    <w:left w:val="none" w:sz="0" w:space="0" w:color="auto"/>
                    <w:bottom w:val="none" w:sz="0" w:space="0" w:color="auto"/>
                    <w:right w:val="none" w:sz="0" w:space="0" w:color="auto"/>
                  </w:divBdr>
                  <w:divsChild>
                    <w:div w:id="1679232865">
                      <w:marLeft w:val="0"/>
                      <w:marRight w:val="0"/>
                      <w:marTop w:val="0"/>
                      <w:marBottom w:val="0"/>
                      <w:divBdr>
                        <w:top w:val="none" w:sz="0" w:space="0" w:color="DDDDDD"/>
                        <w:left w:val="none" w:sz="0" w:space="0" w:color="DDDDDD"/>
                        <w:bottom w:val="none" w:sz="0" w:space="0" w:color="auto"/>
                        <w:right w:val="none" w:sz="0" w:space="0" w:color="DDDDDD"/>
                      </w:divBdr>
                    </w:div>
                  </w:divsChild>
                </w:div>
                <w:div w:id="175733605">
                  <w:marLeft w:val="0"/>
                  <w:marRight w:val="0"/>
                  <w:marTop w:val="30"/>
                  <w:marBottom w:val="0"/>
                  <w:divBdr>
                    <w:top w:val="none" w:sz="0" w:space="0" w:color="auto"/>
                    <w:left w:val="none" w:sz="0" w:space="0" w:color="auto"/>
                    <w:bottom w:val="none" w:sz="0" w:space="0" w:color="auto"/>
                    <w:right w:val="none" w:sz="0" w:space="0" w:color="auto"/>
                  </w:divBdr>
                  <w:divsChild>
                    <w:div w:id="785848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5253851">
          <w:marLeft w:val="0"/>
          <w:marRight w:val="0"/>
          <w:marTop w:val="0"/>
          <w:marBottom w:val="0"/>
          <w:divBdr>
            <w:top w:val="none" w:sz="0" w:space="0" w:color="auto"/>
            <w:left w:val="none" w:sz="0" w:space="0" w:color="auto"/>
            <w:bottom w:val="none" w:sz="0" w:space="0" w:color="auto"/>
            <w:right w:val="none" w:sz="0" w:space="0" w:color="auto"/>
          </w:divBdr>
          <w:divsChild>
            <w:div w:id="113331187">
              <w:marLeft w:val="0"/>
              <w:marRight w:val="0"/>
              <w:marTop w:val="0"/>
              <w:marBottom w:val="300"/>
              <w:divBdr>
                <w:top w:val="single" w:sz="6" w:space="0" w:color="DDDDDD"/>
                <w:left w:val="single" w:sz="6" w:space="0" w:color="DDDDDD"/>
                <w:bottom w:val="single" w:sz="6" w:space="0" w:color="DDDDDD"/>
                <w:right w:val="single" w:sz="6" w:space="0" w:color="DDDDDD"/>
              </w:divBdr>
              <w:divsChild>
                <w:div w:id="1371496643">
                  <w:marLeft w:val="0"/>
                  <w:marRight w:val="0"/>
                  <w:marTop w:val="0"/>
                  <w:marBottom w:val="0"/>
                  <w:divBdr>
                    <w:top w:val="none" w:sz="0" w:space="0" w:color="DDDDDD"/>
                    <w:left w:val="none" w:sz="0" w:space="0" w:color="DDDDDD"/>
                    <w:bottom w:val="single" w:sz="6" w:space="0" w:color="DDDDDD"/>
                    <w:right w:val="none" w:sz="0" w:space="0" w:color="DDDDDD"/>
                  </w:divBdr>
                </w:div>
                <w:div w:id="1734962941">
                  <w:marLeft w:val="0"/>
                  <w:marRight w:val="0"/>
                  <w:marTop w:val="0"/>
                  <w:marBottom w:val="0"/>
                  <w:divBdr>
                    <w:top w:val="none" w:sz="0" w:space="0" w:color="auto"/>
                    <w:left w:val="none" w:sz="0" w:space="0" w:color="auto"/>
                    <w:bottom w:val="none" w:sz="0" w:space="0" w:color="auto"/>
                    <w:right w:val="none" w:sz="0" w:space="0" w:color="auto"/>
                  </w:divBdr>
                  <w:divsChild>
                    <w:div w:id="12764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8639">
              <w:marLeft w:val="0"/>
              <w:marRight w:val="0"/>
              <w:marTop w:val="0"/>
              <w:marBottom w:val="300"/>
              <w:divBdr>
                <w:top w:val="single" w:sz="6" w:space="0" w:color="DDDDDD"/>
                <w:left w:val="single" w:sz="6" w:space="0" w:color="DDDDDD"/>
                <w:bottom w:val="single" w:sz="6" w:space="0" w:color="DDDDDD"/>
                <w:right w:val="single" w:sz="6" w:space="0" w:color="DDDDDD"/>
              </w:divBdr>
              <w:divsChild>
                <w:div w:id="1103497787">
                  <w:marLeft w:val="0"/>
                  <w:marRight w:val="0"/>
                  <w:marTop w:val="0"/>
                  <w:marBottom w:val="0"/>
                  <w:divBdr>
                    <w:top w:val="none" w:sz="0" w:space="0" w:color="DDDDDD"/>
                    <w:left w:val="none" w:sz="0" w:space="0" w:color="DDDDDD"/>
                    <w:bottom w:val="single" w:sz="6" w:space="0" w:color="DDDDDD"/>
                    <w:right w:val="none" w:sz="0" w:space="0" w:color="DDDDDD"/>
                  </w:divBdr>
                </w:div>
              </w:divsChild>
            </w:div>
            <w:div w:id="1743478420">
              <w:marLeft w:val="0"/>
              <w:marRight w:val="0"/>
              <w:marTop w:val="0"/>
              <w:marBottom w:val="300"/>
              <w:divBdr>
                <w:top w:val="single" w:sz="6" w:space="0" w:color="DDDDDD"/>
                <w:left w:val="single" w:sz="6" w:space="0" w:color="DDDDDD"/>
                <w:bottom w:val="single" w:sz="6" w:space="0" w:color="DDDDDD"/>
                <w:right w:val="single" w:sz="6" w:space="0" w:color="DDDDDD"/>
              </w:divBdr>
              <w:divsChild>
                <w:div w:id="1535390142">
                  <w:marLeft w:val="0"/>
                  <w:marRight w:val="0"/>
                  <w:marTop w:val="0"/>
                  <w:marBottom w:val="0"/>
                  <w:divBdr>
                    <w:top w:val="none" w:sz="0" w:space="0" w:color="DDDDDD"/>
                    <w:left w:val="none" w:sz="0" w:space="0" w:color="DDDDDD"/>
                    <w:bottom w:val="single" w:sz="6" w:space="0" w:color="DDDDDD"/>
                    <w:right w:val="none" w:sz="0" w:space="0" w:color="DDDDDD"/>
                  </w:divBdr>
                </w:div>
              </w:divsChild>
            </w:div>
            <w:div w:id="1620605332">
              <w:marLeft w:val="0"/>
              <w:marRight w:val="0"/>
              <w:marTop w:val="0"/>
              <w:marBottom w:val="300"/>
              <w:divBdr>
                <w:top w:val="single" w:sz="6" w:space="0" w:color="DDDDDD"/>
                <w:left w:val="single" w:sz="6" w:space="0" w:color="DDDDDD"/>
                <w:bottom w:val="single" w:sz="6" w:space="0" w:color="DDDDDD"/>
                <w:right w:val="single" w:sz="6" w:space="0" w:color="DDDDDD"/>
              </w:divBdr>
              <w:divsChild>
                <w:div w:id="1812399303">
                  <w:marLeft w:val="0"/>
                  <w:marRight w:val="0"/>
                  <w:marTop w:val="0"/>
                  <w:marBottom w:val="0"/>
                  <w:divBdr>
                    <w:top w:val="none" w:sz="0" w:space="0" w:color="DDDDDD"/>
                    <w:left w:val="none" w:sz="0" w:space="0" w:color="DDDDDD"/>
                    <w:bottom w:val="single" w:sz="6" w:space="0" w:color="DDDDDD"/>
                    <w:right w:val="none" w:sz="0" w:space="0" w:color="DDDDDD"/>
                  </w:divBdr>
                </w:div>
              </w:divsChild>
            </w:div>
            <w:div w:id="1395734683">
              <w:marLeft w:val="0"/>
              <w:marRight w:val="0"/>
              <w:marTop w:val="0"/>
              <w:marBottom w:val="300"/>
              <w:divBdr>
                <w:top w:val="single" w:sz="6" w:space="0" w:color="DDDDDD"/>
                <w:left w:val="single" w:sz="6" w:space="0" w:color="DDDDDD"/>
                <w:bottom w:val="single" w:sz="6" w:space="0" w:color="DDDDDD"/>
                <w:right w:val="single" w:sz="6" w:space="0" w:color="DDDDDD"/>
              </w:divBdr>
              <w:divsChild>
                <w:div w:id="1368870533">
                  <w:marLeft w:val="0"/>
                  <w:marRight w:val="0"/>
                  <w:marTop w:val="0"/>
                  <w:marBottom w:val="0"/>
                  <w:divBdr>
                    <w:top w:val="none" w:sz="0" w:space="0" w:color="DDDDDD"/>
                    <w:left w:val="none" w:sz="0" w:space="0" w:color="DDDDDD"/>
                    <w:bottom w:val="single" w:sz="6" w:space="0" w:color="DDDDDD"/>
                    <w:right w:val="none" w:sz="0" w:space="0" w:color="DDDDDD"/>
                  </w:divBdr>
                </w:div>
              </w:divsChild>
            </w:div>
            <w:div w:id="1778283076">
              <w:marLeft w:val="0"/>
              <w:marRight w:val="0"/>
              <w:marTop w:val="0"/>
              <w:marBottom w:val="300"/>
              <w:divBdr>
                <w:top w:val="single" w:sz="6" w:space="0" w:color="DDDDDD"/>
                <w:left w:val="single" w:sz="6" w:space="0" w:color="DDDDDD"/>
                <w:bottom w:val="single" w:sz="6" w:space="0" w:color="DDDDDD"/>
                <w:right w:val="single" w:sz="6" w:space="0" w:color="DDDDDD"/>
              </w:divBdr>
              <w:divsChild>
                <w:div w:id="781340844">
                  <w:marLeft w:val="0"/>
                  <w:marRight w:val="0"/>
                  <w:marTop w:val="0"/>
                  <w:marBottom w:val="0"/>
                  <w:divBdr>
                    <w:top w:val="none" w:sz="0" w:space="0" w:color="DDDDDD"/>
                    <w:left w:val="none" w:sz="0" w:space="0" w:color="DDDDDD"/>
                    <w:bottom w:val="single" w:sz="6" w:space="0" w:color="DDDDDD"/>
                    <w:right w:val="none" w:sz="0" w:space="0" w:color="DDDDDD"/>
                  </w:divBdr>
                </w:div>
              </w:divsChild>
            </w:div>
            <w:div w:id="97457845">
              <w:marLeft w:val="0"/>
              <w:marRight w:val="0"/>
              <w:marTop w:val="0"/>
              <w:marBottom w:val="300"/>
              <w:divBdr>
                <w:top w:val="single" w:sz="6" w:space="0" w:color="DDDDDD"/>
                <w:left w:val="single" w:sz="6" w:space="0" w:color="DDDDDD"/>
                <w:bottom w:val="single" w:sz="6" w:space="0" w:color="DDDDDD"/>
                <w:right w:val="single" w:sz="6" w:space="0" w:color="DDDDDD"/>
              </w:divBdr>
              <w:divsChild>
                <w:div w:id="1132021435">
                  <w:marLeft w:val="0"/>
                  <w:marRight w:val="0"/>
                  <w:marTop w:val="0"/>
                  <w:marBottom w:val="0"/>
                  <w:divBdr>
                    <w:top w:val="none" w:sz="0" w:space="0" w:color="DDDDDD"/>
                    <w:left w:val="none" w:sz="0" w:space="0" w:color="DDDDDD"/>
                    <w:bottom w:val="single" w:sz="6" w:space="0" w:color="DDDDDD"/>
                    <w:right w:val="none" w:sz="0" w:space="0" w:color="DDDDDD"/>
                  </w:divBdr>
                </w:div>
              </w:divsChild>
            </w:div>
            <w:div w:id="1848863876">
              <w:marLeft w:val="0"/>
              <w:marRight w:val="0"/>
              <w:marTop w:val="0"/>
              <w:marBottom w:val="300"/>
              <w:divBdr>
                <w:top w:val="single" w:sz="6" w:space="0" w:color="DDDDDD"/>
                <w:left w:val="single" w:sz="6" w:space="0" w:color="DDDDDD"/>
                <w:bottom w:val="single" w:sz="6" w:space="0" w:color="DDDDDD"/>
                <w:right w:val="single" w:sz="6" w:space="0" w:color="DDDDDD"/>
              </w:divBdr>
              <w:divsChild>
                <w:div w:id="898710211">
                  <w:marLeft w:val="0"/>
                  <w:marRight w:val="0"/>
                  <w:marTop w:val="0"/>
                  <w:marBottom w:val="0"/>
                  <w:divBdr>
                    <w:top w:val="none" w:sz="0" w:space="0" w:color="DDDDDD"/>
                    <w:left w:val="none" w:sz="0" w:space="0" w:color="DDDDDD"/>
                    <w:bottom w:val="single" w:sz="6" w:space="0" w:color="DDDDDD"/>
                    <w:right w:val="none" w:sz="0" w:space="0" w:color="DDDDDD"/>
                  </w:divBdr>
                </w:div>
              </w:divsChild>
            </w:div>
            <w:div w:id="896941996">
              <w:marLeft w:val="0"/>
              <w:marRight w:val="0"/>
              <w:marTop w:val="0"/>
              <w:marBottom w:val="300"/>
              <w:divBdr>
                <w:top w:val="single" w:sz="6" w:space="0" w:color="DDDDDD"/>
                <w:left w:val="single" w:sz="6" w:space="0" w:color="DDDDDD"/>
                <w:bottom w:val="single" w:sz="6" w:space="0" w:color="DDDDDD"/>
                <w:right w:val="single" w:sz="6" w:space="0" w:color="DDDDDD"/>
              </w:divBdr>
              <w:divsChild>
                <w:div w:id="567880144">
                  <w:marLeft w:val="0"/>
                  <w:marRight w:val="0"/>
                  <w:marTop w:val="0"/>
                  <w:marBottom w:val="0"/>
                  <w:divBdr>
                    <w:top w:val="none" w:sz="0" w:space="0" w:color="DDDDDD"/>
                    <w:left w:val="none" w:sz="0" w:space="0" w:color="DDDDDD"/>
                    <w:bottom w:val="single" w:sz="6" w:space="0" w:color="DDDDDD"/>
                    <w:right w:val="none" w:sz="0" w:space="0" w:color="DDDDDD"/>
                  </w:divBdr>
                </w:div>
              </w:divsChild>
            </w:div>
            <w:div w:id="94058450">
              <w:marLeft w:val="0"/>
              <w:marRight w:val="0"/>
              <w:marTop w:val="0"/>
              <w:marBottom w:val="300"/>
              <w:divBdr>
                <w:top w:val="single" w:sz="6" w:space="0" w:color="DDDDDD"/>
                <w:left w:val="single" w:sz="6" w:space="0" w:color="DDDDDD"/>
                <w:bottom w:val="single" w:sz="6" w:space="0" w:color="DDDDDD"/>
                <w:right w:val="single" w:sz="6" w:space="0" w:color="DDDDDD"/>
              </w:divBdr>
              <w:divsChild>
                <w:div w:id="1072702797">
                  <w:marLeft w:val="0"/>
                  <w:marRight w:val="0"/>
                  <w:marTop w:val="0"/>
                  <w:marBottom w:val="0"/>
                  <w:divBdr>
                    <w:top w:val="none" w:sz="0" w:space="0" w:color="DDDDDD"/>
                    <w:left w:val="none" w:sz="0" w:space="0" w:color="DDDDDD"/>
                    <w:bottom w:val="single" w:sz="6" w:space="0" w:color="DDDDDD"/>
                    <w:right w:val="none" w:sz="0" w:space="0" w:color="DDDDDD"/>
                  </w:divBdr>
                </w:div>
              </w:divsChild>
            </w:div>
            <w:div w:id="105513262">
              <w:marLeft w:val="0"/>
              <w:marRight w:val="0"/>
              <w:marTop w:val="0"/>
              <w:marBottom w:val="300"/>
              <w:divBdr>
                <w:top w:val="single" w:sz="6" w:space="0" w:color="DDDDDD"/>
                <w:left w:val="single" w:sz="6" w:space="0" w:color="DDDDDD"/>
                <w:bottom w:val="single" w:sz="6" w:space="0" w:color="DDDDDD"/>
                <w:right w:val="single" w:sz="6" w:space="0" w:color="DDDDDD"/>
              </w:divBdr>
              <w:divsChild>
                <w:div w:id="2105225953">
                  <w:marLeft w:val="0"/>
                  <w:marRight w:val="0"/>
                  <w:marTop w:val="0"/>
                  <w:marBottom w:val="0"/>
                  <w:divBdr>
                    <w:top w:val="none" w:sz="0" w:space="0" w:color="DDDDDD"/>
                    <w:left w:val="none" w:sz="0" w:space="0" w:color="DDDDDD"/>
                    <w:bottom w:val="single" w:sz="6" w:space="0" w:color="DDDDDD"/>
                    <w:right w:val="none" w:sz="0" w:space="0" w:color="DDDDDD"/>
                  </w:divBdr>
                </w:div>
              </w:divsChild>
            </w:div>
            <w:div w:id="1358578643">
              <w:marLeft w:val="0"/>
              <w:marRight w:val="0"/>
              <w:marTop w:val="0"/>
              <w:marBottom w:val="300"/>
              <w:divBdr>
                <w:top w:val="single" w:sz="6" w:space="0" w:color="DDDDDD"/>
                <w:left w:val="single" w:sz="6" w:space="0" w:color="DDDDDD"/>
                <w:bottom w:val="single" w:sz="6" w:space="0" w:color="DDDDDD"/>
                <w:right w:val="single" w:sz="6" w:space="0" w:color="DDDDDD"/>
              </w:divBdr>
              <w:divsChild>
                <w:div w:id="1071317785">
                  <w:marLeft w:val="0"/>
                  <w:marRight w:val="0"/>
                  <w:marTop w:val="0"/>
                  <w:marBottom w:val="0"/>
                  <w:divBdr>
                    <w:top w:val="none" w:sz="0" w:space="0" w:color="DDDDDD"/>
                    <w:left w:val="none" w:sz="0" w:space="0" w:color="DDDDDD"/>
                    <w:bottom w:val="single" w:sz="6" w:space="0" w:color="DDDDDD"/>
                    <w:right w:val="none" w:sz="0" w:space="0" w:color="DDDDDD"/>
                  </w:divBdr>
                </w:div>
              </w:divsChild>
            </w:div>
          </w:divsChild>
        </w:div>
      </w:divsChild>
    </w:div>
    <w:div w:id="430274493">
      <w:bodyDiv w:val="1"/>
      <w:marLeft w:val="0"/>
      <w:marRight w:val="0"/>
      <w:marTop w:val="0"/>
      <w:marBottom w:val="0"/>
      <w:divBdr>
        <w:top w:val="none" w:sz="0" w:space="0" w:color="auto"/>
        <w:left w:val="none" w:sz="0" w:space="0" w:color="auto"/>
        <w:bottom w:val="none" w:sz="0" w:space="0" w:color="auto"/>
        <w:right w:val="none" w:sz="0" w:space="0" w:color="auto"/>
      </w:divBdr>
    </w:div>
    <w:div w:id="431900620">
      <w:bodyDiv w:val="1"/>
      <w:marLeft w:val="0"/>
      <w:marRight w:val="0"/>
      <w:marTop w:val="0"/>
      <w:marBottom w:val="0"/>
      <w:divBdr>
        <w:top w:val="none" w:sz="0" w:space="0" w:color="auto"/>
        <w:left w:val="none" w:sz="0" w:space="0" w:color="auto"/>
        <w:bottom w:val="none" w:sz="0" w:space="0" w:color="auto"/>
        <w:right w:val="none" w:sz="0" w:space="0" w:color="auto"/>
      </w:divBdr>
    </w:div>
    <w:div w:id="433406248">
      <w:bodyDiv w:val="1"/>
      <w:marLeft w:val="0"/>
      <w:marRight w:val="0"/>
      <w:marTop w:val="0"/>
      <w:marBottom w:val="0"/>
      <w:divBdr>
        <w:top w:val="none" w:sz="0" w:space="0" w:color="auto"/>
        <w:left w:val="none" w:sz="0" w:space="0" w:color="auto"/>
        <w:bottom w:val="none" w:sz="0" w:space="0" w:color="auto"/>
        <w:right w:val="none" w:sz="0" w:space="0" w:color="auto"/>
      </w:divBdr>
    </w:div>
    <w:div w:id="433592093">
      <w:bodyDiv w:val="1"/>
      <w:marLeft w:val="0"/>
      <w:marRight w:val="0"/>
      <w:marTop w:val="0"/>
      <w:marBottom w:val="0"/>
      <w:divBdr>
        <w:top w:val="none" w:sz="0" w:space="0" w:color="auto"/>
        <w:left w:val="none" w:sz="0" w:space="0" w:color="auto"/>
        <w:bottom w:val="none" w:sz="0" w:space="0" w:color="auto"/>
        <w:right w:val="none" w:sz="0" w:space="0" w:color="auto"/>
      </w:divBdr>
    </w:div>
    <w:div w:id="435370166">
      <w:bodyDiv w:val="1"/>
      <w:marLeft w:val="0"/>
      <w:marRight w:val="0"/>
      <w:marTop w:val="0"/>
      <w:marBottom w:val="0"/>
      <w:divBdr>
        <w:top w:val="none" w:sz="0" w:space="0" w:color="auto"/>
        <w:left w:val="none" w:sz="0" w:space="0" w:color="auto"/>
        <w:bottom w:val="none" w:sz="0" w:space="0" w:color="auto"/>
        <w:right w:val="none" w:sz="0" w:space="0" w:color="auto"/>
      </w:divBdr>
    </w:div>
    <w:div w:id="435953640">
      <w:bodyDiv w:val="1"/>
      <w:marLeft w:val="0"/>
      <w:marRight w:val="0"/>
      <w:marTop w:val="0"/>
      <w:marBottom w:val="0"/>
      <w:divBdr>
        <w:top w:val="none" w:sz="0" w:space="0" w:color="auto"/>
        <w:left w:val="none" w:sz="0" w:space="0" w:color="auto"/>
        <w:bottom w:val="none" w:sz="0" w:space="0" w:color="auto"/>
        <w:right w:val="none" w:sz="0" w:space="0" w:color="auto"/>
      </w:divBdr>
    </w:div>
    <w:div w:id="436564679">
      <w:bodyDiv w:val="1"/>
      <w:marLeft w:val="0"/>
      <w:marRight w:val="0"/>
      <w:marTop w:val="0"/>
      <w:marBottom w:val="0"/>
      <w:divBdr>
        <w:top w:val="none" w:sz="0" w:space="0" w:color="auto"/>
        <w:left w:val="none" w:sz="0" w:space="0" w:color="auto"/>
        <w:bottom w:val="none" w:sz="0" w:space="0" w:color="auto"/>
        <w:right w:val="none" w:sz="0" w:space="0" w:color="auto"/>
      </w:divBdr>
    </w:div>
    <w:div w:id="436604946">
      <w:bodyDiv w:val="1"/>
      <w:marLeft w:val="0"/>
      <w:marRight w:val="0"/>
      <w:marTop w:val="0"/>
      <w:marBottom w:val="0"/>
      <w:divBdr>
        <w:top w:val="none" w:sz="0" w:space="0" w:color="auto"/>
        <w:left w:val="none" w:sz="0" w:space="0" w:color="auto"/>
        <w:bottom w:val="none" w:sz="0" w:space="0" w:color="auto"/>
        <w:right w:val="none" w:sz="0" w:space="0" w:color="auto"/>
      </w:divBdr>
    </w:div>
    <w:div w:id="437144160">
      <w:bodyDiv w:val="1"/>
      <w:marLeft w:val="0"/>
      <w:marRight w:val="0"/>
      <w:marTop w:val="0"/>
      <w:marBottom w:val="0"/>
      <w:divBdr>
        <w:top w:val="none" w:sz="0" w:space="0" w:color="auto"/>
        <w:left w:val="none" w:sz="0" w:space="0" w:color="auto"/>
        <w:bottom w:val="none" w:sz="0" w:space="0" w:color="auto"/>
        <w:right w:val="none" w:sz="0" w:space="0" w:color="auto"/>
      </w:divBdr>
    </w:div>
    <w:div w:id="438333483">
      <w:bodyDiv w:val="1"/>
      <w:marLeft w:val="0"/>
      <w:marRight w:val="0"/>
      <w:marTop w:val="0"/>
      <w:marBottom w:val="0"/>
      <w:divBdr>
        <w:top w:val="none" w:sz="0" w:space="0" w:color="auto"/>
        <w:left w:val="none" w:sz="0" w:space="0" w:color="auto"/>
        <w:bottom w:val="none" w:sz="0" w:space="0" w:color="auto"/>
        <w:right w:val="none" w:sz="0" w:space="0" w:color="auto"/>
      </w:divBdr>
    </w:div>
    <w:div w:id="439296111">
      <w:bodyDiv w:val="1"/>
      <w:marLeft w:val="0"/>
      <w:marRight w:val="0"/>
      <w:marTop w:val="0"/>
      <w:marBottom w:val="0"/>
      <w:divBdr>
        <w:top w:val="none" w:sz="0" w:space="0" w:color="auto"/>
        <w:left w:val="none" w:sz="0" w:space="0" w:color="auto"/>
        <w:bottom w:val="none" w:sz="0" w:space="0" w:color="auto"/>
        <w:right w:val="none" w:sz="0" w:space="0" w:color="auto"/>
      </w:divBdr>
    </w:div>
    <w:div w:id="440338962">
      <w:bodyDiv w:val="1"/>
      <w:marLeft w:val="0"/>
      <w:marRight w:val="0"/>
      <w:marTop w:val="0"/>
      <w:marBottom w:val="0"/>
      <w:divBdr>
        <w:top w:val="none" w:sz="0" w:space="0" w:color="auto"/>
        <w:left w:val="none" w:sz="0" w:space="0" w:color="auto"/>
        <w:bottom w:val="none" w:sz="0" w:space="0" w:color="auto"/>
        <w:right w:val="none" w:sz="0" w:space="0" w:color="auto"/>
      </w:divBdr>
    </w:div>
    <w:div w:id="441416752">
      <w:bodyDiv w:val="1"/>
      <w:marLeft w:val="0"/>
      <w:marRight w:val="0"/>
      <w:marTop w:val="0"/>
      <w:marBottom w:val="0"/>
      <w:divBdr>
        <w:top w:val="none" w:sz="0" w:space="0" w:color="auto"/>
        <w:left w:val="none" w:sz="0" w:space="0" w:color="auto"/>
        <w:bottom w:val="none" w:sz="0" w:space="0" w:color="auto"/>
        <w:right w:val="none" w:sz="0" w:space="0" w:color="auto"/>
      </w:divBdr>
    </w:div>
    <w:div w:id="441654538">
      <w:bodyDiv w:val="1"/>
      <w:marLeft w:val="0"/>
      <w:marRight w:val="0"/>
      <w:marTop w:val="0"/>
      <w:marBottom w:val="0"/>
      <w:divBdr>
        <w:top w:val="none" w:sz="0" w:space="0" w:color="auto"/>
        <w:left w:val="none" w:sz="0" w:space="0" w:color="auto"/>
        <w:bottom w:val="none" w:sz="0" w:space="0" w:color="auto"/>
        <w:right w:val="none" w:sz="0" w:space="0" w:color="auto"/>
      </w:divBdr>
    </w:div>
    <w:div w:id="442458925">
      <w:bodyDiv w:val="1"/>
      <w:marLeft w:val="0"/>
      <w:marRight w:val="0"/>
      <w:marTop w:val="0"/>
      <w:marBottom w:val="0"/>
      <w:divBdr>
        <w:top w:val="none" w:sz="0" w:space="0" w:color="auto"/>
        <w:left w:val="none" w:sz="0" w:space="0" w:color="auto"/>
        <w:bottom w:val="none" w:sz="0" w:space="0" w:color="auto"/>
        <w:right w:val="none" w:sz="0" w:space="0" w:color="auto"/>
      </w:divBdr>
    </w:div>
    <w:div w:id="443891777">
      <w:bodyDiv w:val="1"/>
      <w:marLeft w:val="0"/>
      <w:marRight w:val="0"/>
      <w:marTop w:val="0"/>
      <w:marBottom w:val="0"/>
      <w:divBdr>
        <w:top w:val="none" w:sz="0" w:space="0" w:color="auto"/>
        <w:left w:val="none" w:sz="0" w:space="0" w:color="auto"/>
        <w:bottom w:val="none" w:sz="0" w:space="0" w:color="auto"/>
        <w:right w:val="none" w:sz="0" w:space="0" w:color="auto"/>
      </w:divBdr>
    </w:div>
    <w:div w:id="444034287">
      <w:bodyDiv w:val="1"/>
      <w:marLeft w:val="0"/>
      <w:marRight w:val="0"/>
      <w:marTop w:val="0"/>
      <w:marBottom w:val="0"/>
      <w:divBdr>
        <w:top w:val="none" w:sz="0" w:space="0" w:color="auto"/>
        <w:left w:val="none" w:sz="0" w:space="0" w:color="auto"/>
        <w:bottom w:val="none" w:sz="0" w:space="0" w:color="auto"/>
        <w:right w:val="none" w:sz="0" w:space="0" w:color="auto"/>
      </w:divBdr>
    </w:div>
    <w:div w:id="444421260">
      <w:bodyDiv w:val="1"/>
      <w:marLeft w:val="0"/>
      <w:marRight w:val="0"/>
      <w:marTop w:val="0"/>
      <w:marBottom w:val="0"/>
      <w:divBdr>
        <w:top w:val="none" w:sz="0" w:space="0" w:color="auto"/>
        <w:left w:val="none" w:sz="0" w:space="0" w:color="auto"/>
        <w:bottom w:val="none" w:sz="0" w:space="0" w:color="auto"/>
        <w:right w:val="none" w:sz="0" w:space="0" w:color="auto"/>
      </w:divBdr>
    </w:div>
    <w:div w:id="444663287">
      <w:bodyDiv w:val="1"/>
      <w:marLeft w:val="0"/>
      <w:marRight w:val="0"/>
      <w:marTop w:val="0"/>
      <w:marBottom w:val="0"/>
      <w:divBdr>
        <w:top w:val="none" w:sz="0" w:space="0" w:color="auto"/>
        <w:left w:val="none" w:sz="0" w:space="0" w:color="auto"/>
        <w:bottom w:val="none" w:sz="0" w:space="0" w:color="auto"/>
        <w:right w:val="none" w:sz="0" w:space="0" w:color="auto"/>
      </w:divBdr>
    </w:div>
    <w:div w:id="445085027">
      <w:bodyDiv w:val="1"/>
      <w:marLeft w:val="0"/>
      <w:marRight w:val="0"/>
      <w:marTop w:val="0"/>
      <w:marBottom w:val="0"/>
      <w:divBdr>
        <w:top w:val="none" w:sz="0" w:space="0" w:color="auto"/>
        <w:left w:val="none" w:sz="0" w:space="0" w:color="auto"/>
        <w:bottom w:val="none" w:sz="0" w:space="0" w:color="auto"/>
        <w:right w:val="none" w:sz="0" w:space="0" w:color="auto"/>
      </w:divBdr>
    </w:div>
    <w:div w:id="445347771">
      <w:bodyDiv w:val="1"/>
      <w:marLeft w:val="0"/>
      <w:marRight w:val="0"/>
      <w:marTop w:val="0"/>
      <w:marBottom w:val="0"/>
      <w:divBdr>
        <w:top w:val="none" w:sz="0" w:space="0" w:color="auto"/>
        <w:left w:val="none" w:sz="0" w:space="0" w:color="auto"/>
        <w:bottom w:val="none" w:sz="0" w:space="0" w:color="auto"/>
        <w:right w:val="none" w:sz="0" w:space="0" w:color="auto"/>
      </w:divBdr>
    </w:div>
    <w:div w:id="446121157">
      <w:bodyDiv w:val="1"/>
      <w:marLeft w:val="0"/>
      <w:marRight w:val="0"/>
      <w:marTop w:val="0"/>
      <w:marBottom w:val="0"/>
      <w:divBdr>
        <w:top w:val="none" w:sz="0" w:space="0" w:color="auto"/>
        <w:left w:val="none" w:sz="0" w:space="0" w:color="auto"/>
        <w:bottom w:val="none" w:sz="0" w:space="0" w:color="auto"/>
        <w:right w:val="none" w:sz="0" w:space="0" w:color="auto"/>
      </w:divBdr>
    </w:div>
    <w:div w:id="446463539">
      <w:bodyDiv w:val="1"/>
      <w:marLeft w:val="0"/>
      <w:marRight w:val="0"/>
      <w:marTop w:val="0"/>
      <w:marBottom w:val="0"/>
      <w:divBdr>
        <w:top w:val="none" w:sz="0" w:space="0" w:color="auto"/>
        <w:left w:val="none" w:sz="0" w:space="0" w:color="auto"/>
        <w:bottom w:val="none" w:sz="0" w:space="0" w:color="auto"/>
        <w:right w:val="none" w:sz="0" w:space="0" w:color="auto"/>
      </w:divBdr>
    </w:div>
    <w:div w:id="447311824">
      <w:bodyDiv w:val="1"/>
      <w:marLeft w:val="0"/>
      <w:marRight w:val="0"/>
      <w:marTop w:val="0"/>
      <w:marBottom w:val="0"/>
      <w:divBdr>
        <w:top w:val="none" w:sz="0" w:space="0" w:color="auto"/>
        <w:left w:val="none" w:sz="0" w:space="0" w:color="auto"/>
        <w:bottom w:val="none" w:sz="0" w:space="0" w:color="auto"/>
        <w:right w:val="none" w:sz="0" w:space="0" w:color="auto"/>
      </w:divBdr>
    </w:div>
    <w:div w:id="447546076">
      <w:bodyDiv w:val="1"/>
      <w:marLeft w:val="0"/>
      <w:marRight w:val="0"/>
      <w:marTop w:val="0"/>
      <w:marBottom w:val="0"/>
      <w:divBdr>
        <w:top w:val="none" w:sz="0" w:space="0" w:color="auto"/>
        <w:left w:val="none" w:sz="0" w:space="0" w:color="auto"/>
        <w:bottom w:val="none" w:sz="0" w:space="0" w:color="auto"/>
        <w:right w:val="none" w:sz="0" w:space="0" w:color="auto"/>
      </w:divBdr>
    </w:div>
    <w:div w:id="447746853">
      <w:bodyDiv w:val="1"/>
      <w:marLeft w:val="0"/>
      <w:marRight w:val="0"/>
      <w:marTop w:val="0"/>
      <w:marBottom w:val="0"/>
      <w:divBdr>
        <w:top w:val="none" w:sz="0" w:space="0" w:color="auto"/>
        <w:left w:val="none" w:sz="0" w:space="0" w:color="auto"/>
        <w:bottom w:val="none" w:sz="0" w:space="0" w:color="auto"/>
        <w:right w:val="none" w:sz="0" w:space="0" w:color="auto"/>
      </w:divBdr>
    </w:div>
    <w:div w:id="447897836">
      <w:bodyDiv w:val="1"/>
      <w:marLeft w:val="0"/>
      <w:marRight w:val="0"/>
      <w:marTop w:val="0"/>
      <w:marBottom w:val="0"/>
      <w:divBdr>
        <w:top w:val="none" w:sz="0" w:space="0" w:color="auto"/>
        <w:left w:val="none" w:sz="0" w:space="0" w:color="auto"/>
        <w:bottom w:val="none" w:sz="0" w:space="0" w:color="auto"/>
        <w:right w:val="none" w:sz="0" w:space="0" w:color="auto"/>
      </w:divBdr>
    </w:div>
    <w:div w:id="449858698">
      <w:bodyDiv w:val="1"/>
      <w:marLeft w:val="0"/>
      <w:marRight w:val="0"/>
      <w:marTop w:val="0"/>
      <w:marBottom w:val="0"/>
      <w:divBdr>
        <w:top w:val="none" w:sz="0" w:space="0" w:color="auto"/>
        <w:left w:val="none" w:sz="0" w:space="0" w:color="auto"/>
        <w:bottom w:val="none" w:sz="0" w:space="0" w:color="auto"/>
        <w:right w:val="none" w:sz="0" w:space="0" w:color="auto"/>
      </w:divBdr>
    </w:div>
    <w:div w:id="449973989">
      <w:bodyDiv w:val="1"/>
      <w:marLeft w:val="0"/>
      <w:marRight w:val="0"/>
      <w:marTop w:val="0"/>
      <w:marBottom w:val="0"/>
      <w:divBdr>
        <w:top w:val="none" w:sz="0" w:space="0" w:color="auto"/>
        <w:left w:val="none" w:sz="0" w:space="0" w:color="auto"/>
        <w:bottom w:val="none" w:sz="0" w:space="0" w:color="auto"/>
        <w:right w:val="none" w:sz="0" w:space="0" w:color="auto"/>
      </w:divBdr>
    </w:div>
    <w:div w:id="452138612">
      <w:bodyDiv w:val="1"/>
      <w:marLeft w:val="0"/>
      <w:marRight w:val="0"/>
      <w:marTop w:val="0"/>
      <w:marBottom w:val="0"/>
      <w:divBdr>
        <w:top w:val="none" w:sz="0" w:space="0" w:color="auto"/>
        <w:left w:val="none" w:sz="0" w:space="0" w:color="auto"/>
        <w:bottom w:val="none" w:sz="0" w:space="0" w:color="auto"/>
        <w:right w:val="none" w:sz="0" w:space="0" w:color="auto"/>
      </w:divBdr>
    </w:div>
    <w:div w:id="453064879">
      <w:bodyDiv w:val="1"/>
      <w:marLeft w:val="0"/>
      <w:marRight w:val="0"/>
      <w:marTop w:val="0"/>
      <w:marBottom w:val="0"/>
      <w:divBdr>
        <w:top w:val="none" w:sz="0" w:space="0" w:color="auto"/>
        <w:left w:val="none" w:sz="0" w:space="0" w:color="auto"/>
        <w:bottom w:val="none" w:sz="0" w:space="0" w:color="auto"/>
        <w:right w:val="none" w:sz="0" w:space="0" w:color="auto"/>
      </w:divBdr>
    </w:div>
    <w:div w:id="454836123">
      <w:bodyDiv w:val="1"/>
      <w:marLeft w:val="0"/>
      <w:marRight w:val="0"/>
      <w:marTop w:val="0"/>
      <w:marBottom w:val="0"/>
      <w:divBdr>
        <w:top w:val="none" w:sz="0" w:space="0" w:color="auto"/>
        <w:left w:val="none" w:sz="0" w:space="0" w:color="auto"/>
        <w:bottom w:val="none" w:sz="0" w:space="0" w:color="auto"/>
        <w:right w:val="none" w:sz="0" w:space="0" w:color="auto"/>
      </w:divBdr>
    </w:div>
    <w:div w:id="455411394">
      <w:bodyDiv w:val="1"/>
      <w:marLeft w:val="0"/>
      <w:marRight w:val="0"/>
      <w:marTop w:val="0"/>
      <w:marBottom w:val="0"/>
      <w:divBdr>
        <w:top w:val="none" w:sz="0" w:space="0" w:color="auto"/>
        <w:left w:val="none" w:sz="0" w:space="0" w:color="auto"/>
        <w:bottom w:val="none" w:sz="0" w:space="0" w:color="auto"/>
        <w:right w:val="none" w:sz="0" w:space="0" w:color="auto"/>
      </w:divBdr>
    </w:div>
    <w:div w:id="455563264">
      <w:bodyDiv w:val="1"/>
      <w:marLeft w:val="0"/>
      <w:marRight w:val="0"/>
      <w:marTop w:val="0"/>
      <w:marBottom w:val="0"/>
      <w:divBdr>
        <w:top w:val="none" w:sz="0" w:space="0" w:color="auto"/>
        <w:left w:val="none" w:sz="0" w:space="0" w:color="auto"/>
        <w:bottom w:val="none" w:sz="0" w:space="0" w:color="auto"/>
        <w:right w:val="none" w:sz="0" w:space="0" w:color="auto"/>
      </w:divBdr>
    </w:div>
    <w:div w:id="456724785">
      <w:bodyDiv w:val="1"/>
      <w:marLeft w:val="0"/>
      <w:marRight w:val="0"/>
      <w:marTop w:val="0"/>
      <w:marBottom w:val="0"/>
      <w:divBdr>
        <w:top w:val="none" w:sz="0" w:space="0" w:color="auto"/>
        <w:left w:val="none" w:sz="0" w:space="0" w:color="auto"/>
        <w:bottom w:val="none" w:sz="0" w:space="0" w:color="auto"/>
        <w:right w:val="none" w:sz="0" w:space="0" w:color="auto"/>
      </w:divBdr>
    </w:div>
    <w:div w:id="460925104">
      <w:bodyDiv w:val="1"/>
      <w:marLeft w:val="0"/>
      <w:marRight w:val="0"/>
      <w:marTop w:val="0"/>
      <w:marBottom w:val="0"/>
      <w:divBdr>
        <w:top w:val="none" w:sz="0" w:space="0" w:color="auto"/>
        <w:left w:val="none" w:sz="0" w:space="0" w:color="auto"/>
        <w:bottom w:val="none" w:sz="0" w:space="0" w:color="auto"/>
        <w:right w:val="none" w:sz="0" w:space="0" w:color="auto"/>
      </w:divBdr>
    </w:div>
    <w:div w:id="461508426">
      <w:bodyDiv w:val="1"/>
      <w:marLeft w:val="0"/>
      <w:marRight w:val="0"/>
      <w:marTop w:val="0"/>
      <w:marBottom w:val="0"/>
      <w:divBdr>
        <w:top w:val="none" w:sz="0" w:space="0" w:color="auto"/>
        <w:left w:val="none" w:sz="0" w:space="0" w:color="auto"/>
        <w:bottom w:val="none" w:sz="0" w:space="0" w:color="auto"/>
        <w:right w:val="none" w:sz="0" w:space="0" w:color="auto"/>
      </w:divBdr>
    </w:div>
    <w:div w:id="461582444">
      <w:bodyDiv w:val="1"/>
      <w:marLeft w:val="0"/>
      <w:marRight w:val="0"/>
      <w:marTop w:val="0"/>
      <w:marBottom w:val="0"/>
      <w:divBdr>
        <w:top w:val="none" w:sz="0" w:space="0" w:color="auto"/>
        <w:left w:val="none" w:sz="0" w:space="0" w:color="auto"/>
        <w:bottom w:val="none" w:sz="0" w:space="0" w:color="auto"/>
        <w:right w:val="none" w:sz="0" w:space="0" w:color="auto"/>
      </w:divBdr>
    </w:div>
    <w:div w:id="461776391">
      <w:bodyDiv w:val="1"/>
      <w:marLeft w:val="0"/>
      <w:marRight w:val="0"/>
      <w:marTop w:val="0"/>
      <w:marBottom w:val="0"/>
      <w:divBdr>
        <w:top w:val="none" w:sz="0" w:space="0" w:color="auto"/>
        <w:left w:val="none" w:sz="0" w:space="0" w:color="auto"/>
        <w:bottom w:val="none" w:sz="0" w:space="0" w:color="auto"/>
        <w:right w:val="none" w:sz="0" w:space="0" w:color="auto"/>
      </w:divBdr>
    </w:div>
    <w:div w:id="462581307">
      <w:bodyDiv w:val="1"/>
      <w:marLeft w:val="0"/>
      <w:marRight w:val="0"/>
      <w:marTop w:val="0"/>
      <w:marBottom w:val="0"/>
      <w:divBdr>
        <w:top w:val="none" w:sz="0" w:space="0" w:color="auto"/>
        <w:left w:val="none" w:sz="0" w:space="0" w:color="auto"/>
        <w:bottom w:val="none" w:sz="0" w:space="0" w:color="auto"/>
        <w:right w:val="none" w:sz="0" w:space="0" w:color="auto"/>
      </w:divBdr>
    </w:div>
    <w:div w:id="462767887">
      <w:bodyDiv w:val="1"/>
      <w:marLeft w:val="0"/>
      <w:marRight w:val="0"/>
      <w:marTop w:val="0"/>
      <w:marBottom w:val="0"/>
      <w:divBdr>
        <w:top w:val="none" w:sz="0" w:space="0" w:color="auto"/>
        <w:left w:val="none" w:sz="0" w:space="0" w:color="auto"/>
        <w:bottom w:val="none" w:sz="0" w:space="0" w:color="auto"/>
        <w:right w:val="none" w:sz="0" w:space="0" w:color="auto"/>
      </w:divBdr>
    </w:div>
    <w:div w:id="464009917">
      <w:bodyDiv w:val="1"/>
      <w:marLeft w:val="0"/>
      <w:marRight w:val="0"/>
      <w:marTop w:val="0"/>
      <w:marBottom w:val="0"/>
      <w:divBdr>
        <w:top w:val="none" w:sz="0" w:space="0" w:color="auto"/>
        <w:left w:val="none" w:sz="0" w:space="0" w:color="auto"/>
        <w:bottom w:val="none" w:sz="0" w:space="0" w:color="auto"/>
        <w:right w:val="none" w:sz="0" w:space="0" w:color="auto"/>
      </w:divBdr>
    </w:div>
    <w:div w:id="464589116">
      <w:bodyDiv w:val="1"/>
      <w:marLeft w:val="0"/>
      <w:marRight w:val="0"/>
      <w:marTop w:val="0"/>
      <w:marBottom w:val="0"/>
      <w:divBdr>
        <w:top w:val="none" w:sz="0" w:space="0" w:color="auto"/>
        <w:left w:val="none" w:sz="0" w:space="0" w:color="auto"/>
        <w:bottom w:val="none" w:sz="0" w:space="0" w:color="auto"/>
        <w:right w:val="none" w:sz="0" w:space="0" w:color="auto"/>
      </w:divBdr>
      <w:divsChild>
        <w:div w:id="281309020">
          <w:marLeft w:val="691"/>
          <w:marRight w:val="0"/>
          <w:marTop w:val="0"/>
          <w:marBottom w:val="0"/>
          <w:divBdr>
            <w:top w:val="none" w:sz="0" w:space="0" w:color="auto"/>
            <w:left w:val="none" w:sz="0" w:space="0" w:color="auto"/>
            <w:bottom w:val="none" w:sz="0" w:space="0" w:color="auto"/>
            <w:right w:val="none" w:sz="0" w:space="0" w:color="auto"/>
          </w:divBdr>
        </w:div>
        <w:div w:id="388458360">
          <w:marLeft w:val="691"/>
          <w:marRight w:val="0"/>
          <w:marTop w:val="0"/>
          <w:marBottom w:val="0"/>
          <w:divBdr>
            <w:top w:val="none" w:sz="0" w:space="0" w:color="auto"/>
            <w:left w:val="none" w:sz="0" w:space="0" w:color="auto"/>
            <w:bottom w:val="none" w:sz="0" w:space="0" w:color="auto"/>
            <w:right w:val="none" w:sz="0" w:space="0" w:color="auto"/>
          </w:divBdr>
        </w:div>
        <w:div w:id="398286287">
          <w:marLeft w:val="691"/>
          <w:marRight w:val="0"/>
          <w:marTop w:val="0"/>
          <w:marBottom w:val="0"/>
          <w:divBdr>
            <w:top w:val="none" w:sz="0" w:space="0" w:color="auto"/>
            <w:left w:val="none" w:sz="0" w:space="0" w:color="auto"/>
            <w:bottom w:val="none" w:sz="0" w:space="0" w:color="auto"/>
            <w:right w:val="none" w:sz="0" w:space="0" w:color="auto"/>
          </w:divBdr>
        </w:div>
        <w:div w:id="750085780">
          <w:marLeft w:val="691"/>
          <w:marRight w:val="0"/>
          <w:marTop w:val="0"/>
          <w:marBottom w:val="0"/>
          <w:divBdr>
            <w:top w:val="none" w:sz="0" w:space="0" w:color="auto"/>
            <w:left w:val="none" w:sz="0" w:space="0" w:color="auto"/>
            <w:bottom w:val="none" w:sz="0" w:space="0" w:color="auto"/>
            <w:right w:val="none" w:sz="0" w:space="0" w:color="auto"/>
          </w:divBdr>
        </w:div>
        <w:div w:id="761149498">
          <w:marLeft w:val="691"/>
          <w:marRight w:val="0"/>
          <w:marTop w:val="0"/>
          <w:marBottom w:val="0"/>
          <w:divBdr>
            <w:top w:val="none" w:sz="0" w:space="0" w:color="auto"/>
            <w:left w:val="none" w:sz="0" w:space="0" w:color="auto"/>
            <w:bottom w:val="none" w:sz="0" w:space="0" w:color="auto"/>
            <w:right w:val="none" w:sz="0" w:space="0" w:color="auto"/>
          </w:divBdr>
        </w:div>
        <w:div w:id="895317820">
          <w:marLeft w:val="691"/>
          <w:marRight w:val="0"/>
          <w:marTop w:val="0"/>
          <w:marBottom w:val="0"/>
          <w:divBdr>
            <w:top w:val="none" w:sz="0" w:space="0" w:color="auto"/>
            <w:left w:val="none" w:sz="0" w:space="0" w:color="auto"/>
            <w:bottom w:val="none" w:sz="0" w:space="0" w:color="auto"/>
            <w:right w:val="none" w:sz="0" w:space="0" w:color="auto"/>
          </w:divBdr>
        </w:div>
        <w:div w:id="909193192">
          <w:marLeft w:val="691"/>
          <w:marRight w:val="0"/>
          <w:marTop w:val="0"/>
          <w:marBottom w:val="0"/>
          <w:divBdr>
            <w:top w:val="none" w:sz="0" w:space="0" w:color="auto"/>
            <w:left w:val="none" w:sz="0" w:space="0" w:color="auto"/>
            <w:bottom w:val="none" w:sz="0" w:space="0" w:color="auto"/>
            <w:right w:val="none" w:sz="0" w:space="0" w:color="auto"/>
          </w:divBdr>
        </w:div>
        <w:div w:id="915627523">
          <w:marLeft w:val="691"/>
          <w:marRight w:val="0"/>
          <w:marTop w:val="0"/>
          <w:marBottom w:val="0"/>
          <w:divBdr>
            <w:top w:val="none" w:sz="0" w:space="0" w:color="auto"/>
            <w:left w:val="none" w:sz="0" w:space="0" w:color="auto"/>
            <w:bottom w:val="none" w:sz="0" w:space="0" w:color="auto"/>
            <w:right w:val="none" w:sz="0" w:space="0" w:color="auto"/>
          </w:divBdr>
        </w:div>
        <w:div w:id="1051225835">
          <w:marLeft w:val="691"/>
          <w:marRight w:val="0"/>
          <w:marTop w:val="0"/>
          <w:marBottom w:val="0"/>
          <w:divBdr>
            <w:top w:val="none" w:sz="0" w:space="0" w:color="auto"/>
            <w:left w:val="none" w:sz="0" w:space="0" w:color="auto"/>
            <w:bottom w:val="none" w:sz="0" w:space="0" w:color="auto"/>
            <w:right w:val="none" w:sz="0" w:space="0" w:color="auto"/>
          </w:divBdr>
        </w:div>
        <w:div w:id="1489862190">
          <w:marLeft w:val="691"/>
          <w:marRight w:val="0"/>
          <w:marTop w:val="0"/>
          <w:marBottom w:val="0"/>
          <w:divBdr>
            <w:top w:val="none" w:sz="0" w:space="0" w:color="auto"/>
            <w:left w:val="none" w:sz="0" w:space="0" w:color="auto"/>
            <w:bottom w:val="none" w:sz="0" w:space="0" w:color="auto"/>
            <w:right w:val="none" w:sz="0" w:space="0" w:color="auto"/>
          </w:divBdr>
        </w:div>
        <w:div w:id="1731658469">
          <w:marLeft w:val="691"/>
          <w:marRight w:val="0"/>
          <w:marTop w:val="0"/>
          <w:marBottom w:val="0"/>
          <w:divBdr>
            <w:top w:val="none" w:sz="0" w:space="0" w:color="auto"/>
            <w:left w:val="none" w:sz="0" w:space="0" w:color="auto"/>
            <w:bottom w:val="none" w:sz="0" w:space="0" w:color="auto"/>
            <w:right w:val="none" w:sz="0" w:space="0" w:color="auto"/>
          </w:divBdr>
        </w:div>
        <w:div w:id="1903253199">
          <w:marLeft w:val="691"/>
          <w:marRight w:val="0"/>
          <w:marTop w:val="0"/>
          <w:marBottom w:val="0"/>
          <w:divBdr>
            <w:top w:val="none" w:sz="0" w:space="0" w:color="auto"/>
            <w:left w:val="none" w:sz="0" w:space="0" w:color="auto"/>
            <w:bottom w:val="none" w:sz="0" w:space="0" w:color="auto"/>
            <w:right w:val="none" w:sz="0" w:space="0" w:color="auto"/>
          </w:divBdr>
        </w:div>
      </w:divsChild>
    </w:div>
    <w:div w:id="464616098">
      <w:bodyDiv w:val="1"/>
      <w:marLeft w:val="0"/>
      <w:marRight w:val="0"/>
      <w:marTop w:val="0"/>
      <w:marBottom w:val="0"/>
      <w:divBdr>
        <w:top w:val="none" w:sz="0" w:space="0" w:color="auto"/>
        <w:left w:val="none" w:sz="0" w:space="0" w:color="auto"/>
        <w:bottom w:val="none" w:sz="0" w:space="0" w:color="auto"/>
        <w:right w:val="none" w:sz="0" w:space="0" w:color="auto"/>
      </w:divBdr>
    </w:div>
    <w:div w:id="464785822">
      <w:bodyDiv w:val="1"/>
      <w:marLeft w:val="0"/>
      <w:marRight w:val="0"/>
      <w:marTop w:val="0"/>
      <w:marBottom w:val="0"/>
      <w:divBdr>
        <w:top w:val="none" w:sz="0" w:space="0" w:color="auto"/>
        <w:left w:val="none" w:sz="0" w:space="0" w:color="auto"/>
        <w:bottom w:val="none" w:sz="0" w:space="0" w:color="auto"/>
        <w:right w:val="none" w:sz="0" w:space="0" w:color="auto"/>
      </w:divBdr>
    </w:div>
    <w:div w:id="466165571">
      <w:bodyDiv w:val="1"/>
      <w:marLeft w:val="0"/>
      <w:marRight w:val="0"/>
      <w:marTop w:val="0"/>
      <w:marBottom w:val="0"/>
      <w:divBdr>
        <w:top w:val="none" w:sz="0" w:space="0" w:color="auto"/>
        <w:left w:val="none" w:sz="0" w:space="0" w:color="auto"/>
        <w:bottom w:val="none" w:sz="0" w:space="0" w:color="auto"/>
        <w:right w:val="none" w:sz="0" w:space="0" w:color="auto"/>
      </w:divBdr>
    </w:div>
    <w:div w:id="467554336">
      <w:bodyDiv w:val="1"/>
      <w:marLeft w:val="0"/>
      <w:marRight w:val="0"/>
      <w:marTop w:val="0"/>
      <w:marBottom w:val="0"/>
      <w:divBdr>
        <w:top w:val="none" w:sz="0" w:space="0" w:color="auto"/>
        <w:left w:val="none" w:sz="0" w:space="0" w:color="auto"/>
        <w:bottom w:val="none" w:sz="0" w:space="0" w:color="auto"/>
        <w:right w:val="none" w:sz="0" w:space="0" w:color="auto"/>
      </w:divBdr>
    </w:div>
    <w:div w:id="468128098">
      <w:bodyDiv w:val="1"/>
      <w:marLeft w:val="0"/>
      <w:marRight w:val="0"/>
      <w:marTop w:val="0"/>
      <w:marBottom w:val="0"/>
      <w:divBdr>
        <w:top w:val="none" w:sz="0" w:space="0" w:color="auto"/>
        <w:left w:val="none" w:sz="0" w:space="0" w:color="auto"/>
        <w:bottom w:val="none" w:sz="0" w:space="0" w:color="auto"/>
        <w:right w:val="none" w:sz="0" w:space="0" w:color="auto"/>
      </w:divBdr>
    </w:div>
    <w:div w:id="469320821">
      <w:bodyDiv w:val="1"/>
      <w:marLeft w:val="0"/>
      <w:marRight w:val="0"/>
      <w:marTop w:val="0"/>
      <w:marBottom w:val="0"/>
      <w:divBdr>
        <w:top w:val="none" w:sz="0" w:space="0" w:color="auto"/>
        <w:left w:val="none" w:sz="0" w:space="0" w:color="auto"/>
        <w:bottom w:val="none" w:sz="0" w:space="0" w:color="auto"/>
        <w:right w:val="none" w:sz="0" w:space="0" w:color="auto"/>
      </w:divBdr>
    </w:div>
    <w:div w:id="469321875">
      <w:bodyDiv w:val="1"/>
      <w:marLeft w:val="0"/>
      <w:marRight w:val="0"/>
      <w:marTop w:val="0"/>
      <w:marBottom w:val="0"/>
      <w:divBdr>
        <w:top w:val="none" w:sz="0" w:space="0" w:color="auto"/>
        <w:left w:val="none" w:sz="0" w:space="0" w:color="auto"/>
        <w:bottom w:val="none" w:sz="0" w:space="0" w:color="auto"/>
        <w:right w:val="none" w:sz="0" w:space="0" w:color="auto"/>
      </w:divBdr>
    </w:div>
    <w:div w:id="469636426">
      <w:bodyDiv w:val="1"/>
      <w:marLeft w:val="0"/>
      <w:marRight w:val="0"/>
      <w:marTop w:val="0"/>
      <w:marBottom w:val="0"/>
      <w:divBdr>
        <w:top w:val="none" w:sz="0" w:space="0" w:color="auto"/>
        <w:left w:val="none" w:sz="0" w:space="0" w:color="auto"/>
        <w:bottom w:val="none" w:sz="0" w:space="0" w:color="auto"/>
        <w:right w:val="none" w:sz="0" w:space="0" w:color="auto"/>
      </w:divBdr>
    </w:div>
    <w:div w:id="469712897">
      <w:bodyDiv w:val="1"/>
      <w:marLeft w:val="0"/>
      <w:marRight w:val="0"/>
      <w:marTop w:val="0"/>
      <w:marBottom w:val="0"/>
      <w:divBdr>
        <w:top w:val="none" w:sz="0" w:space="0" w:color="auto"/>
        <w:left w:val="none" w:sz="0" w:space="0" w:color="auto"/>
        <w:bottom w:val="none" w:sz="0" w:space="0" w:color="auto"/>
        <w:right w:val="none" w:sz="0" w:space="0" w:color="auto"/>
      </w:divBdr>
    </w:div>
    <w:div w:id="470095445">
      <w:bodyDiv w:val="1"/>
      <w:marLeft w:val="0"/>
      <w:marRight w:val="0"/>
      <w:marTop w:val="0"/>
      <w:marBottom w:val="0"/>
      <w:divBdr>
        <w:top w:val="none" w:sz="0" w:space="0" w:color="auto"/>
        <w:left w:val="none" w:sz="0" w:space="0" w:color="auto"/>
        <w:bottom w:val="none" w:sz="0" w:space="0" w:color="auto"/>
        <w:right w:val="none" w:sz="0" w:space="0" w:color="auto"/>
      </w:divBdr>
    </w:div>
    <w:div w:id="470483103">
      <w:bodyDiv w:val="1"/>
      <w:marLeft w:val="0"/>
      <w:marRight w:val="0"/>
      <w:marTop w:val="0"/>
      <w:marBottom w:val="0"/>
      <w:divBdr>
        <w:top w:val="none" w:sz="0" w:space="0" w:color="auto"/>
        <w:left w:val="none" w:sz="0" w:space="0" w:color="auto"/>
        <w:bottom w:val="none" w:sz="0" w:space="0" w:color="auto"/>
        <w:right w:val="none" w:sz="0" w:space="0" w:color="auto"/>
      </w:divBdr>
    </w:div>
    <w:div w:id="471796882">
      <w:bodyDiv w:val="1"/>
      <w:marLeft w:val="0"/>
      <w:marRight w:val="0"/>
      <w:marTop w:val="0"/>
      <w:marBottom w:val="0"/>
      <w:divBdr>
        <w:top w:val="none" w:sz="0" w:space="0" w:color="auto"/>
        <w:left w:val="none" w:sz="0" w:space="0" w:color="auto"/>
        <w:bottom w:val="none" w:sz="0" w:space="0" w:color="auto"/>
        <w:right w:val="none" w:sz="0" w:space="0" w:color="auto"/>
      </w:divBdr>
    </w:div>
    <w:div w:id="477306558">
      <w:bodyDiv w:val="1"/>
      <w:marLeft w:val="0"/>
      <w:marRight w:val="0"/>
      <w:marTop w:val="0"/>
      <w:marBottom w:val="0"/>
      <w:divBdr>
        <w:top w:val="none" w:sz="0" w:space="0" w:color="auto"/>
        <w:left w:val="none" w:sz="0" w:space="0" w:color="auto"/>
        <w:bottom w:val="none" w:sz="0" w:space="0" w:color="auto"/>
        <w:right w:val="none" w:sz="0" w:space="0" w:color="auto"/>
      </w:divBdr>
    </w:div>
    <w:div w:id="477454406">
      <w:bodyDiv w:val="1"/>
      <w:marLeft w:val="0"/>
      <w:marRight w:val="0"/>
      <w:marTop w:val="0"/>
      <w:marBottom w:val="0"/>
      <w:divBdr>
        <w:top w:val="none" w:sz="0" w:space="0" w:color="auto"/>
        <w:left w:val="none" w:sz="0" w:space="0" w:color="auto"/>
        <w:bottom w:val="none" w:sz="0" w:space="0" w:color="auto"/>
        <w:right w:val="none" w:sz="0" w:space="0" w:color="auto"/>
      </w:divBdr>
    </w:div>
    <w:div w:id="478036062">
      <w:bodyDiv w:val="1"/>
      <w:marLeft w:val="0"/>
      <w:marRight w:val="0"/>
      <w:marTop w:val="0"/>
      <w:marBottom w:val="0"/>
      <w:divBdr>
        <w:top w:val="none" w:sz="0" w:space="0" w:color="auto"/>
        <w:left w:val="none" w:sz="0" w:space="0" w:color="auto"/>
        <w:bottom w:val="none" w:sz="0" w:space="0" w:color="auto"/>
        <w:right w:val="none" w:sz="0" w:space="0" w:color="auto"/>
      </w:divBdr>
    </w:div>
    <w:div w:id="478183177">
      <w:bodyDiv w:val="1"/>
      <w:marLeft w:val="0"/>
      <w:marRight w:val="0"/>
      <w:marTop w:val="0"/>
      <w:marBottom w:val="0"/>
      <w:divBdr>
        <w:top w:val="none" w:sz="0" w:space="0" w:color="auto"/>
        <w:left w:val="none" w:sz="0" w:space="0" w:color="auto"/>
        <w:bottom w:val="none" w:sz="0" w:space="0" w:color="auto"/>
        <w:right w:val="none" w:sz="0" w:space="0" w:color="auto"/>
      </w:divBdr>
    </w:div>
    <w:div w:id="478575203">
      <w:bodyDiv w:val="1"/>
      <w:marLeft w:val="0"/>
      <w:marRight w:val="0"/>
      <w:marTop w:val="0"/>
      <w:marBottom w:val="0"/>
      <w:divBdr>
        <w:top w:val="none" w:sz="0" w:space="0" w:color="auto"/>
        <w:left w:val="none" w:sz="0" w:space="0" w:color="auto"/>
        <w:bottom w:val="none" w:sz="0" w:space="0" w:color="auto"/>
        <w:right w:val="none" w:sz="0" w:space="0" w:color="auto"/>
      </w:divBdr>
    </w:div>
    <w:div w:id="478770640">
      <w:bodyDiv w:val="1"/>
      <w:marLeft w:val="0"/>
      <w:marRight w:val="0"/>
      <w:marTop w:val="0"/>
      <w:marBottom w:val="0"/>
      <w:divBdr>
        <w:top w:val="none" w:sz="0" w:space="0" w:color="auto"/>
        <w:left w:val="none" w:sz="0" w:space="0" w:color="auto"/>
        <w:bottom w:val="none" w:sz="0" w:space="0" w:color="auto"/>
        <w:right w:val="none" w:sz="0" w:space="0" w:color="auto"/>
      </w:divBdr>
    </w:div>
    <w:div w:id="478885497">
      <w:bodyDiv w:val="1"/>
      <w:marLeft w:val="0"/>
      <w:marRight w:val="0"/>
      <w:marTop w:val="0"/>
      <w:marBottom w:val="0"/>
      <w:divBdr>
        <w:top w:val="none" w:sz="0" w:space="0" w:color="auto"/>
        <w:left w:val="none" w:sz="0" w:space="0" w:color="auto"/>
        <w:bottom w:val="none" w:sz="0" w:space="0" w:color="auto"/>
        <w:right w:val="none" w:sz="0" w:space="0" w:color="auto"/>
      </w:divBdr>
    </w:div>
    <w:div w:id="480271964">
      <w:bodyDiv w:val="1"/>
      <w:marLeft w:val="0"/>
      <w:marRight w:val="0"/>
      <w:marTop w:val="0"/>
      <w:marBottom w:val="0"/>
      <w:divBdr>
        <w:top w:val="none" w:sz="0" w:space="0" w:color="auto"/>
        <w:left w:val="none" w:sz="0" w:space="0" w:color="auto"/>
        <w:bottom w:val="none" w:sz="0" w:space="0" w:color="auto"/>
        <w:right w:val="none" w:sz="0" w:space="0" w:color="auto"/>
      </w:divBdr>
    </w:div>
    <w:div w:id="481429530">
      <w:bodyDiv w:val="1"/>
      <w:marLeft w:val="0"/>
      <w:marRight w:val="0"/>
      <w:marTop w:val="0"/>
      <w:marBottom w:val="0"/>
      <w:divBdr>
        <w:top w:val="none" w:sz="0" w:space="0" w:color="auto"/>
        <w:left w:val="none" w:sz="0" w:space="0" w:color="auto"/>
        <w:bottom w:val="none" w:sz="0" w:space="0" w:color="auto"/>
        <w:right w:val="none" w:sz="0" w:space="0" w:color="auto"/>
      </w:divBdr>
    </w:div>
    <w:div w:id="483395545">
      <w:bodyDiv w:val="1"/>
      <w:marLeft w:val="0"/>
      <w:marRight w:val="0"/>
      <w:marTop w:val="0"/>
      <w:marBottom w:val="0"/>
      <w:divBdr>
        <w:top w:val="none" w:sz="0" w:space="0" w:color="auto"/>
        <w:left w:val="none" w:sz="0" w:space="0" w:color="auto"/>
        <w:bottom w:val="none" w:sz="0" w:space="0" w:color="auto"/>
        <w:right w:val="none" w:sz="0" w:space="0" w:color="auto"/>
      </w:divBdr>
    </w:div>
    <w:div w:id="483859450">
      <w:bodyDiv w:val="1"/>
      <w:marLeft w:val="0"/>
      <w:marRight w:val="0"/>
      <w:marTop w:val="0"/>
      <w:marBottom w:val="0"/>
      <w:divBdr>
        <w:top w:val="none" w:sz="0" w:space="0" w:color="auto"/>
        <w:left w:val="none" w:sz="0" w:space="0" w:color="auto"/>
        <w:bottom w:val="none" w:sz="0" w:space="0" w:color="auto"/>
        <w:right w:val="none" w:sz="0" w:space="0" w:color="auto"/>
      </w:divBdr>
    </w:div>
    <w:div w:id="487552998">
      <w:bodyDiv w:val="1"/>
      <w:marLeft w:val="0"/>
      <w:marRight w:val="0"/>
      <w:marTop w:val="0"/>
      <w:marBottom w:val="0"/>
      <w:divBdr>
        <w:top w:val="none" w:sz="0" w:space="0" w:color="auto"/>
        <w:left w:val="none" w:sz="0" w:space="0" w:color="auto"/>
        <w:bottom w:val="none" w:sz="0" w:space="0" w:color="auto"/>
        <w:right w:val="none" w:sz="0" w:space="0" w:color="auto"/>
      </w:divBdr>
    </w:div>
    <w:div w:id="488405299">
      <w:bodyDiv w:val="1"/>
      <w:marLeft w:val="0"/>
      <w:marRight w:val="0"/>
      <w:marTop w:val="0"/>
      <w:marBottom w:val="0"/>
      <w:divBdr>
        <w:top w:val="none" w:sz="0" w:space="0" w:color="auto"/>
        <w:left w:val="none" w:sz="0" w:space="0" w:color="auto"/>
        <w:bottom w:val="none" w:sz="0" w:space="0" w:color="auto"/>
        <w:right w:val="none" w:sz="0" w:space="0" w:color="auto"/>
      </w:divBdr>
    </w:div>
    <w:div w:id="489442407">
      <w:bodyDiv w:val="1"/>
      <w:marLeft w:val="0"/>
      <w:marRight w:val="0"/>
      <w:marTop w:val="0"/>
      <w:marBottom w:val="0"/>
      <w:divBdr>
        <w:top w:val="none" w:sz="0" w:space="0" w:color="auto"/>
        <w:left w:val="none" w:sz="0" w:space="0" w:color="auto"/>
        <w:bottom w:val="none" w:sz="0" w:space="0" w:color="auto"/>
        <w:right w:val="none" w:sz="0" w:space="0" w:color="auto"/>
      </w:divBdr>
    </w:div>
    <w:div w:id="490029436">
      <w:bodyDiv w:val="1"/>
      <w:marLeft w:val="0"/>
      <w:marRight w:val="0"/>
      <w:marTop w:val="0"/>
      <w:marBottom w:val="0"/>
      <w:divBdr>
        <w:top w:val="none" w:sz="0" w:space="0" w:color="auto"/>
        <w:left w:val="none" w:sz="0" w:space="0" w:color="auto"/>
        <w:bottom w:val="none" w:sz="0" w:space="0" w:color="auto"/>
        <w:right w:val="none" w:sz="0" w:space="0" w:color="auto"/>
      </w:divBdr>
    </w:div>
    <w:div w:id="490947269">
      <w:bodyDiv w:val="1"/>
      <w:marLeft w:val="0"/>
      <w:marRight w:val="0"/>
      <w:marTop w:val="0"/>
      <w:marBottom w:val="0"/>
      <w:divBdr>
        <w:top w:val="none" w:sz="0" w:space="0" w:color="auto"/>
        <w:left w:val="none" w:sz="0" w:space="0" w:color="auto"/>
        <w:bottom w:val="none" w:sz="0" w:space="0" w:color="auto"/>
        <w:right w:val="none" w:sz="0" w:space="0" w:color="auto"/>
      </w:divBdr>
    </w:div>
    <w:div w:id="493374458">
      <w:bodyDiv w:val="1"/>
      <w:marLeft w:val="0"/>
      <w:marRight w:val="0"/>
      <w:marTop w:val="0"/>
      <w:marBottom w:val="0"/>
      <w:divBdr>
        <w:top w:val="none" w:sz="0" w:space="0" w:color="auto"/>
        <w:left w:val="none" w:sz="0" w:space="0" w:color="auto"/>
        <w:bottom w:val="none" w:sz="0" w:space="0" w:color="auto"/>
        <w:right w:val="none" w:sz="0" w:space="0" w:color="auto"/>
      </w:divBdr>
    </w:div>
    <w:div w:id="493379275">
      <w:bodyDiv w:val="1"/>
      <w:marLeft w:val="0"/>
      <w:marRight w:val="0"/>
      <w:marTop w:val="0"/>
      <w:marBottom w:val="0"/>
      <w:divBdr>
        <w:top w:val="none" w:sz="0" w:space="0" w:color="auto"/>
        <w:left w:val="none" w:sz="0" w:space="0" w:color="auto"/>
        <w:bottom w:val="none" w:sz="0" w:space="0" w:color="auto"/>
        <w:right w:val="none" w:sz="0" w:space="0" w:color="auto"/>
      </w:divBdr>
    </w:div>
    <w:div w:id="493765091">
      <w:bodyDiv w:val="1"/>
      <w:marLeft w:val="0"/>
      <w:marRight w:val="0"/>
      <w:marTop w:val="0"/>
      <w:marBottom w:val="0"/>
      <w:divBdr>
        <w:top w:val="none" w:sz="0" w:space="0" w:color="auto"/>
        <w:left w:val="none" w:sz="0" w:space="0" w:color="auto"/>
        <w:bottom w:val="none" w:sz="0" w:space="0" w:color="auto"/>
        <w:right w:val="none" w:sz="0" w:space="0" w:color="auto"/>
      </w:divBdr>
    </w:div>
    <w:div w:id="494540335">
      <w:bodyDiv w:val="1"/>
      <w:marLeft w:val="0"/>
      <w:marRight w:val="0"/>
      <w:marTop w:val="0"/>
      <w:marBottom w:val="0"/>
      <w:divBdr>
        <w:top w:val="none" w:sz="0" w:space="0" w:color="auto"/>
        <w:left w:val="none" w:sz="0" w:space="0" w:color="auto"/>
        <w:bottom w:val="none" w:sz="0" w:space="0" w:color="auto"/>
        <w:right w:val="none" w:sz="0" w:space="0" w:color="auto"/>
      </w:divBdr>
    </w:div>
    <w:div w:id="494952381">
      <w:bodyDiv w:val="1"/>
      <w:marLeft w:val="0"/>
      <w:marRight w:val="0"/>
      <w:marTop w:val="0"/>
      <w:marBottom w:val="0"/>
      <w:divBdr>
        <w:top w:val="none" w:sz="0" w:space="0" w:color="auto"/>
        <w:left w:val="none" w:sz="0" w:space="0" w:color="auto"/>
        <w:bottom w:val="none" w:sz="0" w:space="0" w:color="auto"/>
        <w:right w:val="none" w:sz="0" w:space="0" w:color="auto"/>
      </w:divBdr>
    </w:div>
    <w:div w:id="496920331">
      <w:bodyDiv w:val="1"/>
      <w:marLeft w:val="0"/>
      <w:marRight w:val="0"/>
      <w:marTop w:val="0"/>
      <w:marBottom w:val="0"/>
      <w:divBdr>
        <w:top w:val="none" w:sz="0" w:space="0" w:color="auto"/>
        <w:left w:val="none" w:sz="0" w:space="0" w:color="auto"/>
        <w:bottom w:val="none" w:sz="0" w:space="0" w:color="auto"/>
        <w:right w:val="none" w:sz="0" w:space="0" w:color="auto"/>
      </w:divBdr>
      <w:divsChild>
        <w:div w:id="951982795">
          <w:marLeft w:val="0"/>
          <w:marRight w:val="0"/>
          <w:marTop w:val="0"/>
          <w:marBottom w:val="0"/>
          <w:divBdr>
            <w:top w:val="none" w:sz="0" w:space="0" w:color="DDDDDD"/>
            <w:left w:val="none" w:sz="0" w:space="0" w:color="DDDDDD"/>
            <w:bottom w:val="none" w:sz="0" w:space="0" w:color="auto"/>
            <w:right w:val="none" w:sz="0" w:space="0" w:color="DDDDDD"/>
          </w:divBdr>
        </w:div>
        <w:div w:id="1785534033">
          <w:marLeft w:val="0"/>
          <w:marRight w:val="0"/>
          <w:marTop w:val="0"/>
          <w:marBottom w:val="0"/>
          <w:divBdr>
            <w:top w:val="none" w:sz="0" w:space="0" w:color="auto"/>
            <w:left w:val="none" w:sz="0" w:space="0" w:color="auto"/>
            <w:bottom w:val="none" w:sz="0" w:space="0" w:color="auto"/>
            <w:right w:val="none" w:sz="0" w:space="0" w:color="auto"/>
          </w:divBdr>
          <w:divsChild>
            <w:div w:id="13618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9231">
      <w:bodyDiv w:val="1"/>
      <w:marLeft w:val="0"/>
      <w:marRight w:val="0"/>
      <w:marTop w:val="0"/>
      <w:marBottom w:val="0"/>
      <w:divBdr>
        <w:top w:val="none" w:sz="0" w:space="0" w:color="auto"/>
        <w:left w:val="none" w:sz="0" w:space="0" w:color="auto"/>
        <w:bottom w:val="none" w:sz="0" w:space="0" w:color="auto"/>
        <w:right w:val="none" w:sz="0" w:space="0" w:color="auto"/>
      </w:divBdr>
    </w:div>
    <w:div w:id="499084746">
      <w:bodyDiv w:val="1"/>
      <w:marLeft w:val="0"/>
      <w:marRight w:val="0"/>
      <w:marTop w:val="0"/>
      <w:marBottom w:val="0"/>
      <w:divBdr>
        <w:top w:val="none" w:sz="0" w:space="0" w:color="auto"/>
        <w:left w:val="none" w:sz="0" w:space="0" w:color="auto"/>
        <w:bottom w:val="none" w:sz="0" w:space="0" w:color="auto"/>
        <w:right w:val="none" w:sz="0" w:space="0" w:color="auto"/>
      </w:divBdr>
    </w:div>
    <w:div w:id="499125484">
      <w:bodyDiv w:val="1"/>
      <w:marLeft w:val="0"/>
      <w:marRight w:val="0"/>
      <w:marTop w:val="0"/>
      <w:marBottom w:val="0"/>
      <w:divBdr>
        <w:top w:val="none" w:sz="0" w:space="0" w:color="auto"/>
        <w:left w:val="none" w:sz="0" w:space="0" w:color="auto"/>
        <w:bottom w:val="none" w:sz="0" w:space="0" w:color="auto"/>
        <w:right w:val="none" w:sz="0" w:space="0" w:color="auto"/>
      </w:divBdr>
    </w:div>
    <w:div w:id="501817839">
      <w:bodyDiv w:val="1"/>
      <w:marLeft w:val="0"/>
      <w:marRight w:val="0"/>
      <w:marTop w:val="0"/>
      <w:marBottom w:val="0"/>
      <w:divBdr>
        <w:top w:val="none" w:sz="0" w:space="0" w:color="auto"/>
        <w:left w:val="none" w:sz="0" w:space="0" w:color="auto"/>
        <w:bottom w:val="none" w:sz="0" w:space="0" w:color="auto"/>
        <w:right w:val="none" w:sz="0" w:space="0" w:color="auto"/>
      </w:divBdr>
    </w:div>
    <w:div w:id="501900375">
      <w:bodyDiv w:val="1"/>
      <w:marLeft w:val="0"/>
      <w:marRight w:val="0"/>
      <w:marTop w:val="0"/>
      <w:marBottom w:val="0"/>
      <w:divBdr>
        <w:top w:val="none" w:sz="0" w:space="0" w:color="auto"/>
        <w:left w:val="none" w:sz="0" w:space="0" w:color="auto"/>
        <w:bottom w:val="none" w:sz="0" w:space="0" w:color="auto"/>
        <w:right w:val="none" w:sz="0" w:space="0" w:color="auto"/>
      </w:divBdr>
    </w:div>
    <w:div w:id="501970585">
      <w:bodyDiv w:val="1"/>
      <w:marLeft w:val="0"/>
      <w:marRight w:val="0"/>
      <w:marTop w:val="0"/>
      <w:marBottom w:val="0"/>
      <w:divBdr>
        <w:top w:val="none" w:sz="0" w:space="0" w:color="auto"/>
        <w:left w:val="none" w:sz="0" w:space="0" w:color="auto"/>
        <w:bottom w:val="none" w:sz="0" w:space="0" w:color="auto"/>
        <w:right w:val="none" w:sz="0" w:space="0" w:color="auto"/>
      </w:divBdr>
    </w:div>
    <w:div w:id="504782533">
      <w:bodyDiv w:val="1"/>
      <w:marLeft w:val="0"/>
      <w:marRight w:val="0"/>
      <w:marTop w:val="0"/>
      <w:marBottom w:val="0"/>
      <w:divBdr>
        <w:top w:val="none" w:sz="0" w:space="0" w:color="auto"/>
        <w:left w:val="none" w:sz="0" w:space="0" w:color="auto"/>
        <w:bottom w:val="none" w:sz="0" w:space="0" w:color="auto"/>
        <w:right w:val="none" w:sz="0" w:space="0" w:color="auto"/>
      </w:divBdr>
    </w:div>
    <w:div w:id="507645702">
      <w:bodyDiv w:val="1"/>
      <w:marLeft w:val="0"/>
      <w:marRight w:val="0"/>
      <w:marTop w:val="0"/>
      <w:marBottom w:val="0"/>
      <w:divBdr>
        <w:top w:val="none" w:sz="0" w:space="0" w:color="auto"/>
        <w:left w:val="none" w:sz="0" w:space="0" w:color="auto"/>
        <w:bottom w:val="none" w:sz="0" w:space="0" w:color="auto"/>
        <w:right w:val="none" w:sz="0" w:space="0" w:color="auto"/>
      </w:divBdr>
    </w:div>
    <w:div w:id="508252974">
      <w:bodyDiv w:val="1"/>
      <w:marLeft w:val="0"/>
      <w:marRight w:val="0"/>
      <w:marTop w:val="0"/>
      <w:marBottom w:val="0"/>
      <w:divBdr>
        <w:top w:val="none" w:sz="0" w:space="0" w:color="auto"/>
        <w:left w:val="none" w:sz="0" w:space="0" w:color="auto"/>
        <w:bottom w:val="none" w:sz="0" w:space="0" w:color="auto"/>
        <w:right w:val="none" w:sz="0" w:space="0" w:color="auto"/>
      </w:divBdr>
    </w:div>
    <w:div w:id="508641881">
      <w:bodyDiv w:val="1"/>
      <w:marLeft w:val="0"/>
      <w:marRight w:val="0"/>
      <w:marTop w:val="0"/>
      <w:marBottom w:val="0"/>
      <w:divBdr>
        <w:top w:val="none" w:sz="0" w:space="0" w:color="auto"/>
        <w:left w:val="none" w:sz="0" w:space="0" w:color="auto"/>
        <w:bottom w:val="none" w:sz="0" w:space="0" w:color="auto"/>
        <w:right w:val="none" w:sz="0" w:space="0" w:color="auto"/>
      </w:divBdr>
    </w:div>
    <w:div w:id="510149887">
      <w:bodyDiv w:val="1"/>
      <w:marLeft w:val="0"/>
      <w:marRight w:val="0"/>
      <w:marTop w:val="0"/>
      <w:marBottom w:val="0"/>
      <w:divBdr>
        <w:top w:val="none" w:sz="0" w:space="0" w:color="auto"/>
        <w:left w:val="none" w:sz="0" w:space="0" w:color="auto"/>
        <w:bottom w:val="none" w:sz="0" w:space="0" w:color="auto"/>
        <w:right w:val="none" w:sz="0" w:space="0" w:color="auto"/>
      </w:divBdr>
    </w:div>
    <w:div w:id="510218191">
      <w:bodyDiv w:val="1"/>
      <w:marLeft w:val="0"/>
      <w:marRight w:val="0"/>
      <w:marTop w:val="0"/>
      <w:marBottom w:val="0"/>
      <w:divBdr>
        <w:top w:val="none" w:sz="0" w:space="0" w:color="auto"/>
        <w:left w:val="none" w:sz="0" w:space="0" w:color="auto"/>
        <w:bottom w:val="none" w:sz="0" w:space="0" w:color="auto"/>
        <w:right w:val="none" w:sz="0" w:space="0" w:color="auto"/>
      </w:divBdr>
    </w:div>
    <w:div w:id="510872676">
      <w:bodyDiv w:val="1"/>
      <w:marLeft w:val="0"/>
      <w:marRight w:val="0"/>
      <w:marTop w:val="0"/>
      <w:marBottom w:val="0"/>
      <w:divBdr>
        <w:top w:val="none" w:sz="0" w:space="0" w:color="auto"/>
        <w:left w:val="none" w:sz="0" w:space="0" w:color="auto"/>
        <w:bottom w:val="none" w:sz="0" w:space="0" w:color="auto"/>
        <w:right w:val="none" w:sz="0" w:space="0" w:color="auto"/>
      </w:divBdr>
    </w:div>
    <w:div w:id="511846181">
      <w:bodyDiv w:val="1"/>
      <w:marLeft w:val="0"/>
      <w:marRight w:val="0"/>
      <w:marTop w:val="0"/>
      <w:marBottom w:val="0"/>
      <w:divBdr>
        <w:top w:val="none" w:sz="0" w:space="0" w:color="auto"/>
        <w:left w:val="none" w:sz="0" w:space="0" w:color="auto"/>
        <w:bottom w:val="none" w:sz="0" w:space="0" w:color="auto"/>
        <w:right w:val="none" w:sz="0" w:space="0" w:color="auto"/>
      </w:divBdr>
    </w:div>
    <w:div w:id="511916992">
      <w:bodyDiv w:val="1"/>
      <w:marLeft w:val="0"/>
      <w:marRight w:val="0"/>
      <w:marTop w:val="0"/>
      <w:marBottom w:val="0"/>
      <w:divBdr>
        <w:top w:val="none" w:sz="0" w:space="0" w:color="auto"/>
        <w:left w:val="none" w:sz="0" w:space="0" w:color="auto"/>
        <w:bottom w:val="none" w:sz="0" w:space="0" w:color="auto"/>
        <w:right w:val="none" w:sz="0" w:space="0" w:color="auto"/>
      </w:divBdr>
    </w:div>
    <w:div w:id="511988997">
      <w:bodyDiv w:val="1"/>
      <w:marLeft w:val="0"/>
      <w:marRight w:val="0"/>
      <w:marTop w:val="0"/>
      <w:marBottom w:val="0"/>
      <w:divBdr>
        <w:top w:val="none" w:sz="0" w:space="0" w:color="auto"/>
        <w:left w:val="none" w:sz="0" w:space="0" w:color="auto"/>
        <w:bottom w:val="none" w:sz="0" w:space="0" w:color="auto"/>
        <w:right w:val="none" w:sz="0" w:space="0" w:color="auto"/>
      </w:divBdr>
    </w:div>
    <w:div w:id="512688415">
      <w:bodyDiv w:val="1"/>
      <w:marLeft w:val="0"/>
      <w:marRight w:val="0"/>
      <w:marTop w:val="0"/>
      <w:marBottom w:val="0"/>
      <w:divBdr>
        <w:top w:val="none" w:sz="0" w:space="0" w:color="auto"/>
        <w:left w:val="none" w:sz="0" w:space="0" w:color="auto"/>
        <w:bottom w:val="none" w:sz="0" w:space="0" w:color="auto"/>
        <w:right w:val="none" w:sz="0" w:space="0" w:color="auto"/>
      </w:divBdr>
    </w:div>
    <w:div w:id="513032104">
      <w:bodyDiv w:val="1"/>
      <w:marLeft w:val="0"/>
      <w:marRight w:val="0"/>
      <w:marTop w:val="0"/>
      <w:marBottom w:val="0"/>
      <w:divBdr>
        <w:top w:val="none" w:sz="0" w:space="0" w:color="auto"/>
        <w:left w:val="none" w:sz="0" w:space="0" w:color="auto"/>
        <w:bottom w:val="none" w:sz="0" w:space="0" w:color="auto"/>
        <w:right w:val="none" w:sz="0" w:space="0" w:color="auto"/>
      </w:divBdr>
    </w:div>
    <w:div w:id="514417758">
      <w:bodyDiv w:val="1"/>
      <w:marLeft w:val="0"/>
      <w:marRight w:val="0"/>
      <w:marTop w:val="0"/>
      <w:marBottom w:val="0"/>
      <w:divBdr>
        <w:top w:val="none" w:sz="0" w:space="0" w:color="auto"/>
        <w:left w:val="none" w:sz="0" w:space="0" w:color="auto"/>
        <w:bottom w:val="none" w:sz="0" w:space="0" w:color="auto"/>
        <w:right w:val="none" w:sz="0" w:space="0" w:color="auto"/>
      </w:divBdr>
    </w:div>
    <w:div w:id="514655180">
      <w:bodyDiv w:val="1"/>
      <w:marLeft w:val="0"/>
      <w:marRight w:val="0"/>
      <w:marTop w:val="0"/>
      <w:marBottom w:val="0"/>
      <w:divBdr>
        <w:top w:val="none" w:sz="0" w:space="0" w:color="auto"/>
        <w:left w:val="none" w:sz="0" w:space="0" w:color="auto"/>
        <w:bottom w:val="none" w:sz="0" w:space="0" w:color="auto"/>
        <w:right w:val="none" w:sz="0" w:space="0" w:color="auto"/>
      </w:divBdr>
    </w:div>
    <w:div w:id="514734233">
      <w:bodyDiv w:val="1"/>
      <w:marLeft w:val="0"/>
      <w:marRight w:val="0"/>
      <w:marTop w:val="0"/>
      <w:marBottom w:val="0"/>
      <w:divBdr>
        <w:top w:val="none" w:sz="0" w:space="0" w:color="auto"/>
        <w:left w:val="none" w:sz="0" w:space="0" w:color="auto"/>
        <w:bottom w:val="none" w:sz="0" w:space="0" w:color="auto"/>
        <w:right w:val="none" w:sz="0" w:space="0" w:color="auto"/>
      </w:divBdr>
    </w:div>
    <w:div w:id="515197388">
      <w:bodyDiv w:val="1"/>
      <w:marLeft w:val="0"/>
      <w:marRight w:val="0"/>
      <w:marTop w:val="0"/>
      <w:marBottom w:val="0"/>
      <w:divBdr>
        <w:top w:val="none" w:sz="0" w:space="0" w:color="auto"/>
        <w:left w:val="none" w:sz="0" w:space="0" w:color="auto"/>
        <w:bottom w:val="none" w:sz="0" w:space="0" w:color="auto"/>
        <w:right w:val="none" w:sz="0" w:space="0" w:color="auto"/>
      </w:divBdr>
    </w:div>
    <w:div w:id="517819496">
      <w:bodyDiv w:val="1"/>
      <w:marLeft w:val="0"/>
      <w:marRight w:val="0"/>
      <w:marTop w:val="0"/>
      <w:marBottom w:val="0"/>
      <w:divBdr>
        <w:top w:val="none" w:sz="0" w:space="0" w:color="auto"/>
        <w:left w:val="none" w:sz="0" w:space="0" w:color="auto"/>
        <w:bottom w:val="none" w:sz="0" w:space="0" w:color="auto"/>
        <w:right w:val="none" w:sz="0" w:space="0" w:color="auto"/>
      </w:divBdr>
    </w:div>
    <w:div w:id="519897194">
      <w:bodyDiv w:val="1"/>
      <w:marLeft w:val="0"/>
      <w:marRight w:val="0"/>
      <w:marTop w:val="0"/>
      <w:marBottom w:val="0"/>
      <w:divBdr>
        <w:top w:val="none" w:sz="0" w:space="0" w:color="auto"/>
        <w:left w:val="none" w:sz="0" w:space="0" w:color="auto"/>
        <w:bottom w:val="none" w:sz="0" w:space="0" w:color="auto"/>
        <w:right w:val="none" w:sz="0" w:space="0" w:color="auto"/>
      </w:divBdr>
    </w:div>
    <w:div w:id="519902979">
      <w:bodyDiv w:val="1"/>
      <w:marLeft w:val="0"/>
      <w:marRight w:val="0"/>
      <w:marTop w:val="0"/>
      <w:marBottom w:val="0"/>
      <w:divBdr>
        <w:top w:val="none" w:sz="0" w:space="0" w:color="auto"/>
        <w:left w:val="none" w:sz="0" w:space="0" w:color="auto"/>
        <w:bottom w:val="none" w:sz="0" w:space="0" w:color="auto"/>
        <w:right w:val="none" w:sz="0" w:space="0" w:color="auto"/>
      </w:divBdr>
    </w:div>
    <w:div w:id="519977008">
      <w:bodyDiv w:val="1"/>
      <w:marLeft w:val="0"/>
      <w:marRight w:val="0"/>
      <w:marTop w:val="0"/>
      <w:marBottom w:val="0"/>
      <w:divBdr>
        <w:top w:val="none" w:sz="0" w:space="0" w:color="auto"/>
        <w:left w:val="none" w:sz="0" w:space="0" w:color="auto"/>
        <w:bottom w:val="none" w:sz="0" w:space="0" w:color="auto"/>
        <w:right w:val="none" w:sz="0" w:space="0" w:color="auto"/>
      </w:divBdr>
    </w:div>
    <w:div w:id="521284074">
      <w:bodyDiv w:val="1"/>
      <w:marLeft w:val="0"/>
      <w:marRight w:val="0"/>
      <w:marTop w:val="0"/>
      <w:marBottom w:val="0"/>
      <w:divBdr>
        <w:top w:val="none" w:sz="0" w:space="0" w:color="auto"/>
        <w:left w:val="none" w:sz="0" w:space="0" w:color="auto"/>
        <w:bottom w:val="none" w:sz="0" w:space="0" w:color="auto"/>
        <w:right w:val="none" w:sz="0" w:space="0" w:color="auto"/>
      </w:divBdr>
    </w:div>
    <w:div w:id="521477817">
      <w:bodyDiv w:val="1"/>
      <w:marLeft w:val="0"/>
      <w:marRight w:val="0"/>
      <w:marTop w:val="0"/>
      <w:marBottom w:val="0"/>
      <w:divBdr>
        <w:top w:val="none" w:sz="0" w:space="0" w:color="auto"/>
        <w:left w:val="none" w:sz="0" w:space="0" w:color="auto"/>
        <w:bottom w:val="none" w:sz="0" w:space="0" w:color="auto"/>
        <w:right w:val="none" w:sz="0" w:space="0" w:color="auto"/>
      </w:divBdr>
    </w:div>
    <w:div w:id="522019204">
      <w:bodyDiv w:val="1"/>
      <w:marLeft w:val="0"/>
      <w:marRight w:val="0"/>
      <w:marTop w:val="0"/>
      <w:marBottom w:val="0"/>
      <w:divBdr>
        <w:top w:val="none" w:sz="0" w:space="0" w:color="auto"/>
        <w:left w:val="none" w:sz="0" w:space="0" w:color="auto"/>
        <w:bottom w:val="none" w:sz="0" w:space="0" w:color="auto"/>
        <w:right w:val="none" w:sz="0" w:space="0" w:color="auto"/>
      </w:divBdr>
    </w:div>
    <w:div w:id="523174164">
      <w:bodyDiv w:val="1"/>
      <w:marLeft w:val="0"/>
      <w:marRight w:val="0"/>
      <w:marTop w:val="0"/>
      <w:marBottom w:val="0"/>
      <w:divBdr>
        <w:top w:val="none" w:sz="0" w:space="0" w:color="auto"/>
        <w:left w:val="none" w:sz="0" w:space="0" w:color="auto"/>
        <w:bottom w:val="none" w:sz="0" w:space="0" w:color="auto"/>
        <w:right w:val="none" w:sz="0" w:space="0" w:color="auto"/>
      </w:divBdr>
    </w:div>
    <w:div w:id="525141596">
      <w:bodyDiv w:val="1"/>
      <w:marLeft w:val="0"/>
      <w:marRight w:val="0"/>
      <w:marTop w:val="0"/>
      <w:marBottom w:val="0"/>
      <w:divBdr>
        <w:top w:val="none" w:sz="0" w:space="0" w:color="auto"/>
        <w:left w:val="none" w:sz="0" w:space="0" w:color="auto"/>
        <w:bottom w:val="none" w:sz="0" w:space="0" w:color="auto"/>
        <w:right w:val="none" w:sz="0" w:space="0" w:color="auto"/>
      </w:divBdr>
    </w:div>
    <w:div w:id="525214174">
      <w:bodyDiv w:val="1"/>
      <w:marLeft w:val="0"/>
      <w:marRight w:val="0"/>
      <w:marTop w:val="0"/>
      <w:marBottom w:val="0"/>
      <w:divBdr>
        <w:top w:val="none" w:sz="0" w:space="0" w:color="auto"/>
        <w:left w:val="none" w:sz="0" w:space="0" w:color="auto"/>
        <w:bottom w:val="none" w:sz="0" w:space="0" w:color="auto"/>
        <w:right w:val="none" w:sz="0" w:space="0" w:color="auto"/>
      </w:divBdr>
    </w:div>
    <w:div w:id="525679901">
      <w:bodyDiv w:val="1"/>
      <w:marLeft w:val="0"/>
      <w:marRight w:val="0"/>
      <w:marTop w:val="0"/>
      <w:marBottom w:val="0"/>
      <w:divBdr>
        <w:top w:val="none" w:sz="0" w:space="0" w:color="auto"/>
        <w:left w:val="none" w:sz="0" w:space="0" w:color="auto"/>
        <w:bottom w:val="none" w:sz="0" w:space="0" w:color="auto"/>
        <w:right w:val="none" w:sz="0" w:space="0" w:color="auto"/>
      </w:divBdr>
    </w:div>
    <w:div w:id="525682073">
      <w:bodyDiv w:val="1"/>
      <w:marLeft w:val="0"/>
      <w:marRight w:val="0"/>
      <w:marTop w:val="0"/>
      <w:marBottom w:val="0"/>
      <w:divBdr>
        <w:top w:val="none" w:sz="0" w:space="0" w:color="auto"/>
        <w:left w:val="none" w:sz="0" w:space="0" w:color="auto"/>
        <w:bottom w:val="none" w:sz="0" w:space="0" w:color="auto"/>
        <w:right w:val="none" w:sz="0" w:space="0" w:color="auto"/>
      </w:divBdr>
    </w:div>
    <w:div w:id="525752098">
      <w:bodyDiv w:val="1"/>
      <w:marLeft w:val="0"/>
      <w:marRight w:val="0"/>
      <w:marTop w:val="0"/>
      <w:marBottom w:val="0"/>
      <w:divBdr>
        <w:top w:val="none" w:sz="0" w:space="0" w:color="auto"/>
        <w:left w:val="none" w:sz="0" w:space="0" w:color="auto"/>
        <w:bottom w:val="none" w:sz="0" w:space="0" w:color="auto"/>
        <w:right w:val="none" w:sz="0" w:space="0" w:color="auto"/>
      </w:divBdr>
    </w:div>
    <w:div w:id="525869320">
      <w:bodyDiv w:val="1"/>
      <w:marLeft w:val="0"/>
      <w:marRight w:val="0"/>
      <w:marTop w:val="0"/>
      <w:marBottom w:val="0"/>
      <w:divBdr>
        <w:top w:val="none" w:sz="0" w:space="0" w:color="auto"/>
        <w:left w:val="none" w:sz="0" w:space="0" w:color="auto"/>
        <w:bottom w:val="none" w:sz="0" w:space="0" w:color="auto"/>
        <w:right w:val="none" w:sz="0" w:space="0" w:color="auto"/>
      </w:divBdr>
    </w:div>
    <w:div w:id="527256986">
      <w:bodyDiv w:val="1"/>
      <w:marLeft w:val="0"/>
      <w:marRight w:val="0"/>
      <w:marTop w:val="0"/>
      <w:marBottom w:val="0"/>
      <w:divBdr>
        <w:top w:val="none" w:sz="0" w:space="0" w:color="auto"/>
        <w:left w:val="none" w:sz="0" w:space="0" w:color="auto"/>
        <w:bottom w:val="none" w:sz="0" w:space="0" w:color="auto"/>
        <w:right w:val="none" w:sz="0" w:space="0" w:color="auto"/>
      </w:divBdr>
    </w:div>
    <w:div w:id="528640595">
      <w:bodyDiv w:val="1"/>
      <w:marLeft w:val="0"/>
      <w:marRight w:val="0"/>
      <w:marTop w:val="0"/>
      <w:marBottom w:val="0"/>
      <w:divBdr>
        <w:top w:val="none" w:sz="0" w:space="0" w:color="auto"/>
        <w:left w:val="none" w:sz="0" w:space="0" w:color="auto"/>
        <w:bottom w:val="none" w:sz="0" w:space="0" w:color="auto"/>
        <w:right w:val="none" w:sz="0" w:space="0" w:color="auto"/>
      </w:divBdr>
    </w:div>
    <w:div w:id="529732372">
      <w:bodyDiv w:val="1"/>
      <w:marLeft w:val="0"/>
      <w:marRight w:val="0"/>
      <w:marTop w:val="0"/>
      <w:marBottom w:val="0"/>
      <w:divBdr>
        <w:top w:val="none" w:sz="0" w:space="0" w:color="auto"/>
        <w:left w:val="none" w:sz="0" w:space="0" w:color="auto"/>
        <w:bottom w:val="none" w:sz="0" w:space="0" w:color="auto"/>
        <w:right w:val="none" w:sz="0" w:space="0" w:color="auto"/>
      </w:divBdr>
    </w:div>
    <w:div w:id="530536048">
      <w:bodyDiv w:val="1"/>
      <w:marLeft w:val="0"/>
      <w:marRight w:val="0"/>
      <w:marTop w:val="0"/>
      <w:marBottom w:val="0"/>
      <w:divBdr>
        <w:top w:val="none" w:sz="0" w:space="0" w:color="auto"/>
        <w:left w:val="none" w:sz="0" w:space="0" w:color="auto"/>
        <w:bottom w:val="none" w:sz="0" w:space="0" w:color="auto"/>
        <w:right w:val="none" w:sz="0" w:space="0" w:color="auto"/>
      </w:divBdr>
    </w:div>
    <w:div w:id="531235254">
      <w:bodyDiv w:val="1"/>
      <w:marLeft w:val="0"/>
      <w:marRight w:val="0"/>
      <w:marTop w:val="0"/>
      <w:marBottom w:val="0"/>
      <w:divBdr>
        <w:top w:val="none" w:sz="0" w:space="0" w:color="auto"/>
        <w:left w:val="none" w:sz="0" w:space="0" w:color="auto"/>
        <w:bottom w:val="none" w:sz="0" w:space="0" w:color="auto"/>
        <w:right w:val="none" w:sz="0" w:space="0" w:color="auto"/>
      </w:divBdr>
    </w:div>
    <w:div w:id="532304166">
      <w:bodyDiv w:val="1"/>
      <w:marLeft w:val="0"/>
      <w:marRight w:val="0"/>
      <w:marTop w:val="0"/>
      <w:marBottom w:val="0"/>
      <w:divBdr>
        <w:top w:val="none" w:sz="0" w:space="0" w:color="auto"/>
        <w:left w:val="none" w:sz="0" w:space="0" w:color="auto"/>
        <w:bottom w:val="none" w:sz="0" w:space="0" w:color="auto"/>
        <w:right w:val="none" w:sz="0" w:space="0" w:color="auto"/>
      </w:divBdr>
    </w:div>
    <w:div w:id="532690916">
      <w:bodyDiv w:val="1"/>
      <w:marLeft w:val="0"/>
      <w:marRight w:val="0"/>
      <w:marTop w:val="0"/>
      <w:marBottom w:val="0"/>
      <w:divBdr>
        <w:top w:val="none" w:sz="0" w:space="0" w:color="auto"/>
        <w:left w:val="none" w:sz="0" w:space="0" w:color="auto"/>
        <w:bottom w:val="none" w:sz="0" w:space="0" w:color="auto"/>
        <w:right w:val="none" w:sz="0" w:space="0" w:color="auto"/>
      </w:divBdr>
    </w:div>
    <w:div w:id="533035051">
      <w:bodyDiv w:val="1"/>
      <w:marLeft w:val="0"/>
      <w:marRight w:val="0"/>
      <w:marTop w:val="0"/>
      <w:marBottom w:val="0"/>
      <w:divBdr>
        <w:top w:val="none" w:sz="0" w:space="0" w:color="auto"/>
        <w:left w:val="none" w:sz="0" w:space="0" w:color="auto"/>
        <w:bottom w:val="none" w:sz="0" w:space="0" w:color="auto"/>
        <w:right w:val="none" w:sz="0" w:space="0" w:color="auto"/>
      </w:divBdr>
    </w:div>
    <w:div w:id="533735147">
      <w:bodyDiv w:val="1"/>
      <w:marLeft w:val="0"/>
      <w:marRight w:val="0"/>
      <w:marTop w:val="0"/>
      <w:marBottom w:val="0"/>
      <w:divBdr>
        <w:top w:val="none" w:sz="0" w:space="0" w:color="auto"/>
        <w:left w:val="none" w:sz="0" w:space="0" w:color="auto"/>
        <w:bottom w:val="none" w:sz="0" w:space="0" w:color="auto"/>
        <w:right w:val="none" w:sz="0" w:space="0" w:color="auto"/>
      </w:divBdr>
    </w:div>
    <w:div w:id="534124546">
      <w:bodyDiv w:val="1"/>
      <w:marLeft w:val="0"/>
      <w:marRight w:val="0"/>
      <w:marTop w:val="0"/>
      <w:marBottom w:val="0"/>
      <w:divBdr>
        <w:top w:val="none" w:sz="0" w:space="0" w:color="auto"/>
        <w:left w:val="none" w:sz="0" w:space="0" w:color="auto"/>
        <w:bottom w:val="none" w:sz="0" w:space="0" w:color="auto"/>
        <w:right w:val="none" w:sz="0" w:space="0" w:color="auto"/>
      </w:divBdr>
    </w:div>
    <w:div w:id="535968772">
      <w:bodyDiv w:val="1"/>
      <w:marLeft w:val="0"/>
      <w:marRight w:val="0"/>
      <w:marTop w:val="0"/>
      <w:marBottom w:val="0"/>
      <w:divBdr>
        <w:top w:val="none" w:sz="0" w:space="0" w:color="auto"/>
        <w:left w:val="none" w:sz="0" w:space="0" w:color="auto"/>
        <w:bottom w:val="none" w:sz="0" w:space="0" w:color="auto"/>
        <w:right w:val="none" w:sz="0" w:space="0" w:color="auto"/>
      </w:divBdr>
    </w:div>
    <w:div w:id="536049354">
      <w:bodyDiv w:val="1"/>
      <w:marLeft w:val="0"/>
      <w:marRight w:val="0"/>
      <w:marTop w:val="0"/>
      <w:marBottom w:val="0"/>
      <w:divBdr>
        <w:top w:val="none" w:sz="0" w:space="0" w:color="auto"/>
        <w:left w:val="none" w:sz="0" w:space="0" w:color="auto"/>
        <w:bottom w:val="none" w:sz="0" w:space="0" w:color="auto"/>
        <w:right w:val="none" w:sz="0" w:space="0" w:color="auto"/>
      </w:divBdr>
    </w:div>
    <w:div w:id="536506866">
      <w:bodyDiv w:val="1"/>
      <w:marLeft w:val="0"/>
      <w:marRight w:val="0"/>
      <w:marTop w:val="0"/>
      <w:marBottom w:val="0"/>
      <w:divBdr>
        <w:top w:val="none" w:sz="0" w:space="0" w:color="auto"/>
        <w:left w:val="none" w:sz="0" w:space="0" w:color="auto"/>
        <w:bottom w:val="none" w:sz="0" w:space="0" w:color="auto"/>
        <w:right w:val="none" w:sz="0" w:space="0" w:color="auto"/>
      </w:divBdr>
    </w:div>
    <w:div w:id="537473633">
      <w:bodyDiv w:val="1"/>
      <w:marLeft w:val="0"/>
      <w:marRight w:val="0"/>
      <w:marTop w:val="0"/>
      <w:marBottom w:val="0"/>
      <w:divBdr>
        <w:top w:val="none" w:sz="0" w:space="0" w:color="auto"/>
        <w:left w:val="none" w:sz="0" w:space="0" w:color="auto"/>
        <w:bottom w:val="none" w:sz="0" w:space="0" w:color="auto"/>
        <w:right w:val="none" w:sz="0" w:space="0" w:color="auto"/>
      </w:divBdr>
    </w:div>
    <w:div w:id="539246297">
      <w:bodyDiv w:val="1"/>
      <w:marLeft w:val="0"/>
      <w:marRight w:val="0"/>
      <w:marTop w:val="0"/>
      <w:marBottom w:val="0"/>
      <w:divBdr>
        <w:top w:val="none" w:sz="0" w:space="0" w:color="auto"/>
        <w:left w:val="none" w:sz="0" w:space="0" w:color="auto"/>
        <w:bottom w:val="none" w:sz="0" w:space="0" w:color="auto"/>
        <w:right w:val="none" w:sz="0" w:space="0" w:color="auto"/>
      </w:divBdr>
    </w:div>
    <w:div w:id="539897240">
      <w:bodyDiv w:val="1"/>
      <w:marLeft w:val="0"/>
      <w:marRight w:val="0"/>
      <w:marTop w:val="0"/>
      <w:marBottom w:val="0"/>
      <w:divBdr>
        <w:top w:val="none" w:sz="0" w:space="0" w:color="auto"/>
        <w:left w:val="none" w:sz="0" w:space="0" w:color="auto"/>
        <w:bottom w:val="none" w:sz="0" w:space="0" w:color="auto"/>
        <w:right w:val="none" w:sz="0" w:space="0" w:color="auto"/>
      </w:divBdr>
    </w:div>
    <w:div w:id="539903454">
      <w:bodyDiv w:val="1"/>
      <w:marLeft w:val="0"/>
      <w:marRight w:val="0"/>
      <w:marTop w:val="0"/>
      <w:marBottom w:val="0"/>
      <w:divBdr>
        <w:top w:val="none" w:sz="0" w:space="0" w:color="auto"/>
        <w:left w:val="none" w:sz="0" w:space="0" w:color="auto"/>
        <w:bottom w:val="none" w:sz="0" w:space="0" w:color="auto"/>
        <w:right w:val="none" w:sz="0" w:space="0" w:color="auto"/>
      </w:divBdr>
    </w:div>
    <w:div w:id="540358605">
      <w:bodyDiv w:val="1"/>
      <w:marLeft w:val="0"/>
      <w:marRight w:val="0"/>
      <w:marTop w:val="0"/>
      <w:marBottom w:val="0"/>
      <w:divBdr>
        <w:top w:val="none" w:sz="0" w:space="0" w:color="auto"/>
        <w:left w:val="none" w:sz="0" w:space="0" w:color="auto"/>
        <w:bottom w:val="none" w:sz="0" w:space="0" w:color="auto"/>
        <w:right w:val="none" w:sz="0" w:space="0" w:color="auto"/>
      </w:divBdr>
    </w:div>
    <w:div w:id="540479992">
      <w:bodyDiv w:val="1"/>
      <w:marLeft w:val="0"/>
      <w:marRight w:val="0"/>
      <w:marTop w:val="0"/>
      <w:marBottom w:val="0"/>
      <w:divBdr>
        <w:top w:val="none" w:sz="0" w:space="0" w:color="auto"/>
        <w:left w:val="none" w:sz="0" w:space="0" w:color="auto"/>
        <w:bottom w:val="none" w:sz="0" w:space="0" w:color="auto"/>
        <w:right w:val="none" w:sz="0" w:space="0" w:color="auto"/>
      </w:divBdr>
    </w:div>
    <w:div w:id="542861869">
      <w:bodyDiv w:val="1"/>
      <w:marLeft w:val="0"/>
      <w:marRight w:val="0"/>
      <w:marTop w:val="0"/>
      <w:marBottom w:val="0"/>
      <w:divBdr>
        <w:top w:val="none" w:sz="0" w:space="0" w:color="auto"/>
        <w:left w:val="none" w:sz="0" w:space="0" w:color="auto"/>
        <w:bottom w:val="none" w:sz="0" w:space="0" w:color="auto"/>
        <w:right w:val="none" w:sz="0" w:space="0" w:color="auto"/>
      </w:divBdr>
    </w:div>
    <w:div w:id="544559334">
      <w:bodyDiv w:val="1"/>
      <w:marLeft w:val="0"/>
      <w:marRight w:val="0"/>
      <w:marTop w:val="0"/>
      <w:marBottom w:val="0"/>
      <w:divBdr>
        <w:top w:val="none" w:sz="0" w:space="0" w:color="auto"/>
        <w:left w:val="none" w:sz="0" w:space="0" w:color="auto"/>
        <w:bottom w:val="none" w:sz="0" w:space="0" w:color="auto"/>
        <w:right w:val="none" w:sz="0" w:space="0" w:color="auto"/>
      </w:divBdr>
    </w:div>
    <w:div w:id="544954248">
      <w:bodyDiv w:val="1"/>
      <w:marLeft w:val="0"/>
      <w:marRight w:val="0"/>
      <w:marTop w:val="0"/>
      <w:marBottom w:val="0"/>
      <w:divBdr>
        <w:top w:val="none" w:sz="0" w:space="0" w:color="auto"/>
        <w:left w:val="none" w:sz="0" w:space="0" w:color="auto"/>
        <w:bottom w:val="none" w:sz="0" w:space="0" w:color="auto"/>
        <w:right w:val="none" w:sz="0" w:space="0" w:color="auto"/>
      </w:divBdr>
    </w:div>
    <w:div w:id="545024599">
      <w:bodyDiv w:val="1"/>
      <w:marLeft w:val="0"/>
      <w:marRight w:val="0"/>
      <w:marTop w:val="0"/>
      <w:marBottom w:val="0"/>
      <w:divBdr>
        <w:top w:val="none" w:sz="0" w:space="0" w:color="auto"/>
        <w:left w:val="none" w:sz="0" w:space="0" w:color="auto"/>
        <w:bottom w:val="none" w:sz="0" w:space="0" w:color="auto"/>
        <w:right w:val="none" w:sz="0" w:space="0" w:color="auto"/>
      </w:divBdr>
    </w:div>
    <w:div w:id="545264900">
      <w:bodyDiv w:val="1"/>
      <w:marLeft w:val="0"/>
      <w:marRight w:val="0"/>
      <w:marTop w:val="0"/>
      <w:marBottom w:val="0"/>
      <w:divBdr>
        <w:top w:val="none" w:sz="0" w:space="0" w:color="auto"/>
        <w:left w:val="none" w:sz="0" w:space="0" w:color="auto"/>
        <w:bottom w:val="none" w:sz="0" w:space="0" w:color="auto"/>
        <w:right w:val="none" w:sz="0" w:space="0" w:color="auto"/>
      </w:divBdr>
    </w:div>
    <w:div w:id="545799947">
      <w:bodyDiv w:val="1"/>
      <w:marLeft w:val="0"/>
      <w:marRight w:val="0"/>
      <w:marTop w:val="0"/>
      <w:marBottom w:val="0"/>
      <w:divBdr>
        <w:top w:val="none" w:sz="0" w:space="0" w:color="auto"/>
        <w:left w:val="none" w:sz="0" w:space="0" w:color="auto"/>
        <w:bottom w:val="none" w:sz="0" w:space="0" w:color="auto"/>
        <w:right w:val="none" w:sz="0" w:space="0" w:color="auto"/>
      </w:divBdr>
    </w:div>
    <w:div w:id="547452060">
      <w:bodyDiv w:val="1"/>
      <w:marLeft w:val="0"/>
      <w:marRight w:val="0"/>
      <w:marTop w:val="0"/>
      <w:marBottom w:val="0"/>
      <w:divBdr>
        <w:top w:val="none" w:sz="0" w:space="0" w:color="auto"/>
        <w:left w:val="none" w:sz="0" w:space="0" w:color="auto"/>
        <w:bottom w:val="none" w:sz="0" w:space="0" w:color="auto"/>
        <w:right w:val="none" w:sz="0" w:space="0" w:color="auto"/>
      </w:divBdr>
    </w:div>
    <w:div w:id="547498003">
      <w:bodyDiv w:val="1"/>
      <w:marLeft w:val="0"/>
      <w:marRight w:val="0"/>
      <w:marTop w:val="0"/>
      <w:marBottom w:val="0"/>
      <w:divBdr>
        <w:top w:val="none" w:sz="0" w:space="0" w:color="auto"/>
        <w:left w:val="none" w:sz="0" w:space="0" w:color="auto"/>
        <w:bottom w:val="none" w:sz="0" w:space="0" w:color="auto"/>
        <w:right w:val="none" w:sz="0" w:space="0" w:color="auto"/>
      </w:divBdr>
    </w:div>
    <w:div w:id="548803566">
      <w:bodyDiv w:val="1"/>
      <w:marLeft w:val="0"/>
      <w:marRight w:val="0"/>
      <w:marTop w:val="0"/>
      <w:marBottom w:val="0"/>
      <w:divBdr>
        <w:top w:val="none" w:sz="0" w:space="0" w:color="auto"/>
        <w:left w:val="none" w:sz="0" w:space="0" w:color="auto"/>
        <w:bottom w:val="none" w:sz="0" w:space="0" w:color="auto"/>
        <w:right w:val="none" w:sz="0" w:space="0" w:color="auto"/>
      </w:divBdr>
    </w:div>
    <w:div w:id="548810428">
      <w:bodyDiv w:val="1"/>
      <w:marLeft w:val="0"/>
      <w:marRight w:val="0"/>
      <w:marTop w:val="0"/>
      <w:marBottom w:val="0"/>
      <w:divBdr>
        <w:top w:val="none" w:sz="0" w:space="0" w:color="auto"/>
        <w:left w:val="none" w:sz="0" w:space="0" w:color="auto"/>
        <w:bottom w:val="none" w:sz="0" w:space="0" w:color="auto"/>
        <w:right w:val="none" w:sz="0" w:space="0" w:color="auto"/>
      </w:divBdr>
    </w:div>
    <w:div w:id="549388580">
      <w:bodyDiv w:val="1"/>
      <w:marLeft w:val="0"/>
      <w:marRight w:val="0"/>
      <w:marTop w:val="0"/>
      <w:marBottom w:val="0"/>
      <w:divBdr>
        <w:top w:val="none" w:sz="0" w:space="0" w:color="auto"/>
        <w:left w:val="none" w:sz="0" w:space="0" w:color="auto"/>
        <w:bottom w:val="none" w:sz="0" w:space="0" w:color="auto"/>
        <w:right w:val="none" w:sz="0" w:space="0" w:color="auto"/>
      </w:divBdr>
    </w:div>
    <w:div w:id="550924410">
      <w:bodyDiv w:val="1"/>
      <w:marLeft w:val="0"/>
      <w:marRight w:val="0"/>
      <w:marTop w:val="0"/>
      <w:marBottom w:val="0"/>
      <w:divBdr>
        <w:top w:val="none" w:sz="0" w:space="0" w:color="auto"/>
        <w:left w:val="none" w:sz="0" w:space="0" w:color="auto"/>
        <w:bottom w:val="none" w:sz="0" w:space="0" w:color="auto"/>
        <w:right w:val="none" w:sz="0" w:space="0" w:color="auto"/>
      </w:divBdr>
    </w:div>
    <w:div w:id="550967336">
      <w:bodyDiv w:val="1"/>
      <w:marLeft w:val="0"/>
      <w:marRight w:val="0"/>
      <w:marTop w:val="0"/>
      <w:marBottom w:val="0"/>
      <w:divBdr>
        <w:top w:val="none" w:sz="0" w:space="0" w:color="auto"/>
        <w:left w:val="none" w:sz="0" w:space="0" w:color="auto"/>
        <w:bottom w:val="none" w:sz="0" w:space="0" w:color="auto"/>
        <w:right w:val="none" w:sz="0" w:space="0" w:color="auto"/>
      </w:divBdr>
    </w:div>
    <w:div w:id="552350637">
      <w:bodyDiv w:val="1"/>
      <w:marLeft w:val="0"/>
      <w:marRight w:val="0"/>
      <w:marTop w:val="0"/>
      <w:marBottom w:val="0"/>
      <w:divBdr>
        <w:top w:val="none" w:sz="0" w:space="0" w:color="auto"/>
        <w:left w:val="none" w:sz="0" w:space="0" w:color="auto"/>
        <w:bottom w:val="none" w:sz="0" w:space="0" w:color="auto"/>
        <w:right w:val="none" w:sz="0" w:space="0" w:color="auto"/>
      </w:divBdr>
    </w:div>
    <w:div w:id="552472133">
      <w:bodyDiv w:val="1"/>
      <w:marLeft w:val="0"/>
      <w:marRight w:val="0"/>
      <w:marTop w:val="0"/>
      <w:marBottom w:val="0"/>
      <w:divBdr>
        <w:top w:val="none" w:sz="0" w:space="0" w:color="auto"/>
        <w:left w:val="none" w:sz="0" w:space="0" w:color="auto"/>
        <w:bottom w:val="none" w:sz="0" w:space="0" w:color="auto"/>
        <w:right w:val="none" w:sz="0" w:space="0" w:color="auto"/>
      </w:divBdr>
    </w:div>
    <w:div w:id="553741759">
      <w:bodyDiv w:val="1"/>
      <w:marLeft w:val="0"/>
      <w:marRight w:val="0"/>
      <w:marTop w:val="0"/>
      <w:marBottom w:val="0"/>
      <w:divBdr>
        <w:top w:val="none" w:sz="0" w:space="0" w:color="auto"/>
        <w:left w:val="none" w:sz="0" w:space="0" w:color="auto"/>
        <w:bottom w:val="none" w:sz="0" w:space="0" w:color="auto"/>
        <w:right w:val="none" w:sz="0" w:space="0" w:color="auto"/>
      </w:divBdr>
    </w:div>
    <w:div w:id="553851811">
      <w:bodyDiv w:val="1"/>
      <w:marLeft w:val="0"/>
      <w:marRight w:val="0"/>
      <w:marTop w:val="0"/>
      <w:marBottom w:val="0"/>
      <w:divBdr>
        <w:top w:val="none" w:sz="0" w:space="0" w:color="auto"/>
        <w:left w:val="none" w:sz="0" w:space="0" w:color="auto"/>
        <w:bottom w:val="none" w:sz="0" w:space="0" w:color="auto"/>
        <w:right w:val="none" w:sz="0" w:space="0" w:color="auto"/>
      </w:divBdr>
    </w:div>
    <w:div w:id="553931083">
      <w:bodyDiv w:val="1"/>
      <w:marLeft w:val="0"/>
      <w:marRight w:val="0"/>
      <w:marTop w:val="0"/>
      <w:marBottom w:val="0"/>
      <w:divBdr>
        <w:top w:val="none" w:sz="0" w:space="0" w:color="auto"/>
        <w:left w:val="none" w:sz="0" w:space="0" w:color="auto"/>
        <w:bottom w:val="none" w:sz="0" w:space="0" w:color="auto"/>
        <w:right w:val="none" w:sz="0" w:space="0" w:color="auto"/>
      </w:divBdr>
    </w:div>
    <w:div w:id="554390801">
      <w:bodyDiv w:val="1"/>
      <w:marLeft w:val="0"/>
      <w:marRight w:val="0"/>
      <w:marTop w:val="0"/>
      <w:marBottom w:val="0"/>
      <w:divBdr>
        <w:top w:val="none" w:sz="0" w:space="0" w:color="auto"/>
        <w:left w:val="none" w:sz="0" w:space="0" w:color="auto"/>
        <w:bottom w:val="none" w:sz="0" w:space="0" w:color="auto"/>
        <w:right w:val="none" w:sz="0" w:space="0" w:color="auto"/>
      </w:divBdr>
    </w:div>
    <w:div w:id="555511394">
      <w:bodyDiv w:val="1"/>
      <w:marLeft w:val="0"/>
      <w:marRight w:val="0"/>
      <w:marTop w:val="0"/>
      <w:marBottom w:val="0"/>
      <w:divBdr>
        <w:top w:val="none" w:sz="0" w:space="0" w:color="auto"/>
        <w:left w:val="none" w:sz="0" w:space="0" w:color="auto"/>
        <w:bottom w:val="none" w:sz="0" w:space="0" w:color="auto"/>
        <w:right w:val="none" w:sz="0" w:space="0" w:color="auto"/>
      </w:divBdr>
    </w:div>
    <w:div w:id="556016267">
      <w:bodyDiv w:val="1"/>
      <w:marLeft w:val="0"/>
      <w:marRight w:val="0"/>
      <w:marTop w:val="0"/>
      <w:marBottom w:val="0"/>
      <w:divBdr>
        <w:top w:val="none" w:sz="0" w:space="0" w:color="auto"/>
        <w:left w:val="none" w:sz="0" w:space="0" w:color="auto"/>
        <w:bottom w:val="none" w:sz="0" w:space="0" w:color="auto"/>
        <w:right w:val="none" w:sz="0" w:space="0" w:color="auto"/>
      </w:divBdr>
    </w:div>
    <w:div w:id="556167412">
      <w:bodyDiv w:val="1"/>
      <w:marLeft w:val="0"/>
      <w:marRight w:val="0"/>
      <w:marTop w:val="0"/>
      <w:marBottom w:val="0"/>
      <w:divBdr>
        <w:top w:val="none" w:sz="0" w:space="0" w:color="auto"/>
        <w:left w:val="none" w:sz="0" w:space="0" w:color="auto"/>
        <w:bottom w:val="none" w:sz="0" w:space="0" w:color="auto"/>
        <w:right w:val="none" w:sz="0" w:space="0" w:color="auto"/>
      </w:divBdr>
    </w:div>
    <w:div w:id="556284896">
      <w:bodyDiv w:val="1"/>
      <w:marLeft w:val="0"/>
      <w:marRight w:val="0"/>
      <w:marTop w:val="0"/>
      <w:marBottom w:val="0"/>
      <w:divBdr>
        <w:top w:val="none" w:sz="0" w:space="0" w:color="auto"/>
        <w:left w:val="none" w:sz="0" w:space="0" w:color="auto"/>
        <w:bottom w:val="none" w:sz="0" w:space="0" w:color="auto"/>
        <w:right w:val="none" w:sz="0" w:space="0" w:color="auto"/>
      </w:divBdr>
    </w:div>
    <w:div w:id="557404193">
      <w:bodyDiv w:val="1"/>
      <w:marLeft w:val="0"/>
      <w:marRight w:val="0"/>
      <w:marTop w:val="0"/>
      <w:marBottom w:val="0"/>
      <w:divBdr>
        <w:top w:val="none" w:sz="0" w:space="0" w:color="auto"/>
        <w:left w:val="none" w:sz="0" w:space="0" w:color="auto"/>
        <w:bottom w:val="none" w:sz="0" w:space="0" w:color="auto"/>
        <w:right w:val="none" w:sz="0" w:space="0" w:color="auto"/>
      </w:divBdr>
    </w:div>
    <w:div w:id="558396057">
      <w:bodyDiv w:val="1"/>
      <w:marLeft w:val="0"/>
      <w:marRight w:val="0"/>
      <w:marTop w:val="0"/>
      <w:marBottom w:val="0"/>
      <w:divBdr>
        <w:top w:val="none" w:sz="0" w:space="0" w:color="auto"/>
        <w:left w:val="none" w:sz="0" w:space="0" w:color="auto"/>
        <w:bottom w:val="none" w:sz="0" w:space="0" w:color="auto"/>
        <w:right w:val="none" w:sz="0" w:space="0" w:color="auto"/>
      </w:divBdr>
    </w:div>
    <w:div w:id="559681341">
      <w:bodyDiv w:val="1"/>
      <w:marLeft w:val="0"/>
      <w:marRight w:val="0"/>
      <w:marTop w:val="0"/>
      <w:marBottom w:val="0"/>
      <w:divBdr>
        <w:top w:val="none" w:sz="0" w:space="0" w:color="auto"/>
        <w:left w:val="none" w:sz="0" w:space="0" w:color="auto"/>
        <w:bottom w:val="none" w:sz="0" w:space="0" w:color="auto"/>
        <w:right w:val="none" w:sz="0" w:space="0" w:color="auto"/>
      </w:divBdr>
    </w:div>
    <w:div w:id="560555239">
      <w:bodyDiv w:val="1"/>
      <w:marLeft w:val="0"/>
      <w:marRight w:val="0"/>
      <w:marTop w:val="0"/>
      <w:marBottom w:val="0"/>
      <w:divBdr>
        <w:top w:val="none" w:sz="0" w:space="0" w:color="auto"/>
        <w:left w:val="none" w:sz="0" w:space="0" w:color="auto"/>
        <w:bottom w:val="none" w:sz="0" w:space="0" w:color="auto"/>
        <w:right w:val="none" w:sz="0" w:space="0" w:color="auto"/>
      </w:divBdr>
    </w:div>
    <w:div w:id="560599211">
      <w:bodyDiv w:val="1"/>
      <w:marLeft w:val="0"/>
      <w:marRight w:val="0"/>
      <w:marTop w:val="0"/>
      <w:marBottom w:val="0"/>
      <w:divBdr>
        <w:top w:val="none" w:sz="0" w:space="0" w:color="auto"/>
        <w:left w:val="none" w:sz="0" w:space="0" w:color="auto"/>
        <w:bottom w:val="none" w:sz="0" w:space="0" w:color="auto"/>
        <w:right w:val="none" w:sz="0" w:space="0" w:color="auto"/>
      </w:divBdr>
    </w:div>
    <w:div w:id="560943530">
      <w:bodyDiv w:val="1"/>
      <w:marLeft w:val="0"/>
      <w:marRight w:val="0"/>
      <w:marTop w:val="0"/>
      <w:marBottom w:val="0"/>
      <w:divBdr>
        <w:top w:val="none" w:sz="0" w:space="0" w:color="auto"/>
        <w:left w:val="none" w:sz="0" w:space="0" w:color="auto"/>
        <w:bottom w:val="none" w:sz="0" w:space="0" w:color="auto"/>
        <w:right w:val="none" w:sz="0" w:space="0" w:color="auto"/>
      </w:divBdr>
    </w:div>
    <w:div w:id="560989011">
      <w:bodyDiv w:val="1"/>
      <w:marLeft w:val="0"/>
      <w:marRight w:val="0"/>
      <w:marTop w:val="0"/>
      <w:marBottom w:val="0"/>
      <w:divBdr>
        <w:top w:val="none" w:sz="0" w:space="0" w:color="auto"/>
        <w:left w:val="none" w:sz="0" w:space="0" w:color="auto"/>
        <w:bottom w:val="none" w:sz="0" w:space="0" w:color="auto"/>
        <w:right w:val="none" w:sz="0" w:space="0" w:color="auto"/>
      </w:divBdr>
    </w:div>
    <w:div w:id="562368916">
      <w:bodyDiv w:val="1"/>
      <w:marLeft w:val="0"/>
      <w:marRight w:val="0"/>
      <w:marTop w:val="0"/>
      <w:marBottom w:val="0"/>
      <w:divBdr>
        <w:top w:val="none" w:sz="0" w:space="0" w:color="auto"/>
        <w:left w:val="none" w:sz="0" w:space="0" w:color="auto"/>
        <w:bottom w:val="none" w:sz="0" w:space="0" w:color="auto"/>
        <w:right w:val="none" w:sz="0" w:space="0" w:color="auto"/>
      </w:divBdr>
    </w:div>
    <w:div w:id="563025105">
      <w:bodyDiv w:val="1"/>
      <w:marLeft w:val="0"/>
      <w:marRight w:val="0"/>
      <w:marTop w:val="0"/>
      <w:marBottom w:val="0"/>
      <w:divBdr>
        <w:top w:val="none" w:sz="0" w:space="0" w:color="auto"/>
        <w:left w:val="none" w:sz="0" w:space="0" w:color="auto"/>
        <w:bottom w:val="none" w:sz="0" w:space="0" w:color="auto"/>
        <w:right w:val="none" w:sz="0" w:space="0" w:color="auto"/>
      </w:divBdr>
    </w:div>
    <w:div w:id="563107335">
      <w:bodyDiv w:val="1"/>
      <w:marLeft w:val="0"/>
      <w:marRight w:val="0"/>
      <w:marTop w:val="0"/>
      <w:marBottom w:val="0"/>
      <w:divBdr>
        <w:top w:val="none" w:sz="0" w:space="0" w:color="auto"/>
        <w:left w:val="none" w:sz="0" w:space="0" w:color="auto"/>
        <w:bottom w:val="none" w:sz="0" w:space="0" w:color="auto"/>
        <w:right w:val="none" w:sz="0" w:space="0" w:color="auto"/>
      </w:divBdr>
    </w:div>
    <w:div w:id="564729030">
      <w:bodyDiv w:val="1"/>
      <w:marLeft w:val="0"/>
      <w:marRight w:val="0"/>
      <w:marTop w:val="0"/>
      <w:marBottom w:val="0"/>
      <w:divBdr>
        <w:top w:val="none" w:sz="0" w:space="0" w:color="auto"/>
        <w:left w:val="none" w:sz="0" w:space="0" w:color="auto"/>
        <w:bottom w:val="none" w:sz="0" w:space="0" w:color="auto"/>
        <w:right w:val="none" w:sz="0" w:space="0" w:color="auto"/>
      </w:divBdr>
    </w:div>
    <w:div w:id="565068607">
      <w:bodyDiv w:val="1"/>
      <w:marLeft w:val="0"/>
      <w:marRight w:val="0"/>
      <w:marTop w:val="0"/>
      <w:marBottom w:val="0"/>
      <w:divBdr>
        <w:top w:val="none" w:sz="0" w:space="0" w:color="auto"/>
        <w:left w:val="none" w:sz="0" w:space="0" w:color="auto"/>
        <w:bottom w:val="none" w:sz="0" w:space="0" w:color="auto"/>
        <w:right w:val="none" w:sz="0" w:space="0" w:color="auto"/>
      </w:divBdr>
    </w:div>
    <w:div w:id="566381628">
      <w:bodyDiv w:val="1"/>
      <w:marLeft w:val="0"/>
      <w:marRight w:val="0"/>
      <w:marTop w:val="0"/>
      <w:marBottom w:val="0"/>
      <w:divBdr>
        <w:top w:val="none" w:sz="0" w:space="0" w:color="auto"/>
        <w:left w:val="none" w:sz="0" w:space="0" w:color="auto"/>
        <w:bottom w:val="none" w:sz="0" w:space="0" w:color="auto"/>
        <w:right w:val="none" w:sz="0" w:space="0" w:color="auto"/>
      </w:divBdr>
    </w:div>
    <w:div w:id="567034954">
      <w:bodyDiv w:val="1"/>
      <w:marLeft w:val="0"/>
      <w:marRight w:val="0"/>
      <w:marTop w:val="0"/>
      <w:marBottom w:val="0"/>
      <w:divBdr>
        <w:top w:val="none" w:sz="0" w:space="0" w:color="auto"/>
        <w:left w:val="none" w:sz="0" w:space="0" w:color="auto"/>
        <w:bottom w:val="none" w:sz="0" w:space="0" w:color="auto"/>
        <w:right w:val="none" w:sz="0" w:space="0" w:color="auto"/>
      </w:divBdr>
    </w:div>
    <w:div w:id="567422012">
      <w:bodyDiv w:val="1"/>
      <w:marLeft w:val="0"/>
      <w:marRight w:val="0"/>
      <w:marTop w:val="0"/>
      <w:marBottom w:val="0"/>
      <w:divBdr>
        <w:top w:val="none" w:sz="0" w:space="0" w:color="auto"/>
        <w:left w:val="none" w:sz="0" w:space="0" w:color="auto"/>
        <w:bottom w:val="none" w:sz="0" w:space="0" w:color="auto"/>
        <w:right w:val="none" w:sz="0" w:space="0" w:color="auto"/>
      </w:divBdr>
    </w:div>
    <w:div w:id="567764371">
      <w:bodyDiv w:val="1"/>
      <w:marLeft w:val="0"/>
      <w:marRight w:val="0"/>
      <w:marTop w:val="0"/>
      <w:marBottom w:val="0"/>
      <w:divBdr>
        <w:top w:val="none" w:sz="0" w:space="0" w:color="auto"/>
        <w:left w:val="none" w:sz="0" w:space="0" w:color="auto"/>
        <w:bottom w:val="none" w:sz="0" w:space="0" w:color="auto"/>
        <w:right w:val="none" w:sz="0" w:space="0" w:color="auto"/>
      </w:divBdr>
    </w:div>
    <w:div w:id="567766790">
      <w:bodyDiv w:val="1"/>
      <w:marLeft w:val="0"/>
      <w:marRight w:val="0"/>
      <w:marTop w:val="0"/>
      <w:marBottom w:val="0"/>
      <w:divBdr>
        <w:top w:val="none" w:sz="0" w:space="0" w:color="auto"/>
        <w:left w:val="none" w:sz="0" w:space="0" w:color="auto"/>
        <w:bottom w:val="none" w:sz="0" w:space="0" w:color="auto"/>
        <w:right w:val="none" w:sz="0" w:space="0" w:color="auto"/>
      </w:divBdr>
      <w:divsChild>
        <w:div w:id="584538187">
          <w:marLeft w:val="0"/>
          <w:marRight w:val="0"/>
          <w:marTop w:val="0"/>
          <w:marBottom w:val="0"/>
          <w:divBdr>
            <w:top w:val="none" w:sz="0" w:space="0" w:color="DDDDDD"/>
            <w:left w:val="none" w:sz="0" w:space="0" w:color="DDDDDD"/>
            <w:bottom w:val="none" w:sz="0" w:space="0" w:color="auto"/>
            <w:right w:val="none" w:sz="0" w:space="0" w:color="DDDDDD"/>
          </w:divBdr>
        </w:div>
        <w:div w:id="965433564">
          <w:marLeft w:val="0"/>
          <w:marRight w:val="0"/>
          <w:marTop w:val="0"/>
          <w:marBottom w:val="0"/>
          <w:divBdr>
            <w:top w:val="none" w:sz="0" w:space="0" w:color="auto"/>
            <w:left w:val="none" w:sz="0" w:space="0" w:color="auto"/>
            <w:bottom w:val="none" w:sz="0" w:space="0" w:color="auto"/>
            <w:right w:val="none" w:sz="0" w:space="0" w:color="auto"/>
          </w:divBdr>
          <w:divsChild>
            <w:div w:id="504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8584">
      <w:bodyDiv w:val="1"/>
      <w:marLeft w:val="0"/>
      <w:marRight w:val="0"/>
      <w:marTop w:val="0"/>
      <w:marBottom w:val="0"/>
      <w:divBdr>
        <w:top w:val="none" w:sz="0" w:space="0" w:color="auto"/>
        <w:left w:val="none" w:sz="0" w:space="0" w:color="auto"/>
        <w:bottom w:val="none" w:sz="0" w:space="0" w:color="auto"/>
        <w:right w:val="none" w:sz="0" w:space="0" w:color="auto"/>
      </w:divBdr>
    </w:div>
    <w:div w:id="570238334">
      <w:bodyDiv w:val="1"/>
      <w:marLeft w:val="0"/>
      <w:marRight w:val="0"/>
      <w:marTop w:val="0"/>
      <w:marBottom w:val="0"/>
      <w:divBdr>
        <w:top w:val="none" w:sz="0" w:space="0" w:color="auto"/>
        <w:left w:val="none" w:sz="0" w:space="0" w:color="auto"/>
        <w:bottom w:val="none" w:sz="0" w:space="0" w:color="auto"/>
        <w:right w:val="none" w:sz="0" w:space="0" w:color="auto"/>
      </w:divBdr>
    </w:div>
    <w:div w:id="570626364">
      <w:bodyDiv w:val="1"/>
      <w:marLeft w:val="0"/>
      <w:marRight w:val="0"/>
      <w:marTop w:val="0"/>
      <w:marBottom w:val="0"/>
      <w:divBdr>
        <w:top w:val="none" w:sz="0" w:space="0" w:color="auto"/>
        <w:left w:val="none" w:sz="0" w:space="0" w:color="auto"/>
        <w:bottom w:val="none" w:sz="0" w:space="0" w:color="auto"/>
        <w:right w:val="none" w:sz="0" w:space="0" w:color="auto"/>
      </w:divBdr>
    </w:div>
    <w:div w:id="570819439">
      <w:bodyDiv w:val="1"/>
      <w:marLeft w:val="0"/>
      <w:marRight w:val="0"/>
      <w:marTop w:val="0"/>
      <w:marBottom w:val="0"/>
      <w:divBdr>
        <w:top w:val="none" w:sz="0" w:space="0" w:color="auto"/>
        <w:left w:val="none" w:sz="0" w:space="0" w:color="auto"/>
        <w:bottom w:val="none" w:sz="0" w:space="0" w:color="auto"/>
        <w:right w:val="none" w:sz="0" w:space="0" w:color="auto"/>
      </w:divBdr>
    </w:div>
    <w:div w:id="574516858">
      <w:bodyDiv w:val="1"/>
      <w:marLeft w:val="0"/>
      <w:marRight w:val="0"/>
      <w:marTop w:val="0"/>
      <w:marBottom w:val="0"/>
      <w:divBdr>
        <w:top w:val="none" w:sz="0" w:space="0" w:color="auto"/>
        <w:left w:val="none" w:sz="0" w:space="0" w:color="auto"/>
        <w:bottom w:val="none" w:sz="0" w:space="0" w:color="auto"/>
        <w:right w:val="none" w:sz="0" w:space="0" w:color="auto"/>
      </w:divBdr>
    </w:div>
    <w:div w:id="574701868">
      <w:bodyDiv w:val="1"/>
      <w:marLeft w:val="0"/>
      <w:marRight w:val="0"/>
      <w:marTop w:val="0"/>
      <w:marBottom w:val="0"/>
      <w:divBdr>
        <w:top w:val="none" w:sz="0" w:space="0" w:color="auto"/>
        <w:left w:val="none" w:sz="0" w:space="0" w:color="auto"/>
        <w:bottom w:val="none" w:sz="0" w:space="0" w:color="auto"/>
        <w:right w:val="none" w:sz="0" w:space="0" w:color="auto"/>
      </w:divBdr>
    </w:div>
    <w:div w:id="575019919">
      <w:bodyDiv w:val="1"/>
      <w:marLeft w:val="0"/>
      <w:marRight w:val="0"/>
      <w:marTop w:val="0"/>
      <w:marBottom w:val="0"/>
      <w:divBdr>
        <w:top w:val="none" w:sz="0" w:space="0" w:color="auto"/>
        <w:left w:val="none" w:sz="0" w:space="0" w:color="auto"/>
        <w:bottom w:val="none" w:sz="0" w:space="0" w:color="auto"/>
        <w:right w:val="none" w:sz="0" w:space="0" w:color="auto"/>
      </w:divBdr>
    </w:div>
    <w:div w:id="577403740">
      <w:bodyDiv w:val="1"/>
      <w:marLeft w:val="0"/>
      <w:marRight w:val="0"/>
      <w:marTop w:val="0"/>
      <w:marBottom w:val="0"/>
      <w:divBdr>
        <w:top w:val="none" w:sz="0" w:space="0" w:color="auto"/>
        <w:left w:val="none" w:sz="0" w:space="0" w:color="auto"/>
        <w:bottom w:val="none" w:sz="0" w:space="0" w:color="auto"/>
        <w:right w:val="none" w:sz="0" w:space="0" w:color="auto"/>
      </w:divBdr>
    </w:div>
    <w:div w:id="577862214">
      <w:bodyDiv w:val="1"/>
      <w:marLeft w:val="0"/>
      <w:marRight w:val="0"/>
      <w:marTop w:val="0"/>
      <w:marBottom w:val="0"/>
      <w:divBdr>
        <w:top w:val="none" w:sz="0" w:space="0" w:color="auto"/>
        <w:left w:val="none" w:sz="0" w:space="0" w:color="auto"/>
        <w:bottom w:val="none" w:sz="0" w:space="0" w:color="auto"/>
        <w:right w:val="none" w:sz="0" w:space="0" w:color="auto"/>
      </w:divBdr>
    </w:div>
    <w:div w:id="578910412">
      <w:bodyDiv w:val="1"/>
      <w:marLeft w:val="0"/>
      <w:marRight w:val="0"/>
      <w:marTop w:val="0"/>
      <w:marBottom w:val="0"/>
      <w:divBdr>
        <w:top w:val="none" w:sz="0" w:space="0" w:color="auto"/>
        <w:left w:val="none" w:sz="0" w:space="0" w:color="auto"/>
        <w:bottom w:val="none" w:sz="0" w:space="0" w:color="auto"/>
        <w:right w:val="none" w:sz="0" w:space="0" w:color="auto"/>
      </w:divBdr>
    </w:div>
    <w:div w:id="580456346">
      <w:bodyDiv w:val="1"/>
      <w:marLeft w:val="0"/>
      <w:marRight w:val="0"/>
      <w:marTop w:val="0"/>
      <w:marBottom w:val="0"/>
      <w:divBdr>
        <w:top w:val="none" w:sz="0" w:space="0" w:color="auto"/>
        <w:left w:val="none" w:sz="0" w:space="0" w:color="auto"/>
        <w:bottom w:val="none" w:sz="0" w:space="0" w:color="auto"/>
        <w:right w:val="none" w:sz="0" w:space="0" w:color="auto"/>
      </w:divBdr>
    </w:div>
    <w:div w:id="580529859">
      <w:bodyDiv w:val="1"/>
      <w:marLeft w:val="0"/>
      <w:marRight w:val="0"/>
      <w:marTop w:val="0"/>
      <w:marBottom w:val="0"/>
      <w:divBdr>
        <w:top w:val="none" w:sz="0" w:space="0" w:color="auto"/>
        <w:left w:val="none" w:sz="0" w:space="0" w:color="auto"/>
        <w:bottom w:val="none" w:sz="0" w:space="0" w:color="auto"/>
        <w:right w:val="none" w:sz="0" w:space="0" w:color="auto"/>
      </w:divBdr>
    </w:div>
    <w:div w:id="580868425">
      <w:bodyDiv w:val="1"/>
      <w:marLeft w:val="0"/>
      <w:marRight w:val="0"/>
      <w:marTop w:val="0"/>
      <w:marBottom w:val="0"/>
      <w:divBdr>
        <w:top w:val="none" w:sz="0" w:space="0" w:color="auto"/>
        <w:left w:val="none" w:sz="0" w:space="0" w:color="auto"/>
        <w:bottom w:val="none" w:sz="0" w:space="0" w:color="auto"/>
        <w:right w:val="none" w:sz="0" w:space="0" w:color="auto"/>
      </w:divBdr>
    </w:div>
    <w:div w:id="586495702">
      <w:bodyDiv w:val="1"/>
      <w:marLeft w:val="0"/>
      <w:marRight w:val="0"/>
      <w:marTop w:val="0"/>
      <w:marBottom w:val="0"/>
      <w:divBdr>
        <w:top w:val="none" w:sz="0" w:space="0" w:color="auto"/>
        <w:left w:val="none" w:sz="0" w:space="0" w:color="auto"/>
        <w:bottom w:val="none" w:sz="0" w:space="0" w:color="auto"/>
        <w:right w:val="none" w:sz="0" w:space="0" w:color="auto"/>
      </w:divBdr>
    </w:div>
    <w:div w:id="587229391">
      <w:bodyDiv w:val="1"/>
      <w:marLeft w:val="0"/>
      <w:marRight w:val="0"/>
      <w:marTop w:val="0"/>
      <w:marBottom w:val="0"/>
      <w:divBdr>
        <w:top w:val="none" w:sz="0" w:space="0" w:color="auto"/>
        <w:left w:val="none" w:sz="0" w:space="0" w:color="auto"/>
        <w:bottom w:val="none" w:sz="0" w:space="0" w:color="auto"/>
        <w:right w:val="none" w:sz="0" w:space="0" w:color="auto"/>
      </w:divBdr>
    </w:div>
    <w:div w:id="588540662">
      <w:bodyDiv w:val="1"/>
      <w:marLeft w:val="0"/>
      <w:marRight w:val="0"/>
      <w:marTop w:val="0"/>
      <w:marBottom w:val="0"/>
      <w:divBdr>
        <w:top w:val="none" w:sz="0" w:space="0" w:color="auto"/>
        <w:left w:val="none" w:sz="0" w:space="0" w:color="auto"/>
        <w:bottom w:val="none" w:sz="0" w:space="0" w:color="auto"/>
        <w:right w:val="none" w:sz="0" w:space="0" w:color="auto"/>
      </w:divBdr>
    </w:div>
    <w:div w:id="589124295">
      <w:bodyDiv w:val="1"/>
      <w:marLeft w:val="0"/>
      <w:marRight w:val="0"/>
      <w:marTop w:val="0"/>
      <w:marBottom w:val="0"/>
      <w:divBdr>
        <w:top w:val="none" w:sz="0" w:space="0" w:color="auto"/>
        <w:left w:val="none" w:sz="0" w:space="0" w:color="auto"/>
        <w:bottom w:val="none" w:sz="0" w:space="0" w:color="auto"/>
        <w:right w:val="none" w:sz="0" w:space="0" w:color="auto"/>
      </w:divBdr>
    </w:div>
    <w:div w:id="589238742">
      <w:bodyDiv w:val="1"/>
      <w:marLeft w:val="0"/>
      <w:marRight w:val="0"/>
      <w:marTop w:val="0"/>
      <w:marBottom w:val="0"/>
      <w:divBdr>
        <w:top w:val="none" w:sz="0" w:space="0" w:color="auto"/>
        <w:left w:val="none" w:sz="0" w:space="0" w:color="auto"/>
        <w:bottom w:val="none" w:sz="0" w:space="0" w:color="auto"/>
        <w:right w:val="none" w:sz="0" w:space="0" w:color="auto"/>
      </w:divBdr>
    </w:div>
    <w:div w:id="589432963">
      <w:bodyDiv w:val="1"/>
      <w:marLeft w:val="0"/>
      <w:marRight w:val="0"/>
      <w:marTop w:val="0"/>
      <w:marBottom w:val="0"/>
      <w:divBdr>
        <w:top w:val="none" w:sz="0" w:space="0" w:color="auto"/>
        <w:left w:val="none" w:sz="0" w:space="0" w:color="auto"/>
        <w:bottom w:val="none" w:sz="0" w:space="0" w:color="auto"/>
        <w:right w:val="none" w:sz="0" w:space="0" w:color="auto"/>
      </w:divBdr>
    </w:div>
    <w:div w:id="589587505">
      <w:bodyDiv w:val="1"/>
      <w:marLeft w:val="0"/>
      <w:marRight w:val="0"/>
      <w:marTop w:val="0"/>
      <w:marBottom w:val="0"/>
      <w:divBdr>
        <w:top w:val="none" w:sz="0" w:space="0" w:color="auto"/>
        <w:left w:val="none" w:sz="0" w:space="0" w:color="auto"/>
        <w:bottom w:val="none" w:sz="0" w:space="0" w:color="auto"/>
        <w:right w:val="none" w:sz="0" w:space="0" w:color="auto"/>
      </w:divBdr>
    </w:div>
    <w:div w:id="591554253">
      <w:bodyDiv w:val="1"/>
      <w:marLeft w:val="0"/>
      <w:marRight w:val="0"/>
      <w:marTop w:val="0"/>
      <w:marBottom w:val="0"/>
      <w:divBdr>
        <w:top w:val="none" w:sz="0" w:space="0" w:color="auto"/>
        <w:left w:val="none" w:sz="0" w:space="0" w:color="auto"/>
        <w:bottom w:val="none" w:sz="0" w:space="0" w:color="auto"/>
        <w:right w:val="none" w:sz="0" w:space="0" w:color="auto"/>
      </w:divBdr>
    </w:div>
    <w:div w:id="592667789">
      <w:bodyDiv w:val="1"/>
      <w:marLeft w:val="0"/>
      <w:marRight w:val="0"/>
      <w:marTop w:val="0"/>
      <w:marBottom w:val="0"/>
      <w:divBdr>
        <w:top w:val="none" w:sz="0" w:space="0" w:color="auto"/>
        <w:left w:val="none" w:sz="0" w:space="0" w:color="auto"/>
        <w:bottom w:val="none" w:sz="0" w:space="0" w:color="auto"/>
        <w:right w:val="none" w:sz="0" w:space="0" w:color="auto"/>
      </w:divBdr>
    </w:div>
    <w:div w:id="593787794">
      <w:bodyDiv w:val="1"/>
      <w:marLeft w:val="0"/>
      <w:marRight w:val="0"/>
      <w:marTop w:val="0"/>
      <w:marBottom w:val="0"/>
      <w:divBdr>
        <w:top w:val="none" w:sz="0" w:space="0" w:color="auto"/>
        <w:left w:val="none" w:sz="0" w:space="0" w:color="auto"/>
        <w:bottom w:val="none" w:sz="0" w:space="0" w:color="auto"/>
        <w:right w:val="none" w:sz="0" w:space="0" w:color="auto"/>
      </w:divBdr>
    </w:div>
    <w:div w:id="594287763">
      <w:bodyDiv w:val="1"/>
      <w:marLeft w:val="0"/>
      <w:marRight w:val="0"/>
      <w:marTop w:val="0"/>
      <w:marBottom w:val="0"/>
      <w:divBdr>
        <w:top w:val="none" w:sz="0" w:space="0" w:color="auto"/>
        <w:left w:val="none" w:sz="0" w:space="0" w:color="auto"/>
        <w:bottom w:val="none" w:sz="0" w:space="0" w:color="auto"/>
        <w:right w:val="none" w:sz="0" w:space="0" w:color="auto"/>
      </w:divBdr>
    </w:div>
    <w:div w:id="595753666">
      <w:bodyDiv w:val="1"/>
      <w:marLeft w:val="0"/>
      <w:marRight w:val="0"/>
      <w:marTop w:val="0"/>
      <w:marBottom w:val="0"/>
      <w:divBdr>
        <w:top w:val="none" w:sz="0" w:space="0" w:color="auto"/>
        <w:left w:val="none" w:sz="0" w:space="0" w:color="auto"/>
        <w:bottom w:val="none" w:sz="0" w:space="0" w:color="auto"/>
        <w:right w:val="none" w:sz="0" w:space="0" w:color="auto"/>
      </w:divBdr>
    </w:div>
    <w:div w:id="596325937">
      <w:bodyDiv w:val="1"/>
      <w:marLeft w:val="0"/>
      <w:marRight w:val="0"/>
      <w:marTop w:val="0"/>
      <w:marBottom w:val="0"/>
      <w:divBdr>
        <w:top w:val="none" w:sz="0" w:space="0" w:color="auto"/>
        <w:left w:val="none" w:sz="0" w:space="0" w:color="auto"/>
        <w:bottom w:val="none" w:sz="0" w:space="0" w:color="auto"/>
        <w:right w:val="none" w:sz="0" w:space="0" w:color="auto"/>
      </w:divBdr>
    </w:div>
    <w:div w:id="597327390">
      <w:bodyDiv w:val="1"/>
      <w:marLeft w:val="0"/>
      <w:marRight w:val="0"/>
      <w:marTop w:val="0"/>
      <w:marBottom w:val="0"/>
      <w:divBdr>
        <w:top w:val="none" w:sz="0" w:space="0" w:color="auto"/>
        <w:left w:val="none" w:sz="0" w:space="0" w:color="auto"/>
        <w:bottom w:val="none" w:sz="0" w:space="0" w:color="auto"/>
        <w:right w:val="none" w:sz="0" w:space="0" w:color="auto"/>
      </w:divBdr>
    </w:div>
    <w:div w:id="598872597">
      <w:bodyDiv w:val="1"/>
      <w:marLeft w:val="0"/>
      <w:marRight w:val="0"/>
      <w:marTop w:val="0"/>
      <w:marBottom w:val="0"/>
      <w:divBdr>
        <w:top w:val="none" w:sz="0" w:space="0" w:color="auto"/>
        <w:left w:val="none" w:sz="0" w:space="0" w:color="auto"/>
        <w:bottom w:val="none" w:sz="0" w:space="0" w:color="auto"/>
        <w:right w:val="none" w:sz="0" w:space="0" w:color="auto"/>
      </w:divBdr>
    </w:div>
    <w:div w:id="599073196">
      <w:bodyDiv w:val="1"/>
      <w:marLeft w:val="0"/>
      <w:marRight w:val="0"/>
      <w:marTop w:val="0"/>
      <w:marBottom w:val="0"/>
      <w:divBdr>
        <w:top w:val="none" w:sz="0" w:space="0" w:color="auto"/>
        <w:left w:val="none" w:sz="0" w:space="0" w:color="auto"/>
        <w:bottom w:val="none" w:sz="0" w:space="0" w:color="auto"/>
        <w:right w:val="none" w:sz="0" w:space="0" w:color="auto"/>
      </w:divBdr>
    </w:div>
    <w:div w:id="600064390">
      <w:bodyDiv w:val="1"/>
      <w:marLeft w:val="0"/>
      <w:marRight w:val="0"/>
      <w:marTop w:val="0"/>
      <w:marBottom w:val="0"/>
      <w:divBdr>
        <w:top w:val="none" w:sz="0" w:space="0" w:color="auto"/>
        <w:left w:val="none" w:sz="0" w:space="0" w:color="auto"/>
        <w:bottom w:val="none" w:sz="0" w:space="0" w:color="auto"/>
        <w:right w:val="none" w:sz="0" w:space="0" w:color="auto"/>
      </w:divBdr>
    </w:div>
    <w:div w:id="600183585">
      <w:bodyDiv w:val="1"/>
      <w:marLeft w:val="0"/>
      <w:marRight w:val="0"/>
      <w:marTop w:val="0"/>
      <w:marBottom w:val="0"/>
      <w:divBdr>
        <w:top w:val="none" w:sz="0" w:space="0" w:color="auto"/>
        <w:left w:val="none" w:sz="0" w:space="0" w:color="auto"/>
        <w:bottom w:val="none" w:sz="0" w:space="0" w:color="auto"/>
        <w:right w:val="none" w:sz="0" w:space="0" w:color="auto"/>
      </w:divBdr>
    </w:div>
    <w:div w:id="604536478">
      <w:bodyDiv w:val="1"/>
      <w:marLeft w:val="0"/>
      <w:marRight w:val="0"/>
      <w:marTop w:val="0"/>
      <w:marBottom w:val="0"/>
      <w:divBdr>
        <w:top w:val="none" w:sz="0" w:space="0" w:color="auto"/>
        <w:left w:val="none" w:sz="0" w:space="0" w:color="auto"/>
        <w:bottom w:val="none" w:sz="0" w:space="0" w:color="auto"/>
        <w:right w:val="none" w:sz="0" w:space="0" w:color="auto"/>
      </w:divBdr>
    </w:div>
    <w:div w:id="605307236">
      <w:bodyDiv w:val="1"/>
      <w:marLeft w:val="0"/>
      <w:marRight w:val="0"/>
      <w:marTop w:val="0"/>
      <w:marBottom w:val="0"/>
      <w:divBdr>
        <w:top w:val="none" w:sz="0" w:space="0" w:color="auto"/>
        <w:left w:val="none" w:sz="0" w:space="0" w:color="auto"/>
        <w:bottom w:val="none" w:sz="0" w:space="0" w:color="auto"/>
        <w:right w:val="none" w:sz="0" w:space="0" w:color="auto"/>
      </w:divBdr>
    </w:div>
    <w:div w:id="609241098">
      <w:bodyDiv w:val="1"/>
      <w:marLeft w:val="0"/>
      <w:marRight w:val="0"/>
      <w:marTop w:val="0"/>
      <w:marBottom w:val="0"/>
      <w:divBdr>
        <w:top w:val="none" w:sz="0" w:space="0" w:color="auto"/>
        <w:left w:val="none" w:sz="0" w:space="0" w:color="auto"/>
        <w:bottom w:val="none" w:sz="0" w:space="0" w:color="auto"/>
        <w:right w:val="none" w:sz="0" w:space="0" w:color="auto"/>
      </w:divBdr>
    </w:div>
    <w:div w:id="610666468">
      <w:bodyDiv w:val="1"/>
      <w:marLeft w:val="0"/>
      <w:marRight w:val="0"/>
      <w:marTop w:val="0"/>
      <w:marBottom w:val="0"/>
      <w:divBdr>
        <w:top w:val="none" w:sz="0" w:space="0" w:color="auto"/>
        <w:left w:val="none" w:sz="0" w:space="0" w:color="auto"/>
        <w:bottom w:val="none" w:sz="0" w:space="0" w:color="auto"/>
        <w:right w:val="none" w:sz="0" w:space="0" w:color="auto"/>
      </w:divBdr>
    </w:div>
    <w:div w:id="617637682">
      <w:bodyDiv w:val="1"/>
      <w:marLeft w:val="0"/>
      <w:marRight w:val="0"/>
      <w:marTop w:val="0"/>
      <w:marBottom w:val="0"/>
      <w:divBdr>
        <w:top w:val="none" w:sz="0" w:space="0" w:color="auto"/>
        <w:left w:val="none" w:sz="0" w:space="0" w:color="auto"/>
        <w:bottom w:val="none" w:sz="0" w:space="0" w:color="auto"/>
        <w:right w:val="none" w:sz="0" w:space="0" w:color="auto"/>
      </w:divBdr>
    </w:div>
    <w:div w:id="619185885">
      <w:bodyDiv w:val="1"/>
      <w:marLeft w:val="0"/>
      <w:marRight w:val="0"/>
      <w:marTop w:val="0"/>
      <w:marBottom w:val="0"/>
      <w:divBdr>
        <w:top w:val="none" w:sz="0" w:space="0" w:color="auto"/>
        <w:left w:val="none" w:sz="0" w:space="0" w:color="auto"/>
        <w:bottom w:val="none" w:sz="0" w:space="0" w:color="auto"/>
        <w:right w:val="none" w:sz="0" w:space="0" w:color="auto"/>
      </w:divBdr>
    </w:div>
    <w:div w:id="619603780">
      <w:bodyDiv w:val="1"/>
      <w:marLeft w:val="0"/>
      <w:marRight w:val="0"/>
      <w:marTop w:val="0"/>
      <w:marBottom w:val="0"/>
      <w:divBdr>
        <w:top w:val="none" w:sz="0" w:space="0" w:color="auto"/>
        <w:left w:val="none" w:sz="0" w:space="0" w:color="auto"/>
        <w:bottom w:val="none" w:sz="0" w:space="0" w:color="auto"/>
        <w:right w:val="none" w:sz="0" w:space="0" w:color="auto"/>
      </w:divBdr>
    </w:div>
    <w:div w:id="620650300">
      <w:bodyDiv w:val="1"/>
      <w:marLeft w:val="0"/>
      <w:marRight w:val="0"/>
      <w:marTop w:val="0"/>
      <w:marBottom w:val="0"/>
      <w:divBdr>
        <w:top w:val="none" w:sz="0" w:space="0" w:color="auto"/>
        <w:left w:val="none" w:sz="0" w:space="0" w:color="auto"/>
        <w:bottom w:val="none" w:sz="0" w:space="0" w:color="auto"/>
        <w:right w:val="none" w:sz="0" w:space="0" w:color="auto"/>
      </w:divBdr>
    </w:div>
    <w:div w:id="624192854">
      <w:bodyDiv w:val="1"/>
      <w:marLeft w:val="0"/>
      <w:marRight w:val="0"/>
      <w:marTop w:val="0"/>
      <w:marBottom w:val="0"/>
      <w:divBdr>
        <w:top w:val="none" w:sz="0" w:space="0" w:color="auto"/>
        <w:left w:val="none" w:sz="0" w:space="0" w:color="auto"/>
        <w:bottom w:val="none" w:sz="0" w:space="0" w:color="auto"/>
        <w:right w:val="none" w:sz="0" w:space="0" w:color="auto"/>
      </w:divBdr>
    </w:div>
    <w:div w:id="624966221">
      <w:bodyDiv w:val="1"/>
      <w:marLeft w:val="0"/>
      <w:marRight w:val="0"/>
      <w:marTop w:val="0"/>
      <w:marBottom w:val="0"/>
      <w:divBdr>
        <w:top w:val="none" w:sz="0" w:space="0" w:color="auto"/>
        <w:left w:val="none" w:sz="0" w:space="0" w:color="auto"/>
        <w:bottom w:val="none" w:sz="0" w:space="0" w:color="auto"/>
        <w:right w:val="none" w:sz="0" w:space="0" w:color="auto"/>
      </w:divBdr>
    </w:div>
    <w:div w:id="626591574">
      <w:bodyDiv w:val="1"/>
      <w:marLeft w:val="0"/>
      <w:marRight w:val="0"/>
      <w:marTop w:val="0"/>
      <w:marBottom w:val="0"/>
      <w:divBdr>
        <w:top w:val="none" w:sz="0" w:space="0" w:color="auto"/>
        <w:left w:val="none" w:sz="0" w:space="0" w:color="auto"/>
        <w:bottom w:val="none" w:sz="0" w:space="0" w:color="auto"/>
        <w:right w:val="none" w:sz="0" w:space="0" w:color="auto"/>
      </w:divBdr>
    </w:div>
    <w:div w:id="629358822">
      <w:bodyDiv w:val="1"/>
      <w:marLeft w:val="0"/>
      <w:marRight w:val="0"/>
      <w:marTop w:val="0"/>
      <w:marBottom w:val="0"/>
      <w:divBdr>
        <w:top w:val="none" w:sz="0" w:space="0" w:color="auto"/>
        <w:left w:val="none" w:sz="0" w:space="0" w:color="auto"/>
        <w:bottom w:val="none" w:sz="0" w:space="0" w:color="auto"/>
        <w:right w:val="none" w:sz="0" w:space="0" w:color="auto"/>
      </w:divBdr>
    </w:div>
    <w:div w:id="629435863">
      <w:bodyDiv w:val="1"/>
      <w:marLeft w:val="0"/>
      <w:marRight w:val="0"/>
      <w:marTop w:val="0"/>
      <w:marBottom w:val="0"/>
      <w:divBdr>
        <w:top w:val="none" w:sz="0" w:space="0" w:color="auto"/>
        <w:left w:val="none" w:sz="0" w:space="0" w:color="auto"/>
        <w:bottom w:val="none" w:sz="0" w:space="0" w:color="auto"/>
        <w:right w:val="none" w:sz="0" w:space="0" w:color="auto"/>
      </w:divBdr>
    </w:div>
    <w:div w:id="631061867">
      <w:bodyDiv w:val="1"/>
      <w:marLeft w:val="0"/>
      <w:marRight w:val="0"/>
      <w:marTop w:val="0"/>
      <w:marBottom w:val="0"/>
      <w:divBdr>
        <w:top w:val="none" w:sz="0" w:space="0" w:color="auto"/>
        <w:left w:val="none" w:sz="0" w:space="0" w:color="auto"/>
        <w:bottom w:val="none" w:sz="0" w:space="0" w:color="auto"/>
        <w:right w:val="none" w:sz="0" w:space="0" w:color="auto"/>
      </w:divBdr>
    </w:div>
    <w:div w:id="632173138">
      <w:bodyDiv w:val="1"/>
      <w:marLeft w:val="0"/>
      <w:marRight w:val="0"/>
      <w:marTop w:val="0"/>
      <w:marBottom w:val="0"/>
      <w:divBdr>
        <w:top w:val="none" w:sz="0" w:space="0" w:color="auto"/>
        <w:left w:val="none" w:sz="0" w:space="0" w:color="auto"/>
        <w:bottom w:val="none" w:sz="0" w:space="0" w:color="auto"/>
        <w:right w:val="none" w:sz="0" w:space="0" w:color="auto"/>
      </w:divBdr>
    </w:div>
    <w:div w:id="632174352">
      <w:bodyDiv w:val="1"/>
      <w:marLeft w:val="0"/>
      <w:marRight w:val="0"/>
      <w:marTop w:val="0"/>
      <w:marBottom w:val="0"/>
      <w:divBdr>
        <w:top w:val="none" w:sz="0" w:space="0" w:color="auto"/>
        <w:left w:val="none" w:sz="0" w:space="0" w:color="auto"/>
        <w:bottom w:val="none" w:sz="0" w:space="0" w:color="auto"/>
        <w:right w:val="none" w:sz="0" w:space="0" w:color="auto"/>
      </w:divBdr>
    </w:div>
    <w:div w:id="632489523">
      <w:bodyDiv w:val="1"/>
      <w:marLeft w:val="0"/>
      <w:marRight w:val="0"/>
      <w:marTop w:val="0"/>
      <w:marBottom w:val="0"/>
      <w:divBdr>
        <w:top w:val="none" w:sz="0" w:space="0" w:color="auto"/>
        <w:left w:val="none" w:sz="0" w:space="0" w:color="auto"/>
        <w:bottom w:val="none" w:sz="0" w:space="0" w:color="auto"/>
        <w:right w:val="none" w:sz="0" w:space="0" w:color="auto"/>
      </w:divBdr>
      <w:divsChild>
        <w:div w:id="942305335">
          <w:marLeft w:val="0"/>
          <w:marRight w:val="0"/>
          <w:marTop w:val="0"/>
          <w:marBottom w:val="0"/>
          <w:divBdr>
            <w:top w:val="none" w:sz="0" w:space="0" w:color="DDDDDD"/>
            <w:left w:val="none" w:sz="0" w:space="0" w:color="DDDDDD"/>
            <w:bottom w:val="none" w:sz="0" w:space="0" w:color="auto"/>
            <w:right w:val="none" w:sz="0" w:space="0" w:color="DDDDDD"/>
          </w:divBdr>
        </w:div>
        <w:div w:id="2124881556">
          <w:marLeft w:val="0"/>
          <w:marRight w:val="0"/>
          <w:marTop w:val="0"/>
          <w:marBottom w:val="0"/>
          <w:divBdr>
            <w:top w:val="none" w:sz="0" w:space="0" w:color="auto"/>
            <w:left w:val="none" w:sz="0" w:space="0" w:color="auto"/>
            <w:bottom w:val="none" w:sz="0" w:space="0" w:color="auto"/>
            <w:right w:val="none" w:sz="0" w:space="0" w:color="auto"/>
          </w:divBdr>
          <w:divsChild>
            <w:div w:id="159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57851">
      <w:bodyDiv w:val="1"/>
      <w:marLeft w:val="0"/>
      <w:marRight w:val="0"/>
      <w:marTop w:val="0"/>
      <w:marBottom w:val="0"/>
      <w:divBdr>
        <w:top w:val="none" w:sz="0" w:space="0" w:color="auto"/>
        <w:left w:val="none" w:sz="0" w:space="0" w:color="auto"/>
        <w:bottom w:val="none" w:sz="0" w:space="0" w:color="auto"/>
        <w:right w:val="none" w:sz="0" w:space="0" w:color="auto"/>
      </w:divBdr>
    </w:div>
    <w:div w:id="636758954">
      <w:bodyDiv w:val="1"/>
      <w:marLeft w:val="0"/>
      <w:marRight w:val="0"/>
      <w:marTop w:val="0"/>
      <w:marBottom w:val="0"/>
      <w:divBdr>
        <w:top w:val="none" w:sz="0" w:space="0" w:color="auto"/>
        <w:left w:val="none" w:sz="0" w:space="0" w:color="auto"/>
        <w:bottom w:val="none" w:sz="0" w:space="0" w:color="auto"/>
        <w:right w:val="none" w:sz="0" w:space="0" w:color="auto"/>
      </w:divBdr>
    </w:div>
    <w:div w:id="636884867">
      <w:bodyDiv w:val="1"/>
      <w:marLeft w:val="0"/>
      <w:marRight w:val="0"/>
      <w:marTop w:val="0"/>
      <w:marBottom w:val="0"/>
      <w:divBdr>
        <w:top w:val="none" w:sz="0" w:space="0" w:color="auto"/>
        <w:left w:val="none" w:sz="0" w:space="0" w:color="auto"/>
        <w:bottom w:val="none" w:sz="0" w:space="0" w:color="auto"/>
        <w:right w:val="none" w:sz="0" w:space="0" w:color="auto"/>
      </w:divBdr>
    </w:div>
    <w:div w:id="639269633">
      <w:bodyDiv w:val="1"/>
      <w:marLeft w:val="0"/>
      <w:marRight w:val="0"/>
      <w:marTop w:val="0"/>
      <w:marBottom w:val="0"/>
      <w:divBdr>
        <w:top w:val="none" w:sz="0" w:space="0" w:color="auto"/>
        <w:left w:val="none" w:sz="0" w:space="0" w:color="auto"/>
        <w:bottom w:val="none" w:sz="0" w:space="0" w:color="auto"/>
        <w:right w:val="none" w:sz="0" w:space="0" w:color="auto"/>
      </w:divBdr>
    </w:div>
    <w:div w:id="639916876">
      <w:bodyDiv w:val="1"/>
      <w:marLeft w:val="0"/>
      <w:marRight w:val="0"/>
      <w:marTop w:val="0"/>
      <w:marBottom w:val="0"/>
      <w:divBdr>
        <w:top w:val="none" w:sz="0" w:space="0" w:color="auto"/>
        <w:left w:val="none" w:sz="0" w:space="0" w:color="auto"/>
        <w:bottom w:val="none" w:sz="0" w:space="0" w:color="auto"/>
        <w:right w:val="none" w:sz="0" w:space="0" w:color="auto"/>
      </w:divBdr>
    </w:div>
    <w:div w:id="641037880">
      <w:bodyDiv w:val="1"/>
      <w:marLeft w:val="0"/>
      <w:marRight w:val="0"/>
      <w:marTop w:val="0"/>
      <w:marBottom w:val="0"/>
      <w:divBdr>
        <w:top w:val="none" w:sz="0" w:space="0" w:color="auto"/>
        <w:left w:val="none" w:sz="0" w:space="0" w:color="auto"/>
        <w:bottom w:val="none" w:sz="0" w:space="0" w:color="auto"/>
        <w:right w:val="none" w:sz="0" w:space="0" w:color="auto"/>
      </w:divBdr>
    </w:div>
    <w:div w:id="641084873">
      <w:bodyDiv w:val="1"/>
      <w:marLeft w:val="0"/>
      <w:marRight w:val="0"/>
      <w:marTop w:val="0"/>
      <w:marBottom w:val="0"/>
      <w:divBdr>
        <w:top w:val="none" w:sz="0" w:space="0" w:color="auto"/>
        <w:left w:val="none" w:sz="0" w:space="0" w:color="auto"/>
        <w:bottom w:val="none" w:sz="0" w:space="0" w:color="auto"/>
        <w:right w:val="none" w:sz="0" w:space="0" w:color="auto"/>
      </w:divBdr>
    </w:div>
    <w:div w:id="641665263">
      <w:bodyDiv w:val="1"/>
      <w:marLeft w:val="0"/>
      <w:marRight w:val="0"/>
      <w:marTop w:val="0"/>
      <w:marBottom w:val="0"/>
      <w:divBdr>
        <w:top w:val="none" w:sz="0" w:space="0" w:color="auto"/>
        <w:left w:val="none" w:sz="0" w:space="0" w:color="auto"/>
        <w:bottom w:val="none" w:sz="0" w:space="0" w:color="auto"/>
        <w:right w:val="none" w:sz="0" w:space="0" w:color="auto"/>
      </w:divBdr>
    </w:div>
    <w:div w:id="643435088">
      <w:bodyDiv w:val="1"/>
      <w:marLeft w:val="0"/>
      <w:marRight w:val="0"/>
      <w:marTop w:val="0"/>
      <w:marBottom w:val="0"/>
      <w:divBdr>
        <w:top w:val="none" w:sz="0" w:space="0" w:color="auto"/>
        <w:left w:val="none" w:sz="0" w:space="0" w:color="auto"/>
        <w:bottom w:val="none" w:sz="0" w:space="0" w:color="auto"/>
        <w:right w:val="none" w:sz="0" w:space="0" w:color="auto"/>
      </w:divBdr>
    </w:div>
    <w:div w:id="644814885">
      <w:bodyDiv w:val="1"/>
      <w:marLeft w:val="0"/>
      <w:marRight w:val="0"/>
      <w:marTop w:val="0"/>
      <w:marBottom w:val="0"/>
      <w:divBdr>
        <w:top w:val="none" w:sz="0" w:space="0" w:color="auto"/>
        <w:left w:val="none" w:sz="0" w:space="0" w:color="auto"/>
        <w:bottom w:val="none" w:sz="0" w:space="0" w:color="auto"/>
        <w:right w:val="none" w:sz="0" w:space="0" w:color="auto"/>
      </w:divBdr>
    </w:div>
    <w:div w:id="650136929">
      <w:bodyDiv w:val="1"/>
      <w:marLeft w:val="0"/>
      <w:marRight w:val="0"/>
      <w:marTop w:val="0"/>
      <w:marBottom w:val="0"/>
      <w:divBdr>
        <w:top w:val="none" w:sz="0" w:space="0" w:color="auto"/>
        <w:left w:val="none" w:sz="0" w:space="0" w:color="auto"/>
        <w:bottom w:val="none" w:sz="0" w:space="0" w:color="auto"/>
        <w:right w:val="none" w:sz="0" w:space="0" w:color="auto"/>
      </w:divBdr>
    </w:div>
    <w:div w:id="650907588">
      <w:bodyDiv w:val="1"/>
      <w:marLeft w:val="0"/>
      <w:marRight w:val="0"/>
      <w:marTop w:val="0"/>
      <w:marBottom w:val="0"/>
      <w:divBdr>
        <w:top w:val="none" w:sz="0" w:space="0" w:color="auto"/>
        <w:left w:val="none" w:sz="0" w:space="0" w:color="auto"/>
        <w:bottom w:val="none" w:sz="0" w:space="0" w:color="auto"/>
        <w:right w:val="none" w:sz="0" w:space="0" w:color="auto"/>
      </w:divBdr>
    </w:div>
    <w:div w:id="651063303">
      <w:bodyDiv w:val="1"/>
      <w:marLeft w:val="0"/>
      <w:marRight w:val="0"/>
      <w:marTop w:val="0"/>
      <w:marBottom w:val="0"/>
      <w:divBdr>
        <w:top w:val="none" w:sz="0" w:space="0" w:color="auto"/>
        <w:left w:val="none" w:sz="0" w:space="0" w:color="auto"/>
        <w:bottom w:val="none" w:sz="0" w:space="0" w:color="auto"/>
        <w:right w:val="none" w:sz="0" w:space="0" w:color="auto"/>
      </w:divBdr>
    </w:div>
    <w:div w:id="656416703">
      <w:bodyDiv w:val="1"/>
      <w:marLeft w:val="0"/>
      <w:marRight w:val="0"/>
      <w:marTop w:val="0"/>
      <w:marBottom w:val="0"/>
      <w:divBdr>
        <w:top w:val="none" w:sz="0" w:space="0" w:color="auto"/>
        <w:left w:val="none" w:sz="0" w:space="0" w:color="auto"/>
        <w:bottom w:val="none" w:sz="0" w:space="0" w:color="auto"/>
        <w:right w:val="none" w:sz="0" w:space="0" w:color="auto"/>
      </w:divBdr>
    </w:div>
    <w:div w:id="657853177">
      <w:bodyDiv w:val="1"/>
      <w:marLeft w:val="0"/>
      <w:marRight w:val="0"/>
      <w:marTop w:val="0"/>
      <w:marBottom w:val="0"/>
      <w:divBdr>
        <w:top w:val="none" w:sz="0" w:space="0" w:color="auto"/>
        <w:left w:val="none" w:sz="0" w:space="0" w:color="auto"/>
        <w:bottom w:val="none" w:sz="0" w:space="0" w:color="auto"/>
        <w:right w:val="none" w:sz="0" w:space="0" w:color="auto"/>
      </w:divBdr>
    </w:div>
    <w:div w:id="658313327">
      <w:bodyDiv w:val="1"/>
      <w:marLeft w:val="0"/>
      <w:marRight w:val="0"/>
      <w:marTop w:val="0"/>
      <w:marBottom w:val="0"/>
      <w:divBdr>
        <w:top w:val="none" w:sz="0" w:space="0" w:color="auto"/>
        <w:left w:val="none" w:sz="0" w:space="0" w:color="auto"/>
        <w:bottom w:val="none" w:sz="0" w:space="0" w:color="auto"/>
        <w:right w:val="none" w:sz="0" w:space="0" w:color="auto"/>
      </w:divBdr>
    </w:div>
    <w:div w:id="658384672">
      <w:bodyDiv w:val="1"/>
      <w:marLeft w:val="0"/>
      <w:marRight w:val="0"/>
      <w:marTop w:val="0"/>
      <w:marBottom w:val="0"/>
      <w:divBdr>
        <w:top w:val="none" w:sz="0" w:space="0" w:color="auto"/>
        <w:left w:val="none" w:sz="0" w:space="0" w:color="auto"/>
        <w:bottom w:val="none" w:sz="0" w:space="0" w:color="auto"/>
        <w:right w:val="none" w:sz="0" w:space="0" w:color="auto"/>
      </w:divBdr>
    </w:div>
    <w:div w:id="658387344">
      <w:bodyDiv w:val="1"/>
      <w:marLeft w:val="0"/>
      <w:marRight w:val="0"/>
      <w:marTop w:val="0"/>
      <w:marBottom w:val="0"/>
      <w:divBdr>
        <w:top w:val="none" w:sz="0" w:space="0" w:color="auto"/>
        <w:left w:val="none" w:sz="0" w:space="0" w:color="auto"/>
        <w:bottom w:val="none" w:sz="0" w:space="0" w:color="auto"/>
        <w:right w:val="none" w:sz="0" w:space="0" w:color="auto"/>
      </w:divBdr>
    </w:div>
    <w:div w:id="658538481">
      <w:bodyDiv w:val="1"/>
      <w:marLeft w:val="0"/>
      <w:marRight w:val="0"/>
      <w:marTop w:val="0"/>
      <w:marBottom w:val="0"/>
      <w:divBdr>
        <w:top w:val="none" w:sz="0" w:space="0" w:color="auto"/>
        <w:left w:val="none" w:sz="0" w:space="0" w:color="auto"/>
        <w:bottom w:val="none" w:sz="0" w:space="0" w:color="auto"/>
        <w:right w:val="none" w:sz="0" w:space="0" w:color="auto"/>
      </w:divBdr>
    </w:div>
    <w:div w:id="658729028">
      <w:bodyDiv w:val="1"/>
      <w:marLeft w:val="0"/>
      <w:marRight w:val="0"/>
      <w:marTop w:val="0"/>
      <w:marBottom w:val="0"/>
      <w:divBdr>
        <w:top w:val="none" w:sz="0" w:space="0" w:color="auto"/>
        <w:left w:val="none" w:sz="0" w:space="0" w:color="auto"/>
        <w:bottom w:val="none" w:sz="0" w:space="0" w:color="auto"/>
        <w:right w:val="none" w:sz="0" w:space="0" w:color="auto"/>
      </w:divBdr>
    </w:div>
    <w:div w:id="659390413">
      <w:bodyDiv w:val="1"/>
      <w:marLeft w:val="0"/>
      <w:marRight w:val="0"/>
      <w:marTop w:val="0"/>
      <w:marBottom w:val="0"/>
      <w:divBdr>
        <w:top w:val="none" w:sz="0" w:space="0" w:color="auto"/>
        <w:left w:val="none" w:sz="0" w:space="0" w:color="auto"/>
        <w:bottom w:val="none" w:sz="0" w:space="0" w:color="auto"/>
        <w:right w:val="none" w:sz="0" w:space="0" w:color="auto"/>
      </w:divBdr>
    </w:div>
    <w:div w:id="659428898">
      <w:bodyDiv w:val="1"/>
      <w:marLeft w:val="0"/>
      <w:marRight w:val="0"/>
      <w:marTop w:val="0"/>
      <w:marBottom w:val="0"/>
      <w:divBdr>
        <w:top w:val="none" w:sz="0" w:space="0" w:color="auto"/>
        <w:left w:val="none" w:sz="0" w:space="0" w:color="auto"/>
        <w:bottom w:val="none" w:sz="0" w:space="0" w:color="auto"/>
        <w:right w:val="none" w:sz="0" w:space="0" w:color="auto"/>
      </w:divBdr>
    </w:div>
    <w:div w:id="660474348">
      <w:bodyDiv w:val="1"/>
      <w:marLeft w:val="0"/>
      <w:marRight w:val="0"/>
      <w:marTop w:val="0"/>
      <w:marBottom w:val="0"/>
      <w:divBdr>
        <w:top w:val="none" w:sz="0" w:space="0" w:color="auto"/>
        <w:left w:val="none" w:sz="0" w:space="0" w:color="auto"/>
        <w:bottom w:val="none" w:sz="0" w:space="0" w:color="auto"/>
        <w:right w:val="none" w:sz="0" w:space="0" w:color="auto"/>
      </w:divBdr>
    </w:div>
    <w:div w:id="664356033">
      <w:bodyDiv w:val="1"/>
      <w:marLeft w:val="0"/>
      <w:marRight w:val="0"/>
      <w:marTop w:val="0"/>
      <w:marBottom w:val="0"/>
      <w:divBdr>
        <w:top w:val="none" w:sz="0" w:space="0" w:color="auto"/>
        <w:left w:val="none" w:sz="0" w:space="0" w:color="auto"/>
        <w:bottom w:val="none" w:sz="0" w:space="0" w:color="auto"/>
        <w:right w:val="none" w:sz="0" w:space="0" w:color="auto"/>
      </w:divBdr>
    </w:div>
    <w:div w:id="666597816">
      <w:bodyDiv w:val="1"/>
      <w:marLeft w:val="0"/>
      <w:marRight w:val="0"/>
      <w:marTop w:val="0"/>
      <w:marBottom w:val="0"/>
      <w:divBdr>
        <w:top w:val="none" w:sz="0" w:space="0" w:color="auto"/>
        <w:left w:val="none" w:sz="0" w:space="0" w:color="auto"/>
        <w:bottom w:val="none" w:sz="0" w:space="0" w:color="auto"/>
        <w:right w:val="none" w:sz="0" w:space="0" w:color="auto"/>
      </w:divBdr>
    </w:div>
    <w:div w:id="666978664">
      <w:bodyDiv w:val="1"/>
      <w:marLeft w:val="0"/>
      <w:marRight w:val="0"/>
      <w:marTop w:val="0"/>
      <w:marBottom w:val="0"/>
      <w:divBdr>
        <w:top w:val="none" w:sz="0" w:space="0" w:color="auto"/>
        <w:left w:val="none" w:sz="0" w:space="0" w:color="auto"/>
        <w:bottom w:val="none" w:sz="0" w:space="0" w:color="auto"/>
        <w:right w:val="none" w:sz="0" w:space="0" w:color="auto"/>
      </w:divBdr>
    </w:div>
    <w:div w:id="667899954">
      <w:bodyDiv w:val="1"/>
      <w:marLeft w:val="0"/>
      <w:marRight w:val="0"/>
      <w:marTop w:val="0"/>
      <w:marBottom w:val="0"/>
      <w:divBdr>
        <w:top w:val="none" w:sz="0" w:space="0" w:color="auto"/>
        <w:left w:val="none" w:sz="0" w:space="0" w:color="auto"/>
        <w:bottom w:val="none" w:sz="0" w:space="0" w:color="auto"/>
        <w:right w:val="none" w:sz="0" w:space="0" w:color="auto"/>
      </w:divBdr>
    </w:div>
    <w:div w:id="668484497">
      <w:bodyDiv w:val="1"/>
      <w:marLeft w:val="0"/>
      <w:marRight w:val="0"/>
      <w:marTop w:val="0"/>
      <w:marBottom w:val="0"/>
      <w:divBdr>
        <w:top w:val="none" w:sz="0" w:space="0" w:color="auto"/>
        <w:left w:val="none" w:sz="0" w:space="0" w:color="auto"/>
        <w:bottom w:val="none" w:sz="0" w:space="0" w:color="auto"/>
        <w:right w:val="none" w:sz="0" w:space="0" w:color="auto"/>
      </w:divBdr>
    </w:div>
    <w:div w:id="668564752">
      <w:bodyDiv w:val="1"/>
      <w:marLeft w:val="0"/>
      <w:marRight w:val="0"/>
      <w:marTop w:val="0"/>
      <w:marBottom w:val="0"/>
      <w:divBdr>
        <w:top w:val="none" w:sz="0" w:space="0" w:color="auto"/>
        <w:left w:val="none" w:sz="0" w:space="0" w:color="auto"/>
        <w:bottom w:val="none" w:sz="0" w:space="0" w:color="auto"/>
        <w:right w:val="none" w:sz="0" w:space="0" w:color="auto"/>
      </w:divBdr>
    </w:div>
    <w:div w:id="668602810">
      <w:bodyDiv w:val="1"/>
      <w:marLeft w:val="0"/>
      <w:marRight w:val="0"/>
      <w:marTop w:val="0"/>
      <w:marBottom w:val="0"/>
      <w:divBdr>
        <w:top w:val="none" w:sz="0" w:space="0" w:color="auto"/>
        <w:left w:val="none" w:sz="0" w:space="0" w:color="auto"/>
        <w:bottom w:val="none" w:sz="0" w:space="0" w:color="auto"/>
        <w:right w:val="none" w:sz="0" w:space="0" w:color="auto"/>
      </w:divBdr>
    </w:div>
    <w:div w:id="669258413">
      <w:bodyDiv w:val="1"/>
      <w:marLeft w:val="0"/>
      <w:marRight w:val="0"/>
      <w:marTop w:val="0"/>
      <w:marBottom w:val="0"/>
      <w:divBdr>
        <w:top w:val="none" w:sz="0" w:space="0" w:color="auto"/>
        <w:left w:val="none" w:sz="0" w:space="0" w:color="auto"/>
        <w:bottom w:val="none" w:sz="0" w:space="0" w:color="auto"/>
        <w:right w:val="none" w:sz="0" w:space="0" w:color="auto"/>
      </w:divBdr>
    </w:div>
    <w:div w:id="669527601">
      <w:bodyDiv w:val="1"/>
      <w:marLeft w:val="0"/>
      <w:marRight w:val="0"/>
      <w:marTop w:val="0"/>
      <w:marBottom w:val="0"/>
      <w:divBdr>
        <w:top w:val="none" w:sz="0" w:space="0" w:color="auto"/>
        <w:left w:val="none" w:sz="0" w:space="0" w:color="auto"/>
        <w:bottom w:val="none" w:sz="0" w:space="0" w:color="auto"/>
        <w:right w:val="none" w:sz="0" w:space="0" w:color="auto"/>
      </w:divBdr>
    </w:div>
    <w:div w:id="671765552">
      <w:bodyDiv w:val="1"/>
      <w:marLeft w:val="0"/>
      <w:marRight w:val="0"/>
      <w:marTop w:val="0"/>
      <w:marBottom w:val="0"/>
      <w:divBdr>
        <w:top w:val="none" w:sz="0" w:space="0" w:color="auto"/>
        <w:left w:val="none" w:sz="0" w:space="0" w:color="auto"/>
        <w:bottom w:val="none" w:sz="0" w:space="0" w:color="auto"/>
        <w:right w:val="none" w:sz="0" w:space="0" w:color="auto"/>
      </w:divBdr>
    </w:div>
    <w:div w:id="673191773">
      <w:bodyDiv w:val="1"/>
      <w:marLeft w:val="0"/>
      <w:marRight w:val="0"/>
      <w:marTop w:val="0"/>
      <w:marBottom w:val="0"/>
      <w:divBdr>
        <w:top w:val="none" w:sz="0" w:space="0" w:color="auto"/>
        <w:left w:val="none" w:sz="0" w:space="0" w:color="auto"/>
        <w:bottom w:val="none" w:sz="0" w:space="0" w:color="auto"/>
        <w:right w:val="none" w:sz="0" w:space="0" w:color="auto"/>
      </w:divBdr>
    </w:div>
    <w:div w:id="674190853">
      <w:bodyDiv w:val="1"/>
      <w:marLeft w:val="0"/>
      <w:marRight w:val="0"/>
      <w:marTop w:val="0"/>
      <w:marBottom w:val="0"/>
      <w:divBdr>
        <w:top w:val="none" w:sz="0" w:space="0" w:color="auto"/>
        <w:left w:val="none" w:sz="0" w:space="0" w:color="auto"/>
        <w:bottom w:val="none" w:sz="0" w:space="0" w:color="auto"/>
        <w:right w:val="none" w:sz="0" w:space="0" w:color="auto"/>
      </w:divBdr>
    </w:div>
    <w:div w:id="674259699">
      <w:bodyDiv w:val="1"/>
      <w:marLeft w:val="0"/>
      <w:marRight w:val="0"/>
      <w:marTop w:val="0"/>
      <w:marBottom w:val="0"/>
      <w:divBdr>
        <w:top w:val="none" w:sz="0" w:space="0" w:color="auto"/>
        <w:left w:val="none" w:sz="0" w:space="0" w:color="auto"/>
        <w:bottom w:val="none" w:sz="0" w:space="0" w:color="auto"/>
        <w:right w:val="none" w:sz="0" w:space="0" w:color="auto"/>
      </w:divBdr>
    </w:div>
    <w:div w:id="675232276">
      <w:bodyDiv w:val="1"/>
      <w:marLeft w:val="0"/>
      <w:marRight w:val="0"/>
      <w:marTop w:val="0"/>
      <w:marBottom w:val="0"/>
      <w:divBdr>
        <w:top w:val="none" w:sz="0" w:space="0" w:color="auto"/>
        <w:left w:val="none" w:sz="0" w:space="0" w:color="auto"/>
        <w:bottom w:val="none" w:sz="0" w:space="0" w:color="auto"/>
        <w:right w:val="none" w:sz="0" w:space="0" w:color="auto"/>
      </w:divBdr>
    </w:div>
    <w:div w:id="676274044">
      <w:bodyDiv w:val="1"/>
      <w:marLeft w:val="0"/>
      <w:marRight w:val="0"/>
      <w:marTop w:val="0"/>
      <w:marBottom w:val="0"/>
      <w:divBdr>
        <w:top w:val="none" w:sz="0" w:space="0" w:color="auto"/>
        <w:left w:val="none" w:sz="0" w:space="0" w:color="auto"/>
        <w:bottom w:val="none" w:sz="0" w:space="0" w:color="auto"/>
        <w:right w:val="none" w:sz="0" w:space="0" w:color="auto"/>
      </w:divBdr>
    </w:div>
    <w:div w:id="677077265">
      <w:bodyDiv w:val="1"/>
      <w:marLeft w:val="0"/>
      <w:marRight w:val="0"/>
      <w:marTop w:val="0"/>
      <w:marBottom w:val="0"/>
      <w:divBdr>
        <w:top w:val="none" w:sz="0" w:space="0" w:color="auto"/>
        <w:left w:val="none" w:sz="0" w:space="0" w:color="auto"/>
        <w:bottom w:val="none" w:sz="0" w:space="0" w:color="auto"/>
        <w:right w:val="none" w:sz="0" w:space="0" w:color="auto"/>
      </w:divBdr>
    </w:div>
    <w:div w:id="678044954">
      <w:bodyDiv w:val="1"/>
      <w:marLeft w:val="0"/>
      <w:marRight w:val="0"/>
      <w:marTop w:val="0"/>
      <w:marBottom w:val="0"/>
      <w:divBdr>
        <w:top w:val="none" w:sz="0" w:space="0" w:color="auto"/>
        <w:left w:val="none" w:sz="0" w:space="0" w:color="auto"/>
        <w:bottom w:val="none" w:sz="0" w:space="0" w:color="auto"/>
        <w:right w:val="none" w:sz="0" w:space="0" w:color="auto"/>
      </w:divBdr>
    </w:div>
    <w:div w:id="679115417">
      <w:bodyDiv w:val="1"/>
      <w:marLeft w:val="0"/>
      <w:marRight w:val="0"/>
      <w:marTop w:val="0"/>
      <w:marBottom w:val="0"/>
      <w:divBdr>
        <w:top w:val="none" w:sz="0" w:space="0" w:color="auto"/>
        <w:left w:val="none" w:sz="0" w:space="0" w:color="auto"/>
        <w:bottom w:val="none" w:sz="0" w:space="0" w:color="auto"/>
        <w:right w:val="none" w:sz="0" w:space="0" w:color="auto"/>
      </w:divBdr>
    </w:div>
    <w:div w:id="679746614">
      <w:bodyDiv w:val="1"/>
      <w:marLeft w:val="0"/>
      <w:marRight w:val="0"/>
      <w:marTop w:val="0"/>
      <w:marBottom w:val="0"/>
      <w:divBdr>
        <w:top w:val="none" w:sz="0" w:space="0" w:color="auto"/>
        <w:left w:val="none" w:sz="0" w:space="0" w:color="auto"/>
        <w:bottom w:val="none" w:sz="0" w:space="0" w:color="auto"/>
        <w:right w:val="none" w:sz="0" w:space="0" w:color="auto"/>
      </w:divBdr>
    </w:div>
    <w:div w:id="680469898">
      <w:bodyDiv w:val="1"/>
      <w:marLeft w:val="0"/>
      <w:marRight w:val="0"/>
      <w:marTop w:val="0"/>
      <w:marBottom w:val="0"/>
      <w:divBdr>
        <w:top w:val="none" w:sz="0" w:space="0" w:color="auto"/>
        <w:left w:val="none" w:sz="0" w:space="0" w:color="auto"/>
        <w:bottom w:val="none" w:sz="0" w:space="0" w:color="auto"/>
        <w:right w:val="none" w:sz="0" w:space="0" w:color="auto"/>
      </w:divBdr>
    </w:div>
    <w:div w:id="681393617">
      <w:bodyDiv w:val="1"/>
      <w:marLeft w:val="0"/>
      <w:marRight w:val="0"/>
      <w:marTop w:val="0"/>
      <w:marBottom w:val="0"/>
      <w:divBdr>
        <w:top w:val="none" w:sz="0" w:space="0" w:color="auto"/>
        <w:left w:val="none" w:sz="0" w:space="0" w:color="auto"/>
        <w:bottom w:val="none" w:sz="0" w:space="0" w:color="auto"/>
        <w:right w:val="none" w:sz="0" w:space="0" w:color="auto"/>
      </w:divBdr>
    </w:div>
    <w:div w:id="682124444">
      <w:bodyDiv w:val="1"/>
      <w:marLeft w:val="0"/>
      <w:marRight w:val="0"/>
      <w:marTop w:val="0"/>
      <w:marBottom w:val="0"/>
      <w:divBdr>
        <w:top w:val="none" w:sz="0" w:space="0" w:color="auto"/>
        <w:left w:val="none" w:sz="0" w:space="0" w:color="auto"/>
        <w:bottom w:val="none" w:sz="0" w:space="0" w:color="auto"/>
        <w:right w:val="none" w:sz="0" w:space="0" w:color="auto"/>
      </w:divBdr>
    </w:div>
    <w:div w:id="682249707">
      <w:bodyDiv w:val="1"/>
      <w:marLeft w:val="0"/>
      <w:marRight w:val="0"/>
      <w:marTop w:val="0"/>
      <w:marBottom w:val="0"/>
      <w:divBdr>
        <w:top w:val="none" w:sz="0" w:space="0" w:color="auto"/>
        <w:left w:val="none" w:sz="0" w:space="0" w:color="auto"/>
        <w:bottom w:val="none" w:sz="0" w:space="0" w:color="auto"/>
        <w:right w:val="none" w:sz="0" w:space="0" w:color="auto"/>
      </w:divBdr>
    </w:div>
    <w:div w:id="683439410">
      <w:bodyDiv w:val="1"/>
      <w:marLeft w:val="0"/>
      <w:marRight w:val="0"/>
      <w:marTop w:val="0"/>
      <w:marBottom w:val="0"/>
      <w:divBdr>
        <w:top w:val="none" w:sz="0" w:space="0" w:color="auto"/>
        <w:left w:val="none" w:sz="0" w:space="0" w:color="auto"/>
        <w:bottom w:val="none" w:sz="0" w:space="0" w:color="auto"/>
        <w:right w:val="none" w:sz="0" w:space="0" w:color="auto"/>
      </w:divBdr>
    </w:div>
    <w:div w:id="683702643">
      <w:bodyDiv w:val="1"/>
      <w:marLeft w:val="0"/>
      <w:marRight w:val="0"/>
      <w:marTop w:val="0"/>
      <w:marBottom w:val="0"/>
      <w:divBdr>
        <w:top w:val="none" w:sz="0" w:space="0" w:color="auto"/>
        <w:left w:val="none" w:sz="0" w:space="0" w:color="auto"/>
        <w:bottom w:val="none" w:sz="0" w:space="0" w:color="auto"/>
        <w:right w:val="none" w:sz="0" w:space="0" w:color="auto"/>
      </w:divBdr>
    </w:div>
    <w:div w:id="684675246">
      <w:bodyDiv w:val="1"/>
      <w:marLeft w:val="0"/>
      <w:marRight w:val="0"/>
      <w:marTop w:val="0"/>
      <w:marBottom w:val="0"/>
      <w:divBdr>
        <w:top w:val="none" w:sz="0" w:space="0" w:color="auto"/>
        <w:left w:val="none" w:sz="0" w:space="0" w:color="auto"/>
        <w:bottom w:val="none" w:sz="0" w:space="0" w:color="auto"/>
        <w:right w:val="none" w:sz="0" w:space="0" w:color="auto"/>
      </w:divBdr>
    </w:div>
    <w:div w:id="685013400">
      <w:bodyDiv w:val="1"/>
      <w:marLeft w:val="0"/>
      <w:marRight w:val="0"/>
      <w:marTop w:val="0"/>
      <w:marBottom w:val="0"/>
      <w:divBdr>
        <w:top w:val="none" w:sz="0" w:space="0" w:color="auto"/>
        <w:left w:val="none" w:sz="0" w:space="0" w:color="auto"/>
        <w:bottom w:val="none" w:sz="0" w:space="0" w:color="auto"/>
        <w:right w:val="none" w:sz="0" w:space="0" w:color="auto"/>
      </w:divBdr>
    </w:div>
    <w:div w:id="687218443">
      <w:bodyDiv w:val="1"/>
      <w:marLeft w:val="0"/>
      <w:marRight w:val="0"/>
      <w:marTop w:val="0"/>
      <w:marBottom w:val="0"/>
      <w:divBdr>
        <w:top w:val="none" w:sz="0" w:space="0" w:color="auto"/>
        <w:left w:val="none" w:sz="0" w:space="0" w:color="auto"/>
        <w:bottom w:val="none" w:sz="0" w:space="0" w:color="auto"/>
        <w:right w:val="none" w:sz="0" w:space="0" w:color="auto"/>
      </w:divBdr>
    </w:div>
    <w:div w:id="687219179">
      <w:bodyDiv w:val="1"/>
      <w:marLeft w:val="0"/>
      <w:marRight w:val="0"/>
      <w:marTop w:val="0"/>
      <w:marBottom w:val="0"/>
      <w:divBdr>
        <w:top w:val="none" w:sz="0" w:space="0" w:color="auto"/>
        <w:left w:val="none" w:sz="0" w:space="0" w:color="auto"/>
        <w:bottom w:val="none" w:sz="0" w:space="0" w:color="auto"/>
        <w:right w:val="none" w:sz="0" w:space="0" w:color="auto"/>
      </w:divBdr>
    </w:div>
    <w:div w:id="687559953">
      <w:bodyDiv w:val="1"/>
      <w:marLeft w:val="0"/>
      <w:marRight w:val="0"/>
      <w:marTop w:val="0"/>
      <w:marBottom w:val="0"/>
      <w:divBdr>
        <w:top w:val="none" w:sz="0" w:space="0" w:color="auto"/>
        <w:left w:val="none" w:sz="0" w:space="0" w:color="auto"/>
        <w:bottom w:val="none" w:sz="0" w:space="0" w:color="auto"/>
        <w:right w:val="none" w:sz="0" w:space="0" w:color="auto"/>
      </w:divBdr>
    </w:div>
    <w:div w:id="687680830">
      <w:bodyDiv w:val="1"/>
      <w:marLeft w:val="0"/>
      <w:marRight w:val="0"/>
      <w:marTop w:val="0"/>
      <w:marBottom w:val="0"/>
      <w:divBdr>
        <w:top w:val="none" w:sz="0" w:space="0" w:color="auto"/>
        <w:left w:val="none" w:sz="0" w:space="0" w:color="auto"/>
        <w:bottom w:val="none" w:sz="0" w:space="0" w:color="auto"/>
        <w:right w:val="none" w:sz="0" w:space="0" w:color="auto"/>
      </w:divBdr>
    </w:div>
    <w:div w:id="687800896">
      <w:bodyDiv w:val="1"/>
      <w:marLeft w:val="0"/>
      <w:marRight w:val="0"/>
      <w:marTop w:val="0"/>
      <w:marBottom w:val="0"/>
      <w:divBdr>
        <w:top w:val="none" w:sz="0" w:space="0" w:color="auto"/>
        <w:left w:val="none" w:sz="0" w:space="0" w:color="auto"/>
        <w:bottom w:val="none" w:sz="0" w:space="0" w:color="auto"/>
        <w:right w:val="none" w:sz="0" w:space="0" w:color="auto"/>
      </w:divBdr>
    </w:div>
    <w:div w:id="687827115">
      <w:bodyDiv w:val="1"/>
      <w:marLeft w:val="0"/>
      <w:marRight w:val="0"/>
      <w:marTop w:val="0"/>
      <w:marBottom w:val="0"/>
      <w:divBdr>
        <w:top w:val="none" w:sz="0" w:space="0" w:color="auto"/>
        <w:left w:val="none" w:sz="0" w:space="0" w:color="auto"/>
        <w:bottom w:val="none" w:sz="0" w:space="0" w:color="auto"/>
        <w:right w:val="none" w:sz="0" w:space="0" w:color="auto"/>
      </w:divBdr>
    </w:div>
    <w:div w:id="688458564">
      <w:bodyDiv w:val="1"/>
      <w:marLeft w:val="0"/>
      <w:marRight w:val="0"/>
      <w:marTop w:val="0"/>
      <w:marBottom w:val="0"/>
      <w:divBdr>
        <w:top w:val="none" w:sz="0" w:space="0" w:color="auto"/>
        <w:left w:val="none" w:sz="0" w:space="0" w:color="auto"/>
        <w:bottom w:val="none" w:sz="0" w:space="0" w:color="auto"/>
        <w:right w:val="none" w:sz="0" w:space="0" w:color="auto"/>
      </w:divBdr>
    </w:div>
    <w:div w:id="690766259">
      <w:bodyDiv w:val="1"/>
      <w:marLeft w:val="0"/>
      <w:marRight w:val="0"/>
      <w:marTop w:val="0"/>
      <w:marBottom w:val="0"/>
      <w:divBdr>
        <w:top w:val="none" w:sz="0" w:space="0" w:color="auto"/>
        <w:left w:val="none" w:sz="0" w:space="0" w:color="auto"/>
        <w:bottom w:val="none" w:sz="0" w:space="0" w:color="auto"/>
        <w:right w:val="none" w:sz="0" w:space="0" w:color="auto"/>
      </w:divBdr>
    </w:div>
    <w:div w:id="691686243">
      <w:bodyDiv w:val="1"/>
      <w:marLeft w:val="0"/>
      <w:marRight w:val="0"/>
      <w:marTop w:val="0"/>
      <w:marBottom w:val="0"/>
      <w:divBdr>
        <w:top w:val="none" w:sz="0" w:space="0" w:color="auto"/>
        <w:left w:val="none" w:sz="0" w:space="0" w:color="auto"/>
        <w:bottom w:val="none" w:sz="0" w:space="0" w:color="auto"/>
        <w:right w:val="none" w:sz="0" w:space="0" w:color="auto"/>
      </w:divBdr>
    </w:div>
    <w:div w:id="692193735">
      <w:bodyDiv w:val="1"/>
      <w:marLeft w:val="0"/>
      <w:marRight w:val="0"/>
      <w:marTop w:val="0"/>
      <w:marBottom w:val="0"/>
      <w:divBdr>
        <w:top w:val="none" w:sz="0" w:space="0" w:color="auto"/>
        <w:left w:val="none" w:sz="0" w:space="0" w:color="auto"/>
        <w:bottom w:val="none" w:sz="0" w:space="0" w:color="auto"/>
        <w:right w:val="none" w:sz="0" w:space="0" w:color="auto"/>
      </w:divBdr>
    </w:div>
    <w:div w:id="692457849">
      <w:bodyDiv w:val="1"/>
      <w:marLeft w:val="0"/>
      <w:marRight w:val="0"/>
      <w:marTop w:val="0"/>
      <w:marBottom w:val="0"/>
      <w:divBdr>
        <w:top w:val="none" w:sz="0" w:space="0" w:color="auto"/>
        <w:left w:val="none" w:sz="0" w:space="0" w:color="auto"/>
        <w:bottom w:val="none" w:sz="0" w:space="0" w:color="auto"/>
        <w:right w:val="none" w:sz="0" w:space="0" w:color="auto"/>
      </w:divBdr>
    </w:div>
    <w:div w:id="692610918">
      <w:bodyDiv w:val="1"/>
      <w:marLeft w:val="0"/>
      <w:marRight w:val="0"/>
      <w:marTop w:val="0"/>
      <w:marBottom w:val="0"/>
      <w:divBdr>
        <w:top w:val="none" w:sz="0" w:space="0" w:color="auto"/>
        <w:left w:val="none" w:sz="0" w:space="0" w:color="auto"/>
        <w:bottom w:val="none" w:sz="0" w:space="0" w:color="auto"/>
        <w:right w:val="none" w:sz="0" w:space="0" w:color="auto"/>
      </w:divBdr>
    </w:div>
    <w:div w:id="692877675">
      <w:bodyDiv w:val="1"/>
      <w:marLeft w:val="0"/>
      <w:marRight w:val="0"/>
      <w:marTop w:val="0"/>
      <w:marBottom w:val="0"/>
      <w:divBdr>
        <w:top w:val="none" w:sz="0" w:space="0" w:color="auto"/>
        <w:left w:val="none" w:sz="0" w:space="0" w:color="auto"/>
        <w:bottom w:val="none" w:sz="0" w:space="0" w:color="auto"/>
        <w:right w:val="none" w:sz="0" w:space="0" w:color="auto"/>
      </w:divBdr>
      <w:divsChild>
        <w:div w:id="138329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981590">
              <w:marLeft w:val="0"/>
              <w:marRight w:val="0"/>
              <w:marTop w:val="0"/>
              <w:marBottom w:val="0"/>
              <w:divBdr>
                <w:top w:val="none" w:sz="0" w:space="0" w:color="auto"/>
                <w:left w:val="none" w:sz="0" w:space="0" w:color="auto"/>
                <w:bottom w:val="none" w:sz="0" w:space="0" w:color="auto"/>
                <w:right w:val="none" w:sz="0" w:space="0" w:color="auto"/>
              </w:divBdr>
              <w:divsChild>
                <w:div w:id="647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79341">
      <w:bodyDiv w:val="1"/>
      <w:marLeft w:val="0"/>
      <w:marRight w:val="0"/>
      <w:marTop w:val="0"/>
      <w:marBottom w:val="0"/>
      <w:divBdr>
        <w:top w:val="none" w:sz="0" w:space="0" w:color="auto"/>
        <w:left w:val="none" w:sz="0" w:space="0" w:color="auto"/>
        <w:bottom w:val="none" w:sz="0" w:space="0" w:color="auto"/>
        <w:right w:val="none" w:sz="0" w:space="0" w:color="auto"/>
      </w:divBdr>
    </w:div>
    <w:div w:id="693502153">
      <w:bodyDiv w:val="1"/>
      <w:marLeft w:val="0"/>
      <w:marRight w:val="0"/>
      <w:marTop w:val="0"/>
      <w:marBottom w:val="0"/>
      <w:divBdr>
        <w:top w:val="none" w:sz="0" w:space="0" w:color="auto"/>
        <w:left w:val="none" w:sz="0" w:space="0" w:color="auto"/>
        <w:bottom w:val="none" w:sz="0" w:space="0" w:color="auto"/>
        <w:right w:val="none" w:sz="0" w:space="0" w:color="auto"/>
      </w:divBdr>
    </w:div>
    <w:div w:id="697006959">
      <w:bodyDiv w:val="1"/>
      <w:marLeft w:val="0"/>
      <w:marRight w:val="0"/>
      <w:marTop w:val="0"/>
      <w:marBottom w:val="0"/>
      <w:divBdr>
        <w:top w:val="none" w:sz="0" w:space="0" w:color="auto"/>
        <w:left w:val="none" w:sz="0" w:space="0" w:color="auto"/>
        <w:bottom w:val="none" w:sz="0" w:space="0" w:color="auto"/>
        <w:right w:val="none" w:sz="0" w:space="0" w:color="auto"/>
      </w:divBdr>
    </w:div>
    <w:div w:id="697585894">
      <w:bodyDiv w:val="1"/>
      <w:marLeft w:val="0"/>
      <w:marRight w:val="0"/>
      <w:marTop w:val="0"/>
      <w:marBottom w:val="0"/>
      <w:divBdr>
        <w:top w:val="none" w:sz="0" w:space="0" w:color="auto"/>
        <w:left w:val="none" w:sz="0" w:space="0" w:color="auto"/>
        <w:bottom w:val="none" w:sz="0" w:space="0" w:color="auto"/>
        <w:right w:val="none" w:sz="0" w:space="0" w:color="auto"/>
      </w:divBdr>
    </w:div>
    <w:div w:id="697657753">
      <w:bodyDiv w:val="1"/>
      <w:marLeft w:val="0"/>
      <w:marRight w:val="0"/>
      <w:marTop w:val="0"/>
      <w:marBottom w:val="0"/>
      <w:divBdr>
        <w:top w:val="none" w:sz="0" w:space="0" w:color="auto"/>
        <w:left w:val="none" w:sz="0" w:space="0" w:color="auto"/>
        <w:bottom w:val="none" w:sz="0" w:space="0" w:color="auto"/>
        <w:right w:val="none" w:sz="0" w:space="0" w:color="auto"/>
      </w:divBdr>
    </w:div>
    <w:div w:id="699016619">
      <w:bodyDiv w:val="1"/>
      <w:marLeft w:val="0"/>
      <w:marRight w:val="0"/>
      <w:marTop w:val="0"/>
      <w:marBottom w:val="0"/>
      <w:divBdr>
        <w:top w:val="none" w:sz="0" w:space="0" w:color="auto"/>
        <w:left w:val="none" w:sz="0" w:space="0" w:color="auto"/>
        <w:bottom w:val="none" w:sz="0" w:space="0" w:color="auto"/>
        <w:right w:val="none" w:sz="0" w:space="0" w:color="auto"/>
      </w:divBdr>
    </w:div>
    <w:div w:id="700086825">
      <w:bodyDiv w:val="1"/>
      <w:marLeft w:val="0"/>
      <w:marRight w:val="0"/>
      <w:marTop w:val="0"/>
      <w:marBottom w:val="0"/>
      <w:divBdr>
        <w:top w:val="none" w:sz="0" w:space="0" w:color="auto"/>
        <w:left w:val="none" w:sz="0" w:space="0" w:color="auto"/>
        <w:bottom w:val="none" w:sz="0" w:space="0" w:color="auto"/>
        <w:right w:val="none" w:sz="0" w:space="0" w:color="auto"/>
      </w:divBdr>
    </w:div>
    <w:div w:id="700520866">
      <w:bodyDiv w:val="1"/>
      <w:marLeft w:val="0"/>
      <w:marRight w:val="0"/>
      <w:marTop w:val="0"/>
      <w:marBottom w:val="0"/>
      <w:divBdr>
        <w:top w:val="none" w:sz="0" w:space="0" w:color="auto"/>
        <w:left w:val="none" w:sz="0" w:space="0" w:color="auto"/>
        <w:bottom w:val="none" w:sz="0" w:space="0" w:color="auto"/>
        <w:right w:val="none" w:sz="0" w:space="0" w:color="auto"/>
      </w:divBdr>
    </w:div>
    <w:div w:id="700588036">
      <w:bodyDiv w:val="1"/>
      <w:marLeft w:val="0"/>
      <w:marRight w:val="0"/>
      <w:marTop w:val="0"/>
      <w:marBottom w:val="0"/>
      <w:divBdr>
        <w:top w:val="none" w:sz="0" w:space="0" w:color="auto"/>
        <w:left w:val="none" w:sz="0" w:space="0" w:color="auto"/>
        <w:bottom w:val="none" w:sz="0" w:space="0" w:color="auto"/>
        <w:right w:val="none" w:sz="0" w:space="0" w:color="auto"/>
      </w:divBdr>
    </w:div>
    <w:div w:id="700978167">
      <w:bodyDiv w:val="1"/>
      <w:marLeft w:val="0"/>
      <w:marRight w:val="0"/>
      <w:marTop w:val="0"/>
      <w:marBottom w:val="0"/>
      <w:divBdr>
        <w:top w:val="none" w:sz="0" w:space="0" w:color="auto"/>
        <w:left w:val="none" w:sz="0" w:space="0" w:color="auto"/>
        <w:bottom w:val="none" w:sz="0" w:space="0" w:color="auto"/>
        <w:right w:val="none" w:sz="0" w:space="0" w:color="auto"/>
      </w:divBdr>
    </w:div>
    <w:div w:id="701706992">
      <w:bodyDiv w:val="1"/>
      <w:marLeft w:val="0"/>
      <w:marRight w:val="0"/>
      <w:marTop w:val="0"/>
      <w:marBottom w:val="0"/>
      <w:divBdr>
        <w:top w:val="none" w:sz="0" w:space="0" w:color="auto"/>
        <w:left w:val="none" w:sz="0" w:space="0" w:color="auto"/>
        <w:bottom w:val="none" w:sz="0" w:space="0" w:color="auto"/>
        <w:right w:val="none" w:sz="0" w:space="0" w:color="auto"/>
      </w:divBdr>
    </w:div>
    <w:div w:id="701710135">
      <w:bodyDiv w:val="1"/>
      <w:marLeft w:val="0"/>
      <w:marRight w:val="0"/>
      <w:marTop w:val="0"/>
      <w:marBottom w:val="0"/>
      <w:divBdr>
        <w:top w:val="none" w:sz="0" w:space="0" w:color="auto"/>
        <w:left w:val="none" w:sz="0" w:space="0" w:color="auto"/>
        <w:bottom w:val="none" w:sz="0" w:space="0" w:color="auto"/>
        <w:right w:val="none" w:sz="0" w:space="0" w:color="auto"/>
      </w:divBdr>
    </w:div>
    <w:div w:id="701710249">
      <w:bodyDiv w:val="1"/>
      <w:marLeft w:val="0"/>
      <w:marRight w:val="0"/>
      <w:marTop w:val="0"/>
      <w:marBottom w:val="0"/>
      <w:divBdr>
        <w:top w:val="none" w:sz="0" w:space="0" w:color="auto"/>
        <w:left w:val="none" w:sz="0" w:space="0" w:color="auto"/>
        <w:bottom w:val="none" w:sz="0" w:space="0" w:color="auto"/>
        <w:right w:val="none" w:sz="0" w:space="0" w:color="auto"/>
      </w:divBdr>
    </w:div>
    <w:div w:id="702362770">
      <w:bodyDiv w:val="1"/>
      <w:marLeft w:val="0"/>
      <w:marRight w:val="0"/>
      <w:marTop w:val="0"/>
      <w:marBottom w:val="0"/>
      <w:divBdr>
        <w:top w:val="none" w:sz="0" w:space="0" w:color="auto"/>
        <w:left w:val="none" w:sz="0" w:space="0" w:color="auto"/>
        <w:bottom w:val="none" w:sz="0" w:space="0" w:color="auto"/>
        <w:right w:val="none" w:sz="0" w:space="0" w:color="auto"/>
      </w:divBdr>
    </w:div>
    <w:div w:id="703216957">
      <w:bodyDiv w:val="1"/>
      <w:marLeft w:val="0"/>
      <w:marRight w:val="0"/>
      <w:marTop w:val="0"/>
      <w:marBottom w:val="0"/>
      <w:divBdr>
        <w:top w:val="none" w:sz="0" w:space="0" w:color="auto"/>
        <w:left w:val="none" w:sz="0" w:space="0" w:color="auto"/>
        <w:bottom w:val="none" w:sz="0" w:space="0" w:color="auto"/>
        <w:right w:val="none" w:sz="0" w:space="0" w:color="auto"/>
      </w:divBdr>
    </w:div>
    <w:div w:id="704598083">
      <w:bodyDiv w:val="1"/>
      <w:marLeft w:val="0"/>
      <w:marRight w:val="0"/>
      <w:marTop w:val="0"/>
      <w:marBottom w:val="0"/>
      <w:divBdr>
        <w:top w:val="none" w:sz="0" w:space="0" w:color="auto"/>
        <w:left w:val="none" w:sz="0" w:space="0" w:color="auto"/>
        <w:bottom w:val="none" w:sz="0" w:space="0" w:color="auto"/>
        <w:right w:val="none" w:sz="0" w:space="0" w:color="auto"/>
      </w:divBdr>
    </w:div>
    <w:div w:id="706611406">
      <w:bodyDiv w:val="1"/>
      <w:marLeft w:val="0"/>
      <w:marRight w:val="0"/>
      <w:marTop w:val="0"/>
      <w:marBottom w:val="0"/>
      <w:divBdr>
        <w:top w:val="none" w:sz="0" w:space="0" w:color="auto"/>
        <w:left w:val="none" w:sz="0" w:space="0" w:color="auto"/>
        <w:bottom w:val="none" w:sz="0" w:space="0" w:color="auto"/>
        <w:right w:val="none" w:sz="0" w:space="0" w:color="auto"/>
      </w:divBdr>
    </w:div>
    <w:div w:id="707728164">
      <w:bodyDiv w:val="1"/>
      <w:marLeft w:val="0"/>
      <w:marRight w:val="0"/>
      <w:marTop w:val="0"/>
      <w:marBottom w:val="0"/>
      <w:divBdr>
        <w:top w:val="none" w:sz="0" w:space="0" w:color="auto"/>
        <w:left w:val="none" w:sz="0" w:space="0" w:color="auto"/>
        <w:bottom w:val="none" w:sz="0" w:space="0" w:color="auto"/>
        <w:right w:val="none" w:sz="0" w:space="0" w:color="auto"/>
      </w:divBdr>
    </w:div>
    <w:div w:id="707995693">
      <w:bodyDiv w:val="1"/>
      <w:marLeft w:val="0"/>
      <w:marRight w:val="0"/>
      <w:marTop w:val="0"/>
      <w:marBottom w:val="0"/>
      <w:divBdr>
        <w:top w:val="none" w:sz="0" w:space="0" w:color="auto"/>
        <w:left w:val="none" w:sz="0" w:space="0" w:color="auto"/>
        <w:bottom w:val="none" w:sz="0" w:space="0" w:color="auto"/>
        <w:right w:val="none" w:sz="0" w:space="0" w:color="auto"/>
      </w:divBdr>
    </w:div>
    <w:div w:id="708646378">
      <w:bodyDiv w:val="1"/>
      <w:marLeft w:val="0"/>
      <w:marRight w:val="0"/>
      <w:marTop w:val="0"/>
      <w:marBottom w:val="0"/>
      <w:divBdr>
        <w:top w:val="none" w:sz="0" w:space="0" w:color="auto"/>
        <w:left w:val="none" w:sz="0" w:space="0" w:color="auto"/>
        <w:bottom w:val="none" w:sz="0" w:space="0" w:color="auto"/>
        <w:right w:val="none" w:sz="0" w:space="0" w:color="auto"/>
      </w:divBdr>
    </w:div>
    <w:div w:id="709841556">
      <w:bodyDiv w:val="1"/>
      <w:marLeft w:val="0"/>
      <w:marRight w:val="0"/>
      <w:marTop w:val="0"/>
      <w:marBottom w:val="0"/>
      <w:divBdr>
        <w:top w:val="none" w:sz="0" w:space="0" w:color="auto"/>
        <w:left w:val="none" w:sz="0" w:space="0" w:color="auto"/>
        <w:bottom w:val="none" w:sz="0" w:space="0" w:color="auto"/>
        <w:right w:val="none" w:sz="0" w:space="0" w:color="auto"/>
      </w:divBdr>
    </w:div>
    <w:div w:id="709962990">
      <w:bodyDiv w:val="1"/>
      <w:marLeft w:val="0"/>
      <w:marRight w:val="0"/>
      <w:marTop w:val="0"/>
      <w:marBottom w:val="0"/>
      <w:divBdr>
        <w:top w:val="none" w:sz="0" w:space="0" w:color="auto"/>
        <w:left w:val="none" w:sz="0" w:space="0" w:color="auto"/>
        <w:bottom w:val="none" w:sz="0" w:space="0" w:color="auto"/>
        <w:right w:val="none" w:sz="0" w:space="0" w:color="auto"/>
      </w:divBdr>
    </w:div>
    <w:div w:id="710154859">
      <w:bodyDiv w:val="1"/>
      <w:marLeft w:val="0"/>
      <w:marRight w:val="0"/>
      <w:marTop w:val="0"/>
      <w:marBottom w:val="0"/>
      <w:divBdr>
        <w:top w:val="none" w:sz="0" w:space="0" w:color="auto"/>
        <w:left w:val="none" w:sz="0" w:space="0" w:color="auto"/>
        <w:bottom w:val="none" w:sz="0" w:space="0" w:color="auto"/>
        <w:right w:val="none" w:sz="0" w:space="0" w:color="auto"/>
      </w:divBdr>
    </w:div>
    <w:div w:id="710300820">
      <w:bodyDiv w:val="1"/>
      <w:marLeft w:val="0"/>
      <w:marRight w:val="0"/>
      <w:marTop w:val="0"/>
      <w:marBottom w:val="0"/>
      <w:divBdr>
        <w:top w:val="none" w:sz="0" w:space="0" w:color="auto"/>
        <w:left w:val="none" w:sz="0" w:space="0" w:color="auto"/>
        <w:bottom w:val="none" w:sz="0" w:space="0" w:color="auto"/>
        <w:right w:val="none" w:sz="0" w:space="0" w:color="auto"/>
      </w:divBdr>
    </w:div>
    <w:div w:id="711661628">
      <w:bodyDiv w:val="1"/>
      <w:marLeft w:val="0"/>
      <w:marRight w:val="0"/>
      <w:marTop w:val="0"/>
      <w:marBottom w:val="0"/>
      <w:divBdr>
        <w:top w:val="none" w:sz="0" w:space="0" w:color="auto"/>
        <w:left w:val="none" w:sz="0" w:space="0" w:color="auto"/>
        <w:bottom w:val="none" w:sz="0" w:space="0" w:color="auto"/>
        <w:right w:val="none" w:sz="0" w:space="0" w:color="auto"/>
      </w:divBdr>
    </w:div>
    <w:div w:id="712467123">
      <w:bodyDiv w:val="1"/>
      <w:marLeft w:val="0"/>
      <w:marRight w:val="0"/>
      <w:marTop w:val="0"/>
      <w:marBottom w:val="0"/>
      <w:divBdr>
        <w:top w:val="none" w:sz="0" w:space="0" w:color="auto"/>
        <w:left w:val="none" w:sz="0" w:space="0" w:color="auto"/>
        <w:bottom w:val="none" w:sz="0" w:space="0" w:color="auto"/>
        <w:right w:val="none" w:sz="0" w:space="0" w:color="auto"/>
      </w:divBdr>
    </w:div>
    <w:div w:id="713652352">
      <w:bodyDiv w:val="1"/>
      <w:marLeft w:val="0"/>
      <w:marRight w:val="0"/>
      <w:marTop w:val="0"/>
      <w:marBottom w:val="0"/>
      <w:divBdr>
        <w:top w:val="none" w:sz="0" w:space="0" w:color="auto"/>
        <w:left w:val="none" w:sz="0" w:space="0" w:color="auto"/>
        <w:bottom w:val="none" w:sz="0" w:space="0" w:color="auto"/>
        <w:right w:val="none" w:sz="0" w:space="0" w:color="auto"/>
      </w:divBdr>
    </w:div>
    <w:div w:id="714089116">
      <w:bodyDiv w:val="1"/>
      <w:marLeft w:val="0"/>
      <w:marRight w:val="0"/>
      <w:marTop w:val="0"/>
      <w:marBottom w:val="0"/>
      <w:divBdr>
        <w:top w:val="none" w:sz="0" w:space="0" w:color="auto"/>
        <w:left w:val="none" w:sz="0" w:space="0" w:color="auto"/>
        <w:bottom w:val="none" w:sz="0" w:space="0" w:color="auto"/>
        <w:right w:val="none" w:sz="0" w:space="0" w:color="auto"/>
      </w:divBdr>
    </w:div>
    <w:div w:id="714356838">
      <w:bodyDiv w:val="1"/>
      <w:marLeft w:val="0"/>
      <w:marRight w:val="0"/>
      <w:marTop w:val="0"/>
      <w:marBottom w:val="0"/>
      <w:divBdr>
        <w:top w:val="none" w:sz="0" w:space="0" w:color="auto"/>
        <w:left w:val="none" w:sz="0" w:space="0" w:color="auto"/>
        <w:bottom w:val="none" w:sz="0" w:space="0" w:color="auto"/>
        <w:right w:val="none" w:sz="0" w:space="0" w:color="auto"/>
      </w:divBdr>
    </w:div>
    <w:div w:id="715474583">
      <w:bodyDiv w:val="1"/>
      <w:marLeft w:val="0"/>
      <w:marRight w:val="0"/>
      <w:marTop w:val="0"/>
      <w:marBottom w:val="0"/>
      <w:divBdr>
        <w:top w:val="none" w:sz="0" w:space="0" w:color="auto"/>
        <w:left w:val="none" w:sz="0" w:space="0" w:color="auto"/>
        <w:bottom w:val="none" w:sz="0" w:space="0" w:color="auto"/>
        <w:right w:val="none" w:sz="0" w:space="0" w:color="auto"/>
      </w:divBdr>
    </w:div>
    <w:div w:id="715786050">
      <w:bodyDiv w:val="1"/>
      <w:marLeft w:val="0"/>
      <w:marRight w:val="0"/>
      <w:marTop w:val="0"/>
      <w:marBottom w:val="0"/>
      <w:divBdr>
        <w:top w:val="none" w:sz="0" w:space="0" w:color="auto"/>
        <w:left w:val="none" w:sz="0" w:space="0" w:color="auto"/>
        <w:bottom w:val="none" w:sz="0" w:space="0" w:color="auto"/>
        <w:right w:val="none" w:sz="0" w:space="0" w:color="auto"/>
      </w:divBdr>
    </w:div>
    <w:div w:id="717054637">
      <w:bodyDiv w:val="1"/>
      <w:marLeft w:val="0"/>
      <w:marRight w:val="0"/>
      <w:marTop w:val="0"/>
      <w:marBottom w:val="0"/>
      <w:divBdr>
        <w:top w:val="none" w:sz="0" w:space="0" w:color="auto"/>
        <w:left w:val="none" w:sz="0" w:space="0" w:color="auto"/>
        <w:bottom w:val="none" w:sz="0" w:space="0" w:color="auto"/>
        <w:right w:val="none" w:sz="0" w:space="0" w:color="auto"/>
      </w:divBdr>
    </w:div>
    <w:div w:id="717824457">
      <w:bodyDiv w:val="1"/>
      <w:marLeft w:val="0"/>
      <w:marRight w:val="0"/>
      <w:marTop w:val="0"/>
      <w:marBottom w:val="0"/>
      <w:divBdr>
        <w:top w:val="none" w:sz="0" w:space="0" w:color="auto"/>
        <w:left w:val="none" w:sz="0" w:space="0" w:color="auto"/>
        <w:bottom w:val="none" w:sz="0" w:space="0" w:color="auto"/>
        <w:right w:val="none" w:sz="0" w:space="0" w:color="auto"/>
      </w:divBdr>
    </w:div>
    <w:div w:id="717968950">
      <w:bodyDiv w:val="1"/>
      <w:marLeft w:val="0"/>
      <w:marRight w:val="0"/>
      <w:marTop w:val="0"/>
      <w:marBottom w:val="0"/>
      <w:divBdr>
        <w:top w:val="none" w:sz="0" w:space="0" w:color="auto"/>
        <w:left w:val="none" w:sz="0" w:space="0" w:color="auto"/>
        <w:bottom w:val="none" w:sz="0" w:space="0" w:color="auto"/>
        <w:right w:val="none" w:sz="0" w:space="0" w:color="auto"/>
      </w:divBdr>
    </w:div>
    <w:div w:id="717977847">
      <w:bodyDiv w:val="1"/>
      <w:marLeft w:val="0"/>
      <w:marRight w:val="0"/>
      <w:marTop w:val="0"/>
      <w:marBottom w:val="0"/>
      <w:divBdr>
        <w:top w:val="none" w:sz="0" w:space="0" w:color="auto"/>
        <w:left w:val="none" w:sz="0" w:space="0" w:color="auto"/>
        <w:bottom w:val="none" w:sz="0" w:space="0" w:color="auto"/>
        <w:right w:val="none" w:sz="0" w:space="0" w:color="auto"/>
      </w:divBdr>
    </w:div>
    <w:div w:id="718821093">
      <w:bodyDiv w:val="1"/>
      <w:marLeft w:val="0"/>
      <w:marRight w:val="0"/>
      <w:marTop w:val="0"/>
      <w:marBottom w:val="0"/>
      <w:divBdr>
        <w:top w:val="none" w:sz="0" w:space="0" w:color="auto"/>
        <w:left w:val="none" w:sz="0" w:space="0" w:color="auto"/>
        <w:bottom w:val="none" w:sz="0" w:space="0" w:color="auto"/>
        <w:right w:val="none" w:sz="0" w:space="0" w:color="auto"/>
      </w:divBdr>
    </w:div>
    <w:div w:id="720206821">
      <w:bodyDiv w:val="1"/>
      <w:marLeft w:val="0"/>
      <w:marRight w:val="0"/>
      <w:marTop w:val="0"/>
      <w:marBottom w:val="0"/>
      <w:divBdr>
        <w:top w:val="none" w:sz="0" w:space="0" w:color="auto"/>
        <w:left w:val="none" w:sz="0" w:space="0" w:color="auto"/>
        <w:bottom w:val="none" w:sz="0" w:space="0" w:color="auto"/>
        <w:right w:val="none" w:sz="0" w:space="0" w:color="auto"/>
      </w:divBdr>
    </w:div>
    <w:div w:id="720373059">
      <w:bodyDiv w:val="1"/>
      <w:marLeft w:val="0"/>
      <w:marRight w:val="0"/>
      <w:marTop w:val="0"/>
      <w:marBottom w:val="0"/>
      <w:divBdr>
        <w:top w:val="none" w:sz="0" w:space="0" w:color="auto"/>
        <w:left w:val="none" w:sz="0" w:space="0" w:color="auto"/>
        <w:bottom w:val="none" w:sz="0" w:space="0" w:color="auto"/>
        <w:right w:val="none" w:sz="0" w:space="0" w:color="auto"/>
      </w:divBdr>
    </w:div>
    <w:div w:id="720908068">
      <w:bodyDiv w:val="1"/>
      <w:marLeft w:val="0"/>
      <w:marRight w:val="0"/>
      <w:marTop w:val="0"/>
      <w:marBottom w:val="0"/>
      <w:divBdr>
        <w:top w:val="none" w:sz="0" w:space="0" w:color="auto"/>
        <w:left w:val="none" w:sz="0" w:space="0" w:color="auto"/>
        <w:bottom w:val="none" w:sz="0" w:space="0" w:color="auto"/>
        <w:right w:val="none" w:sz="0" w:space="0" w:color="auto"/>
      </w:divBdr>
    </w:div>
    <w:div w:id="721750476">
      <w:bodyDiv w:val="1"/>
      <w:marLeft w:val="0"/>
      <w:marRight w:val="0"/>
      <w:marTop w:val="0"/>
      <w:marBottom w:val="0"/>
      <w:divBdr>
        <w:top w:val="none" w:sz="0" w:space="0" w:color="auto"/>
        <w:left w:val="none" w:sz="0" w:space="0" w:color="auto"/>
        <w:bottom w:val="none" w:sz="0" w:space="0" w:color="auto"/>
        <w:right w:val="none" w:sz="0" w:space="0" w:color="auto"/>
      </w:divBdr>
    </w:div>
    <w:div w:id="722019395">
      <w:bodyDiv w:val="1"/>
      <w:marLeft w:val="0"/>
      <w:marRight w:val="0"/>
      <w:marTop w:val="0"/>
      <w:marBottom w:val="0"/>
      <w:divBdr>
        <w:top w:val="none" w:sz="0" w:space="0" w:color="auto"/>
        <w:left w:val="none" w:sz="0" w:space="0" w:color="auto"/>
        <w:bottom w:val="none" w:sz="0" w:space="0" w:color="auto"/>
        <w:right w:val="none" w:sz="0" w:space="0" w:color="auto"/>
      </w:divBdr>
    </w:div>
    <w:div w:id="722365185">
      <w:bodyDiv w:val="1"/>
      <w:marLeft w:val="0"/>
      <w:marRight w:val="0"/>
      <w:marTop w:val="0"/>
      <w:marBottom w:val="0"/>
      <w:divBdr>
        <w:top w:val="none" w:sz="0" w:space="0" w:color="auto"/>
        <w:left w:val="none" w:sz="0" w:space="0" w:color="auto"/>
        <w:bottom w:val="none" w:sz="0" w:space="0" w:color="auto"/>
        <w:right w:val="none" w:sz="0" w:space="0" w:color="auto"/>
      </w:divBdr>
    </w:div>
    <w:div w:id="722681269">
      <w:bodyDiv w:val="1"/>
      <w:marLeft w:val="0"/>
      <w:marRight w:val="0"/>
      <w:marTop w:val="0"/>
      <w:marBottom w:val="0"/>
      <w:divBdr>
        <w:top w:val="none" w:sz="0" w:space="0" w:color="auto"/>
        <w:left w:val="none" w:sz="0" w:space="0" w:color="auto"/>
        <w:bottom w:val="none" w:sz="0" w:space="0" w:color="auto"/>
        <w:right w:val="none" w:sz="0" w:space="0" w:color="auto"/>
      </w:divBdr>
    </w:div>
    <w:div w:id="723409210">
      <w:bodyDiv w:val="1"/>
      <w:marLeft w:val="0"/>
      <w:marRight w:val="0"/>
      <w:marTop w:val="0"/>
      <w:marBottom w:val="0"/>
      <w:divBdr>
        <w:top w:val="none" w:sz="0" w:space="0" w:color="auto"/>
        <w:left w:val="none" w:sz="0" w:space="0" w:color="auto"/>
        <w:bottom w:val="none" w:sz="0" w:space="0" w:color="auto"/>
        <w:right w:val="none" w:sz="0" w:space="0" w:color="auto"/>
      </w:divBdr>
    </w:div>
    <w:div w:id="723915048">
      <w:bodyDiv w:val="1"/>
      <w:marLeft w:val="0"/>
      <w:marRight w:val="0"/>
      <w:marTop w:val="0"/>
      <w:marBottom w:val="0"/>
      <w:divBdr>
        <w:top w:val="none" w:sz="0" w:space="0" w:color="auto"/>
        <w:left w:val="none" w:sz="0" w:space="0" w:color="auto"/>
        <w:bottom w:val="none" w:sz="0" w:space="0" w:color="auto"/>
        <w:right w:val="none" w:sz="0" w:space="0" w:color="auto"/>
      </w:divBdr>
    </w:div>
    <w:div w:id="724986645">
      <w:bodyDiv w:val="1"/>
      <w:marLeft w:val="0"/>
      <w:marRight w:val="0"/>
      <w:marTop w:val="0"/>
      <w:marBottom w:val="0"/>
      <w:divBdr>
        <w:top w:val="none" w:sz="0" w:space="0" w:color="auto"/>
        <w:left w:val="none" w:sz="0" w:space="0" w:color="auto"/>
        <w:bottom w:val="none" w:sz="0" w:space="0" w:color="auto"/>
        <w:right w:val="none" w:sz="0" w:space="0" w:color="auto"/>
      </w:divBdr>
    </w:div>
    <w:div w:id="725370090">
      <w:bodyDiv w:val="1"/>
      <w:marLeft w:val="0"/>
      <w:marRight w:val="0"/>
      <w:marTop w:val="0"/>
      <w:marBottom w:val="0"/>
      <w:divBdr>
        <w:top w:val="none" w:sz="0" w:space="0" w:color="auto"/>
        <w:left w:val="none" w:sz="0" w:space="0" w:color="auto"/>
        <w:bottom w:val="none" w:sz="0" w:space="0" w:color="auto"/>
        <w:right w:val="none" w:sz="0" w:space="0" w:color="auto"/>
      </w:divBdr>
    </w:div>
    <w:div w:id="725643003">
      <w:bodyDiv w:val="1"/>
      <w:marLeft w:val="0"/>
      <w:marRight w:val="0"/>
      <w:marTop w:val="0"/>
      <w:marBottom w:val="0"/>
      <w:divBdr>
        <w:top w:val="none" w:sz="0" w:space="0" w:color="auto"/>
        <w:left w:val="none" w:sz="0" w:space="0" w:color="auto"/>
        <w:bottom w:val="none" w:sz="0" w:space="0" w:color="auto"/>
        <w:right w:val="none" w:sz="0" w:space="0" w:color="auto"/>
      </w:divBdr>
    </w:div>
    <w:div w:id="725954032">
      <w:bodyDiv w:val="1"/>
      <w:marLeft w:val="0"/>
      <w:marRight w:val="0"/>
      <w:marTop w:val="0"/>
      <w:marBottom w:val="0"/>
      <w:divBdr>
        <w:top w:val="none" w:sz="0" w:space="0" w:color="auto"/>
        <w:left w:val="none" w:sz="0" w:space="0" w:color="auto"/>
        <w:bottom w:val="none" w:sz="0" w:space="0" w:color="auto"/>
        <w:right w:val="none" w:sz="0" w:space="0" w:color="auto"/>
      </w:divBdr>
    </w:div>
    <w:div w:id="726685899">
      <w:bodyDiv w:val="1"/>
      <w:marLeft w:val="0"/>
      <w:marRight w:val="0"/>
      <w:marTop w:val="0"/>
      <w:marBottom w:val="0"/>
      <w:divBdr>
        <w:top w:val="none" w:sz="0" w:space="0" w:color="auto"/>
        <w:left w:val="none" w:sz="0" w:space="0" w:color="auto"/>
        <w:bottom w:val="none" w:sz="0" w:space="0" w:color="auto"/>
        <w:right w:val="none" w:sz="0" w:space="0" w:color="auto"/>
      </w:divBdr>
    </w:div>
    <w:div w:id="727344742">
      <w:bodyDiv w:val="1"/>
      <w:marLeft w:val="0"/>
      <w:marRight w:val="0"/>
      <w:marTop w:val="0"/>
      <w:marBottom w:val="0"/>
      <w:divBdr>
        <w:top w:val="none" w:sz="0" w:space="0" w:color="auto"/>
        <w:left w:val="none" w:sz="0" w:space="0" w:color="auto"/>
        <w:bottom w:val="none" w:sz="0" w:space="0" w:color="auto"/>
        <w:right w:val="none" w:sz="0" w:space="0" w:color="auto"/>
      </w:divBdr>
    </w:div>
    <w:div w:id="727385668">
      <w:bodyDiv w:val="1"/>
      <w:marLeft w:val="0"/>
      <w:marRight w:val="0"/>
      <w:marTop w:val="0"/>
      <w:marBottom w:val="0"/>
      <w:divBdr>
        <w:top w:val="none" w:sz="0" w:space="0" w:color="auto"/>
        <w:left w:val="none" w:sz="0" w:space="0" w:color="auto"/>
        <w:bottom w:val="none" w:sz="0" w:space="0" w:color="auto"/>
        <w:right w:val="none" w:sz="0" w:space="0" w:color="auto"/>
      </w:divBdr>
    </w:div>
    <w:div w:id="729578722">
      <w:bodyDiv w:val="1"/>
      <w:marLeft w:val="0"/>
      <w:marRight w:val="0"/>
      <w:marTop w:val="0"/>
      <w:marBottom w:val="0"/>
      <w:divBdr>
        <w:top w:val="none" w:sz="0" w:space="0" w:color="auto"/>
        <w:left w:val="none" w:sz="0" w:space="0" w:color="auto"/>
        <w:bottom w:val="none" w:sz="0" w:space="0" w:color="auto"/>
        <w:right w:val="none" w:sz="0" w:space="0" w:color="auto"/>
      </w:divBdr>
    </w:div>
    <w:div w:id="730812823">
      <w:bodyDiv w:val="1"/>
      <w:marLeft w:val="0"/>
      <w:marRight w:val="0"/>
      <w:marTop w:val="0"/>
      <w:marBottom w:val="0"/>
      <w:divBdr>
        <w:top w:val="none" w:sz="0" w:space="0" w:color="auto"/>
        <w:left w:val="none" w:sz="0" w:space="0" w:color="auto"/>
        <w:bottom w:val="none" w:sz="0" w:space="0" w:color="auto"/>
        <w:right w:val="none" w:sz="0" w:space="0" w:color="auto"/>
      </w:divBdr>
    </w:div>
    <w:div w:id="732780896">
      <w:bodyDiv w:val="1"/>
      <w:marLeft w:val="0"/>
      <w:marRight w:val="0"/>
      <w:marTop w:val="0"/>
      <w:marBottom w:val="0"/>
      <w:divBdr>
        <w:top w:val="none" w:sz="0" w:space="0" w:color="auto"/>
        <w:left w:val="none" w:sz="0" w:space="0" w:color="auto"/>
        <w:bottom w:val="none" w:sz="0" w:space="0" w:color="auto"/>
        <w:right w:val="none" w:sz="0" w:space="0" w:color="auto"/>
      </w:divBdr>
    </w:div>
    <w:div w:id="733163365">
      <w:bodyDiv w:val="1"/>
      <w:marLeft w:val="0"/>
      <w:marRight w:val="0"/>
      <w:marTop w:val="0"/>
      <w:marBottom w:val="0"/>
      <w:divBdr>
        <w:top w:val="none" w:sz="0" w:space="0" w:color="auto"/>
        <w:left w:val="none" w:sz="0" w:space="0" w:color="auto"/>
        <w:bottom w:val="none" w:sz="0" w:space="0" w:color="auto"/>
        <w:right w:val="none" w:sz="0" w:space="0" w:color="auto"/>
      </w:divBdr>
    </w:div>
    <w:div w:id="734200522">
      <w:bodyDiv w:val="1"/>
      <w:marLeft w:val="0"/>
      <w:marRight w:val="0"/>
      <w:marTop w:val="0"/>
      <w:marBottom w:val="0"/>
      <w:divBdr>
        <w:top w:val="none" w:sz="0" w:space="0" w:color="auto"/>
        <w:left w:val="none" w:sz="0" w:space="0" w:color="auto"/>
        <w:bottom w:val="none" w:sz="0" w:space="0" w:color="auto"/>
        <w:right w:val="none" w:sz="0" w:space="0" w:color="auto"/>
      </w:divBdr>
    </w:div>
    <w:div w:id="734862211">
      <w:bodyDiv w:val="1"/>
      <w:marLeft w:val="0"/>
      <w:marRight w:val="0"/>
      <w:marTop w:val="0"/>
      <w:marBottom w:val="0"/>
      <w:divBdr>
        <w:top w:val="none" w:sz="0" w:space="0" w:color="auto"/>
        <w:left w:val="none" w:sz="0" w:space="0" w:color="auto"/>
        <w:bottom w:val="none" w:sz="0" w:space="0" w:color="auto"/>
        <w:right w:val="none" w:sz="0" w:space="0" w:color="auto"/>
      </w:divBdr>
    </w:div>
    <w:div w:id="735321393">
      <w:bodyDiv w:val="1"/>
      <w:marLeft w:val="0"/>
      <w:marRight w:val="0"/>
      <w:marTop w:val="0"/>
      <w:marBottom w:val="0"/>
      <w:divBdr>
        <w:top w:val="none" w:sz="0" w:space="0" w:color="auto"/>
        <w:left w:val="none" w:sz="0" w:space="0" w:color="auto"/>
        <w:bottom w:val="none" w:sz="0" w:space="0" w:color="auto"/>
        <w:right w:val="none" w:sz="0" w:space="0" w:color="auto"/>
      </w:divBdr>
    </w:div>
    <w:div w:id="735395252">
      <w:bodyDiv w:val="1"/>
      <w:marLeft w:val="0"/>
      <w:marRight w:val="0"/>
      <w:marTop w:val="0"/>
      <w:marBottom w:val="0"/>
      <w:divBdr>
        <w:top w:val="none" w:sz="0" w:space="0" w:color="auto"/>
        <w:left w:val="none" w:sz="0" w:space="0" w:color="auto"/>
        <w:bottom w:val="none" w:sz="0" w:space="0" w:color="auto"/>
        <w:right w:val="none" w:sz="0" w:space="0" w:color="auto"/>
      </w:divBdr>
    </w:div>
    <w:div w:id="736167083">
      <w:bodyDiv w:val="1"/>
      <w:marLeft w:val="0"/>
      <w:marRight w:val="0"/>
      <w:marTop w:val="0"/>
      <w:marBottom w:val="0"/>
      <w:divBdr>
        <w:top w:val="none" w:sz="0" w:space="0" w:color="auto"/>
        <w:left w:val="none" w:sz="0" w:space="0" w:color="auto"/>
        <w:bottom w:val="none" w:sz="0" w:space="0" w:color="auto"/>
        <w:right w:val="none" w:sz="0" w:space="0" w:color="auto"/>
      </w:divBdr>
    </w:div>
    <w:div w:id="737364459">
      <w:bodyDiv w:val="1"/>
      <w:marLeft w:val="0"/>
      <w:marRight w:val="0"/>
      <w:marTop w:val="0"/>
      <w:marBottom w:val="0"/>
      <w:divBdr>
        <w:top w:val="none" w:sz="0" w:space="0" w:color="auto"/>
        <w:left w:val="none" w:sz="0" w:space="0" w:color="auto"/>
        <w:bottom w:val="none" w:sz="0" w:space="0" w:color="auto"/>
        <w:right w:val="none" w:sz="0" w:space="0" w:color="auto"/>
      </w:divBdr>
    </w:div>
    <w:div w:id="738601543">
      <w:bodyDiv w:val="1"/>
      <w:marLeft w:val="0"/>
      <w:marRight w:val="0"/>
      <w:marTop w:val="0"/>
      <w:marBottom w:val="0"/>
      <w:divBdr>
        <w:top w:val="none" w:sz="0" w:space="0" w:color="auto"/>
        <w:left w:val="none" w:sz="0" w:space="0" w:color="auto"/>
        <w:bottom w:val="none" w:sz="0" w:space="0" w:color="auto"/>
        <w:right w:val="none" w:sz="0" w:space="0" w:color="auto"/>
      </w:divBdr>
    </w:div>
    <w:div w:id="740447381">
      <w:bodyDiv w:val="1"/>
      <w:marLeft w:val="0"/>
      <w:marRight w:val="0"/>
      <w:marTop w:val="0"/>
      <w:marBottom w:val="0"/>
      <w:divBdr>
        <w:top w:val="none" w:sz="0" w:space="0" w:color="auto"/>
        <w:left w:val="none" w:sz="0" w:space="0" w:color="auto"/>
        <w:bottom w:val="none" w:sz="0" w:space="0" w:color="auto"/>
        <w:right w:val="none" w:sz="0" w:space="0" w:color="auto"/>
      </w:divBdr>
    </w:div>
    <w:div w:id="744837682">
      <w:bodyDiv w:val="1"/>
      <w:marLeft w:val="0"/>
      <w:marRight w:val="0"/>
      <w:marTop w:val="0"/>
      <w:marBottom w:val="0"/>
      <w:divBdr>
        <w:top w:val="none" w:sz="0" w:space="0" w:color="auto"/>
        <w:left w:val="none" w:sz="0" w:space="0" w:color="auto"/>
        <w:bottom w:val="none" w:sz="0" w:space="0" w:color="auto"/>
        <w:right w:val="none" w:sz="0" w:space="0" w:color="auto"/>
      </w:divBdr>
    </w:div>
    <w:div w:id="745690970">
      <w:bodyDiv w:val="1"/>
      <w:marLeft w:val="0"/>
      <w:marRight w:val="0"/>
      <w:marTop w:val="0"/>
      <w:marBottom w:val="0"/>
      <w:divBdr>
        <w:top w:val="none" w:sz="0" w:space="0" w:color="auto"/>
        <w:left w:val="none" w:sz="0" w:space="0" w:color="auto"/>
        <w:bottom w:val="none" w:sz="0" w:space="0" w:color="auto"/>
        <w:right w:val="none" w:sz="0" w:space="0" w:color="auto"/>
      </w:divBdr>
    </w:div>
    <w:div w:id="746148629">
      <w:bodyDiv w:val="1"/>
      <w:marLeft w:val="0"/>
      <w:marRight w:val="0"/>
      <w:marTop w:val="0"/>
      <w:marBottom w:val="0"/>
      <w:divBdr>
        <w:top w:val="none" w:sz="0" w:space="0" w:color="auto"/>
        <w:left w:val="none" w:sz="0" w:space="0" w:color="auto"/>
        <w:bottom w:val="none" w:sz="0" w:space="0" w:color="auto"/>
        <w:right w:val="none" w:sz="0" w:space="0" w:color="auto"/>
      </w:divBdr>
    </w:div>
    <w:div w:id="746341409">
      <w:bodyDiv w:val="1"/>
      <w:marLeft w:val="0"/>
      <w:marRight w:val="0"/>
      <w:marTop w:val="0"/>
      <w:marBottom w:val="0"/>
      <w:divBdr>
        <w:top w:val="none" w:sz="0" w:space="0" w:color="auto"/>
        <w:left w:val="none" w:sz="0" w:space="0" w:color="auto"/>
        <w:bottom w:val="none" w:sz="0" w:space="0" w:color="auto"/>
        <w:right w:val="none" w:sz="0" w:space="0" w:color="auto"/>
      </w:divBdr>
    </w:div>
    <w:div w:id="746346358">
      <w:bodyDiv w:val="1"/>
      <w:marLeft w:val="0"/>
      <w:marRight w:val="0"/>
      <w:marTop w:val="0"/>
      <w:marBottom w:val="0"/>
      <w:divBdr>
        <w:top w:val="none" w:sz="0" w:space="0" w:color="auto"/>
        <w:left w:val="none" w:sz="0" w:space="0" w:color="auto"/>
        <w:bottom w:val="none" w:sz="0" w:space="0" w:color="auto"/>
        <w:right w:val="none" w:sz="0" w:space="0" w:color="auto"/>
      </w:divBdr>
    </w:div>
    <w:div w:id="746731087">
      <w:bodyDiv w:val="1"/>
      <w:marLeft w:val="0"/>
      <w:marRight w:val="0"/>
      <w:marTop w:val="0"/>
      <w:marBottom w:val="0"/>
      <w:divBdr>
        <w:top w:val="none" w:sz="0" w:space="0" w:color="auto"/>
        <w:left w:val="none" w:sz="0" w:space="0" w:color="auto"/>
        <w:bottom w:val="none" w:sz="0" w:space="0" w:color="auto"/>
        <w:right w:val="none" w:sz="0" w:space="0" w:color="auto"/>
      </w:divBdr>
    </w:div>
    <w:div w:id="748385957">
      <w:bodyDiv w:val="1"/>
      <w:marLeft w:val="0"/>
      <w:marRight w:val="0"/>
      <w:marTop w:val="0"/>
      <w:marBottom w:val="0"/>
      <w:divBdr>
        <w:top w:val="none" w:sz="0" w:space="0" w:color="auto"/>
        <w:left w:val="none" w:sz="0" w:space="0" w:color="auto"/>
        <w:bottom w:val="none" w:sz="0" w:space="0" w:color="auto"/>
        <w:right w:val="none" w:sz="0" w:space="0" w:color="auto"/>
      </w:divBdr>
    </w:div>
    <w:div w:id="749698226">
      <w:bodyDiv w:val="1"/>
      <w:marLeft w:val="0"/>
      <w:marRight w:val="0"/>
      <w:marTop w:val="0"/>
      <w:marBottom w:val="0"/>
      <w:divBdr>
        <w:top w:val="none" w:sz="0" w:space="0" w:color="auto"/>
        <w:left w:val="none" w:sz="0" w:space="0" w:color="auto"/>
        <w:bottom w:val="none" w:sz="0" w:space="0" w:color="auto"/>
        <w:right w:val="none" w:sz="0" w:space="0" w:color="auto"/>
      </w:divBdr>
    </w:div>
    <w:div w:id="750663641">
      <w:bodyDiv w:val="1"/>
      <w:marLeft w:val="0"/>
      <w:marRight w:val="0"/>
      <w:marTop w:val="0"/>
      <w:marBottom w:val="0"/>
      <w:divBdr>
        <w:top w:val="none" w:sz="0" w:space="0" w:color="auto"/>
        <w:left w:val="none" w:sz="0" w:space="0" w:color="auto"/>
        <w:bottom w:val="none" w:sz="0" w:space="0" w:color="auto"/>
        <w:right w:val="none" w:sz="0" w:space="0" w:color="auto"/>
      </w:divBdr>
    </w:div>
    <w:div w:id="751195563">
      <w:bodyDiv w:val="1"/>
      <w:marLeft w:val="0"/>
      <w:marRight w:val="0"/>
      <w:marTop w:val="0"/>
      <w:marBottom w:val="0"/>
      <w:divBdr>
        <w:top w:val="none" w:sz="0" w:space="0" w:color="auto"/>
        <w:left w:val="none" w:sz="0" w:space="0" w:color="auto"/>
        <w:bottom w:val="none" w:sz="0" w:space="0" w:color="auto"/>
        <w:right w:val="none" w:sz="0" w:space="0" w:color="auto"/>
      </w:divBdr>
    </w:div>
    <w:div w:id="754789260">
      <w:bodyDiv w:val="1"/>
      <w:marLeft w:val="0"/>
      <w:marRight w:val="0"/>
      <w:marTop w:val="0"/>
      <w:marBottom w:val="0"/>
      <w:divBdr>
        <w:top w:val="none" w:sz="0" w:space="0" w:color="auto"/>
        <w:left w:val="none" w:sz="0" w:space="0" w:color="auto"/>
        <w:bottom w:val="none" w:sz="0" w:space="0" w:color="auto"/>
        <w:right w:val="none" w:sz="0" w:space="0" w:color="auto"/>
      </w:divBdr>
    </w:div>
    <w:div w:id="756486730">
      <w:bodyDiv w:val="1"/>
      <w:marLeft w:val="0"/>
      <w:marRight w:val="0"/>
      <w:marTop w:val="0"/>
      <w:marBottom w:val="0"/>
      <w:divBdr>
        <w:top w:val="none" w:sz="0" w:space="0" w:color="auto"/>
        <w:left w:val="none" w:sz="0" w:space="0" w:color="auto"/>
        <w:bottom w:val="none" w:sz="0" w:space="0" w:color="auto"/>
        <w:right w:val="none" w:sz="0" w:space="0" w:color="auto"/>
      </w:divBdr>
    </w:div>
    <w:div w:id="756512292">
      <w:bodyDiv w:val="1"/>
      <w:marLeft w:val="0"/>
      <w:marRight w:val="0"/>
      <w:marTop w:val="0"/>
      <w:marBottom w:val="0"/>
      <w:divBdr>
        <w:top w:val="none" w:sz="0" w:space="0" w:color="auto"/>
        <w:left w:val="none" w:sz="0" w:space="0" w:color="auto"/>
        <w:bottom w:val="none" w:sz="0" w:space="0" w:color="auto"/>
        <w:right w:val="none" w:sz="0" w:space="0" w:color="auto"/>
      </w:divBdr>
    </w:div>
    <w:div w:id="758259750">
      <w:bodyDiv w:val="1"/>
      <w:marLeft w:val="0"/>
      <w:marRight w:val="0"/>
      <w:marTop w:val="0"/>
      <w:marBottom w:val="0"/>
      <w:divBdr>
        <w:top w:val="none" w:sz="0" w:space="0" w:color="auto"/>
        <w:left w:val="none" w:sz="0" w:space="0" w:color="auto"/>
        <w:bottom w:val="none" w:sz="0" w:space="0" w:color="auto"/>
        <w:right w:val="none" w:sz="0" w:space="0" w:color="auto"/>
      </w:divBdr>
    </w:div>
    <w:div w:id="759839783">
      <w:bodyDiv w:val="1"/>
      <w:marLeft w:val="0"/>
      <w:marRight w:val="0"/>
      <w:marTop w:val="0"/>
      <w:marBottom w:val="0"/>
      <w:divBdr>
        <w:top w:val="none" w:sz="0" w:space="0" w:color="auto"/>
        <w:left w:val="none" w:sz="0" w:space="0" w:color="auto"/>
        <w:bottom w:val="none" w:sz="0" w:space="0" w:color="auto"/>
        <w:right w:val="none" w:sz="0" w:space="0" w:color="auto"/>
      </w:divBdr>
    </w:div>
    <w:div w:id="760223056">
      <w:bodyDiv w:val="1"/>
      <w:marLeft w:val="0"/>
      <w:marRight w:val="0"/>
      <w:marTop w:val="0"/>
      <w:marBottom w:val="0"/>
      <w:divBdr>
        <w:top w:val="none" w:sz="0" w:space="0" w:color="auto"/>
        <w:left w:val="none" w:sz="0" w:space="0" w:color="auto"/>
        <w:bottom w:val="none" w:sz="0" w:space="0" w:color="auto"/>
        <w:right w:val="none" w:sz="0" w:space="0" w:color="auto"/>
      </w:divBdr>
    </w:div>
    <w:div w:id="760299559">
      <w:bodyDiv w:val="1"/>
      <w:marLeft w:val="0"/>
      <w:marRight w:val="0"/>
      <w:marTop w:val="0"/>
      <w:marBottom w:val="0"/>
      <w:divBdr>
        <w:top w:val="none" w:sz="0" w:space="0" w:color="auto"/>
        <w:left w:val="none" w:sz="0" w:space="0" w:color="auto"/>
        <w:bottom w:val="none" w:sz="0" w:space="0" w:color="auto"/>
        <w:right w:val="none" w:sz="0" w:space="0" w:color="auto"/>
      </w:divBdr>
    </w:div>
    <w:div w:id="760567703">
      <w:bodyDiv w:val="1"/>
      <w:marLeft w:val="0"/>
      <w:marRight w:val="0"/>
      <w:marTop w:val="0"/>
      <w:marBottom w:val="0"/>
      <w:divBdr>
        <w:top w:val="none" w:sz="0" w:space="0" w:color="auto"/>
        <w:left w:val="none" w:sz="0" w:space="0" w:color="auto"/>
        <w:bottom w:val="none" w:sz="0" w:space="0" w:color="auto"/>
        <w:right w:val="none" w:sz="0" w:space="0" w:color="auto"/>
      </w:divBdr>
    </w:div>
    <w:div w:id="764426518">
      <w:bodyDiv w:val="1"/>
      <w:marLeft w:val="0"/>
      <w:marRight w:val="0"/>
      <w:marTop w:val="0"/>
      <w:marBottom w:val="0"/>
      <w:divBdr>
        <w:top w:val="none" w:sz="0" w:space="0" w:color="auto"/>
        <w:left w:val="none" w:sz="0" w:space="0" w:color="auto"/>
        <w:bottom w:val="none" w:sz="0" w:space="0" w:color="auto"/>
        <w:right w:val="none" w:sz="0" w:space="0" w:color="auto"/>
      </w:divBdr>
    </w:div>
    <w:div w:id="764575661">
      <w:bodyDiv w:val="1"/>
      <w:marLeft w:val="0"/>
      <w:marRight w:val="0"/>
      <w:marTop w:val="0"/>
      <w:marBottom w:val="0"/>
      <w:divBdr>
        <w:top w:val="none" w:sz="0" w:space="0" w:color="auto"/>
        <w:left w:val="none" w:sz="0" w:space="0" w:color="auto"/>
        <w:bottom w:val="none" w:sz="0" w:space="0" w:color="auto"/>
        <w:right w:val="none" w:sz="0" w:space="0" w:color="auto"/>
      </w:divBdr>
    </w:div>
    <w:div w:id="765347524">
      <w:bodyDiv w:val="1"/>
      <w:marLeft w:val="0"/>
      <w:marRight w:val="0"/>
      <w:marTop w:val="0"/>
      <w:marBottom w:val="0"/>
      <w:divBdr>
        <w:top w:val="none" w:sz="0" w:space="0" w:color="auto"/>
        <w:left w:val="none" w:sz="0" w:space="0" w:color="auto"/>
        <w:bottom w:val="none" w:sz="0" w:space="0" w:color="auto"/>
        <w:right w:val="none" w:sz="0" w:space="0" w:color="auto"/>
      </w:divBdr>
    </w:div>
    <w:div w:id="765661980">
      <w:bodyDiv w:val="1"/>
      <w:marLeft w:val="0"/>
      <w:marRight w:val="0"/>
      <w:marTop w:val="0"/>
      <w:marBottom w:val="0"/>
      <w:divBdr>
        <w:top w:val="none" w:sz="0" w:space="0" w:color="auto"/>
        <w:left w:val="none" w:sz="0" w:space="0" w:color="auto"/>
        <w:bottom w:val="none" w:sz="0" w:space="0" w:color="auto"/>
        <w:right w:val="none" w:sz="0" w:space="0" w:color="auto"/>
      </w:divBdr>
    </w:div>
    <w:div w:id="765806724">
      <w:bodyDiv w:val="1"/>
      <w:marLeft w:val="0"/>
      <w:marRight w:val="0"/>
      <w:marTop w:val="0"/>
      <w:marBottom w:val="0"/>
      <w:divBdr>
        <w:top w:val="none" w:sz="0" w:space="0" w:color="auto"/>
        <w:left w:val="none" w:sz="0" w:space="0" w:color="auto"/>
        <w:bottom w:val="none" w:sz="0" w:space="0" w:color="auto"/>
        <w:right w:val="none" w:sz="0" w:space="0" w:color="auto"/>
      </w:divBdr>
    </w:div>
    <w:div w:id="766077204">
      <w:bodyDiv w:val="1"/>
      <w:marLeft w:val="0"/>
      <w:marRight w:val="0"/>
      <w:marTop w:val="0"/>
      <w:marBottom w:val="0"/>
      <w:divBdr>
        <w:top w:val="none" w:sz="0" w:space="0" w:color="auto"/>
        <w:left w:val="none" w:sz="0" w:space="0" w:color="auto"/>
        <w:bottom w:val="none" w:sz="0" w:space="0" w:color="auto"/>
        <w:right w:val="none" w:sz="0" w:space="0" w:color="auto"/>
      </w:divBdr>
    </w:div>
    <w:div w:id="766463615">
      <w:bodyDiv w:val="1"/>
      <w:marLeft w:val="0"/>
      <w:marRight w:val="0"/>
      <w:marTop w:val="0"/>
      <w:marBottom w:val="0"/>
      <w:divBdr>
        <w:top w:val="none" w:sz="0" w:space="0" w:color="auto"/>
        <w:left w:val="none" w:sz="0" w:space="0" w:color="auto"/>
        <w:bottom w:val="none" w:sz="0" w:space="0" w:color="auto"/>
        <w:right w:val="none" w:sz="0" w:space="0" w:color="auto"/>
      </w:divBdr>
    </w:div>
    <w:div w:id="767038886">
      <w:bodyDiv w:val="1"/>
      <w:marLeft w:val="0"/>
      <w:marRight w:val="0"/>
      <w:marTop w:val="0"/>
      <w:marBottom w:val="0"/>
      <w:divBdr>
        <w:top w:val="none" w:sz="0" w:space="0" w:color="auto"/>
        <w:left w:val="none" w:sz="0" w:space="0" w:color="auto"/>
        <w:bottom w:val="none" w:sz="0" w:space="0" w:color="auto"/>
        <w:right w:val="none" w:sz="0" w:space="0" w:color="auto"/>
      </w:divBdr>
    </w:div>
    <w:div w:id="767697151">
      <w:bodyDiv w:val="1"/>
      <w:marLeft w:val="0"/>
      <w:marRight w:val="0"/>
      <w:marTop w:val="0"/>
      <w:marBottom w:val="0"/>
      <w:divBdr>
        <w:top w:val="none" w:sz="0" w:space="0" w:color="auto"/>
        <w:left w:val="none" w:sz="0" w:space="0" w:color="auto"/>
        <w:bottom w:val="none" w:sz="0" w:space="0" w:color="auto"/>
        <w:right w:val="none" w:sz="0" w:space="0" w:color="auto"/>
      </w:divBdr>
    </w:div>
    <w:div w:id="768040475">
      <w:bodyDiv w:val="1"/>
      <w:marLeft w:val="0"/>
      <w:marRight w:val="0"/>
      <w:marTop w:val="0"/>
      <w:marBottom w:val="0"/>
      <w:divBdr>
        <w:top w:val="none" w:sz="0" w:space="0" w:color="auto"/>
        <w:left w:val="none" w:sz="0" w:space="0" w:color="auto"/>
        <w:bottom w:val="none" w:sz="0" w:space="0" w:color="auto"/>
        <w:right w:val="none" w:sz="0" w:space="0" w:color="auto"/>
      </w:divBdr>
    </w:div>
    <w:div w:id="769198725">
      <w:bodyDiv w:val="1"/>
      <w:marLeft w:val="0"/>
      <w:marRight w:val="0"/>
      <w:marTop w:val="0"/>
      <w:marBottom w:val="0"/>
      <w:divBdr>
        <w:top w:val="none" w:sz="0" w:space="0" w:color="auto"/>
        <w:left w:val="none" w:sz="0" w:space="0" w:color="auto"/>
        <w:bottom w:val="none" w:sz="0" w:space="0" w:color="auto"/>
        <w:right w:val="none" w:sz="0" w:space="0" w:color="auto"/>
      </w:divBdr>
    </w:div>
    <w:div w:id="771584549">
      <w:bodyDiv w:val="1"/>
      <w:marLeft w:val="0"/>
      <w:marRight w:val="0"/>
      <w:marTop w:val="0"/>
      <w:marBottom w:val="0"/>
      <w:divBdr>
        <w:top w:val="none" w:sz="0" w:space="0" w:color="auto"/>
        <w:left w:val="none" w:sz="0" w:space="0" w:color="auto"/>
        <w:bottom w:val="none" w:sz="0" w:space="0" w:color="auto"/>
        <w:right w:val="none" w:sz="0" w:space="0" w:color="auto"/>
      </w:divBdr>
    </w:div>
    <w:div w:id="773329689">
      <w:bodyDiv w:val="1"/>
      <w:marLeft w:val="0"/>
      <w:marRight w:val="0"/>
      <w:marTop w:val="0"/>
      <w:marBottom w:val="0"/>
      <w:divBdr>
        <w:top w:val="none" w:sz="0" w:space="0" w:color="auto"/>
        <w:left w:val="none" w:sz="0" w:space="0" w:color="auto"/>
        <w:bottom w:val="none" w:sz="0" w:space="0" w:color="auto"/>
        <w:right w:val="none" w:sz="0" w:space="0" w:color="auto"/>
      </w:divBdr>
    </w:div>
    <w:div w:id="773596953">
      <w:bodyDiv w:val="1"/>
      <w:marLeft w:val="0"/>
      <w:marRight w:val="0"/>
      <w:marTop w:val="0"/>
      <w:marBottom w:val="0"/>
      <w:divBdr>
        <w:top w:val="none" w:sz="0" w:space="0" w:color="auto"/>
        <w:left w:val="none" w:sz="0" w:space="0" w:color="auto"/>
        <w:bottom w:val="none" w:sz="0" w:space="0" w:color="auto"/>
        <w:right w:val="none" w:sz="0" w:space="0" w:color="auto"/>
      </w:divBdr>
    </w:div>
    <w:div w:id="775441594">
      <w:bodyDiv w:val="1"/>
      <w:marLeft w:val="0"/>
      <w:marRight w:val="0"/>
      <w:marTop w:val="0"/>
      <w:marBottom w:val="0"/>
      <w:divBdr>
        <w:top w:val="none" w:sz="0" w:space="0" w:color="auto"/>
        <w:left w:val="none" w:sz="0" w:space="0" w:color="auto"/>
        <w:bottom w:val="none" w:sz="0" w:space="0" w:color="auto"/>
        <w:right w:val="none" w:sz="0" w:space="0" w:color="auto"/>
      </w:divBdr>
    </w:div>
    <w:div w:id="775633624">
      <w:bodyDiv w:val="1"/>
      <w:marLeft w:val="0"/>
      <w:marRight w:val="0"/>
      <w:marTop w:val="0"/>
      <w:marBottom w:val="0"/>
      <w:divBdr>
        <w:top w:val="none" w:sz="0" w:space="0" w:color="auto"/>
        <w:left w:val="none" w:sz="0" w:space="0" w:color="auto"/>
        <w:bottom w:val="none" w:sz="0" w:space="0" w:color="auto"/>
        <w:right w:val="none" w:sz="0" w:space="0" w:color="auto"/>
      </w:divBdr>
    </w:div>
    <w:div w:id="775707964">
      <w:bodyDiv w:val="1"/>
      <w:marLeft w:val="0"/>
      <w:marRight w:val="0"/>
      <w:marTop w:val="0"/>
      <w:marBottom w:val="0"/>
      <w:divBdr>
        <w:top w:val="none" w:sz="0" w:space="0" w:color="auto"/>
        <w:left w:val="none" w:sz="0" w:space="0" w:color="auto"/>
        <w:bottom w:val="none" w:sz="0" w:space="0" w:color="auto"/>
        <w:right w:val="none" w:sz="0" w:space="0" w:color="auto"/>
      </w:divBdr>
    </w:div>
    <w:div w:id="775709745">
      <w:bodyDiv w:val="1"/>
      <w:marLeft w:val="0"/>
      <w:marRight w:val="0"/>
      <w:marTop w:val="0"/>
      <w:marBottom w:val="0"/>
      <w:divBdr>
        <w:top w:val="none" w:sz="0" w:space="0" w:color="auto"/>
        <w:left w:val="none" w:sz="0" w:space="0" w:color="auto"/>
        <w:bottom w:val="none" w:sz="0" w:space="0" w:color="auto"/>
        <w:right w:val="none" w:sz="0" w:space="0" w:color="auto"/>
      </w:divBdr>
    </w:div>
    <w:div w:id="776366507">
      <w:bodyDiv w:val="1"/>
      <w:marLeft w:val="0"/>
      <w:marRight w:val="0"/>
      <w:marTop w:val="0"/>
      <w:marBottom w:val="0"/>
      <w:divBdr>
        <w:top w:val="none" w:sz="0" w:space="0" w:color="auto"/>
        <w:left w:val="none" w:sz="0" w:space="0" w:color="auto"/>
        <w:bottom w:val="none" w:sz="0" w:space="0" w:color="auto"/>
        <w:right w:val="none" w:sz="0" w:space="0" w:color="auto"/>
      </w:divBdr>
    </w:div>
    <w:div w:id="777262058">
      <w:bodyDiv w:val="1"/>
      <w:marLeft w:val="0"/>
      <w:marRight w:val="0"/>
      <w:marTop w:val="0"/>
      <w:marBottom w:val="0"/>
      <w:divBdr>
        <w:top w:val="none" w:sz="0" w:space="0" w:color="auto"/>
        <w:left w:val="none" w:sz="0" w:space="0" w:color="auto"/>
        <w:bottom w:val="none" w:sz="0" w:space="0" w:color="auto"/>
        <w:right w:val="none" w:sz="0" w:space="0" w:color="auto"/>
      </w:divBdr>
    </w:div>
    <w:div w:id="777334193">
      <w:bodyDiv w:val="1"/>
      <w:marLeft w:val="0"/>
      <w:marRight w:val="0"/>
      <w:marTop w:val="0"/>
      <w:marBottom w:val="0"/>
      <w:divBdr>
        <w:top w:val="none" w:sz="0" w:space="0" w:color="auto"/>
        <w:left w:val="none" w:sz="0" w:space="0" w:color="auto"/>
        <w:bottom w:val="none" w:sz="0" w:space="0" w:color="auto"/>
        <w:right w:val="none" w:sz="0" w:space="0" w:color="auto"/>
      </w:divBdr>
    </w:div>
    <w:div w:id="778643983">
      <w:bodyDiv w:val="1"/>
      <w:marLeft w:val="0"/>
      <w:marRight w:val="0"/>
      <w:marTop w:val="0"/>
      <w:marBottom w:val="0"/>
      <w:divBdr>
        <w:top w:val="none" w:sz="0" w:space="0" w:color="auto"/>
        <w:left w:val="none" w:sz="0" w:space="0" w:color="auto"/>
        <w:bottom w:val="none" w:sz="0" w:space="0" w:color="auto"/>
        <w:right w:val="none" w:sz="0" w:space="0" w:color="auto"/>
      </w:divBdr>
    </w:div>
    <w:div w:id="778724556">
      <w:bodyDiv w:val="1"/>
      <w:marLeft w:val="0"/>
      <w:marRight w:val="0"/>
      <w:marTop w:val="0"/>
      <w:marBottom w:val="0"/>
      <w:divBdr>
        <w:top w:val="none" w:sz="0" w:space="0" w:color="auto"/>
        <w:left w:val="none" w:sz="0" w:space="0" w:color="auto"/>
        <w:bottom w:val="none" w:sz="0" w:space="0" w:color="auto"/>
        <w:right w:val="none" w:sz="0" w:space="0" w:color="auto"/>
      </w:divBdr>
    </w:div>
    <w:div w:id="779642317">
      <w:bodyDiv w:val="1"/>
      <w:marLeft w:val="0"/>
      <w:marRight w:val="0"/>
      <w:marTop w:val="0"/>
      <w:marBottom w:val="0"/>
      <w:divBdr>
        <w:top w:val="none" w:sz="0" w:space="0" w:color="auto"/>
        <w:left w:val="none" w:sz="0" w:space="0" w:color="auto"/>
        <w:bottom w:val="none" w:sz="0" w:space="0" w:color="auto"/>
        <w:right w:val="none" w:sz="0" w:space="0" w:color="auto"/>
      </w:divBdr>
    </w:div>
    <w:div w:id="780495064">
      <w:bodyDiv w:val="1"/>
      <w:marLeft w:val="0"/>
      <w:marRight w:val="0"/>
      <w:marTop w:val="0"/>
      <w:marBottom w:val="0"/>
      <w:divBdr>
        <w:top w:val="none" w:sz="0" w:space="0" w:color="auto"/>
        <w:left w:val="none" w:sz="0" w:space="0" w:color="auto"/>
        <w:bottom w:val="none" w:sz="0" w:space="0" w:color="auto"/>
        <w:right w:val="none" w:sz="0" w:space="0" w:color="auto"/>
      </w:divBdr>
    </w:div>
    <w:div w:id="781651446">
      <w:bodyDiv w:val="1"/>
      <w:marLeft w:val="0"/>
      <w:marRight w:val="0"/>
      <w:marTop w:val="0"/>
      <w:marBottom w:val="0"/>
      <w:divBdr>
        <w:top w:val="none" w:sz="0" w:space="0" w:color="auto"/>
        <w:left w:val="none" w:sz="0" w:space="0" w:color="auto"/>
        <w:bottom w:val="none" w:sz="0" w:space="0" w:color="auto"/>
        <w:right w:val="none" w:sz="0" w:space="0" w:color="auto"/>
      </w:divBdr>
    </w:div>
    <w:div w:id="782311018">
      <w:bodyDiv w:val="1"/>
      <w:marLeft w:val="0"/>
      <w:marRight w:val="0"/>
      <w:marTop w:val="0"/>
      <w:marBottom w:val="0"/>
      <w:divBdr>
        <w:top w:val="none" w:sz="0" w:space="0" w:color="auto"/>
        <w:left w:val="none" w:sz="0" w:space="0" w:color="auto"/>
        <w:bottom w:val="none" w:sz="0" w:space="0" w:color="auto"/>
        <w:right w:val="none" w:sz="0" w:space="0" w:color="auto"/>
      </w:divBdr>
    </w:div>
    <w:div w:id="782387976">
      <w:bodyDiv w:val="1"/>
      <w:marLeft w:val="0"/>
      <w:marRight w:val="0"/>
      <w:marTop w:val="0"/>
      <w:marBottom w:val="0"/>
      <w:divBdr>
        <w:top w:val="none" w:sz="0" w:space="0" w:color="auto"/>
        <w:left w:val="none" w:sz="0" w:space="0" w:color="auto"/>
        <w:bottom w:val="none" w:sz="0" w:space="0" w:color="auto"/>
        <w:right w:val="none" w:sz="0" w:space="0" w:color="auto"/>
      </w:divBdr>
    </w:div>
    <w:div w:id="783383434">
      <w:bodyDiv w:val="1"/>
      <w:marLeft w:val="0"/>
      <w:marRight w:val="0"/>
      <w:marTop w:val="0"/>
      <w:marBottom w:val="0"/>
      <w:divBdr>
        <w:top w:val="none" w:sz="0" w:space="0" w:color="auto"/>
        <w:left w:val="none" w:sz="0" w:space="0" w:color="auto"/>
        <w:bottom w:val="none" w:sz="0" w:space="0" w:color="auto"/>
        <w:right w:val="none" w:sz="0" w:space="0" w:color="auto"/>
      </w:divBdr>
    </w:div>
    <w:div w:id="783579760">
      <w:bodyDiv w:val="1"/>
      <w:marLeft w:val="0"/>
      <w:marRight w:val="0"/>
      <w:marTop w:val="0"/>
      <w:marBottom w:val="0"/>
      <w:divBdr>
        <w:top w:val="none" w:sz="0" w:space="0" w:color="auto"/>
        <w:left w:val="none" w:sz="0" w:space="0" w:color="auto"/>
        <w:bottom w:val="none" w:sz="0" w:space="0" w:color="auto"/>
        <w:right w:val="none" w:sz="0" w:space="0" w:color="auto"/>
      </w:divBdr>
    </w:div>
    <w:div w:id="783886728">
      <w:bodyDiv w:val="1"/>
      <w:marLeft w:val="0"/>
      <w:marRight w:val="0"/>
      <w:marTop w:val="0"/>
      <w:marBottom w:val="0"/>
      <w:divBdr>
        <w:top w:val="none" w:sz="0" w:space="0" w:color="auto"/>
        <w:left w:val="none" w:sz="0" w:space="0" w:color="auto"/>
        <w:bottom w:val="none" w:sz="0" w:space="0" w:color="auto"/>
        <w:right w:val="none" w:sz="0" w:space="0" w:color="auto"/>
      </w:divBdr>
    </w:div>
    <w:div w:id="786122052">
      <w:bodyDiv w:val="1"/>
      <w:marLeft w:val="0"/>
      <w:marRight w:val="0"/>
      <w:marTop w:val="0"/>
      <w:marBottom w:val="0"/>
      <w:divBdr>
        <w:top w:val="none" w:sz="0" w:space="0" w:color="auto"/>
        <w:left w:val="none" w:sz="0" w:space="0" w:color="auto"/>
        <w:bottom w:val="none" w:sz="0" w:space="0" w:color="auto"/>
        <w:right w:val="none" w:sz="0" w:space="0" w:color="auto"/>
      </w:divBdr>
    </w:div>
    <w:div w:id="787505843">
      <w:bodyDiv w:val="1"/>
      <w:marLeft w:val="0"/>
      <w:marRight w:val="0"/>
      <w:marTop w:val="0"/>
      <w:marBottom w:val="0"/>
      <w:divBdr>
        <w:top w:val="none" w:sz="0" w:space="0" w:color="auto"/>
        <w:left w:val="none" w:sz="0" w:space="0" w:color="auto"/>
        <w:bottom w:val="none" w:sz="0" w:space="0" w:color="auto"/>
        <w:right w:val="none" w:sz="0" w:space="0" w:color="auto"/>
      </w:divBdr>
    </w:div>
    <w:div w:id="789015261">
      <w:bodyDiv w:val="1"/>
      <w:marLeft w:val="0"/>
      <w:marRight w:val="0"/>
      <w:marTop w:val="0"/>
      <w:marBottom w:val="0"/>
      <w:divBdr>
        <w:top w:val="none" w:sz="0" w:space="0" w:color="auto"/>
        <w:left w:val="none" w:sz="0" w:space="0" w:color="auto"/>
        <w:bottom w:val="none" w:sz="0" w:space="0" w:color="auto"/>
        <w:right w:val="none" w:sz="0" w:space="0" w:color="auto"/>
      </w:divBdr>
    </w:div>
    <w:div w:id="789713797">
      <w:bodyDiv w:val="1"/>
      <w:marLeft w:val="0"/>
      <w:marRight w:val="0"/>
      <w:marTop w:val="0"/>
      <w:marBottom w:val="0"/>
      <w:divBdr>
        <w:top w:val="none" w:sz="0" w:space="0" w:color="auto"/>
        <w:left w:val="none" w:sz="0" w:space="0" w:color="auto"/>
        <w:bottom w:val="none" w:sz="0" w:space="0" w:color="auto"/>
        <w:right w:val="none" w:sz="0" w:space="0" w:color="auto"/>
      </w:divBdr>
    </w:div>
    <w:div w:id="789859137">
      <w:bodyDiv w:val="1"/>
      <w:marLeft w:val="0"/>
      <w:marRight w:val="0"/>
      <w:marTop w:val="0"/>
      <w:marBottom w:val="0"/>
      <w:divBdr>
        <w:top w:val="none" w:sz="0" w:space="0" w:color="auto"/>
        <w:left w:val="none" w:sz="0" w:space="0" w:color="auto"/>
        <w:bottom w:val="none" w:sz="0" w:space="0" w:color="auto"/>
        <w:right w:val="none" w:sz="0" w:space="0" w:color="auto"/>
      </w:divBdr>
    </w:div>
    <w:div w:id="790444659">
      <w:bodyDiv w:val="1"/>
      <w:marLeft w:val="0"/>
      <w:marRight w:val="0"/>
      <w:marTop w:val="0"/>
      <w:marBottom w:val="0"/>
      <w:divBdr>
        <w:top w:val="none" w:sz="0" w:space="0" w:color="auto"/>
        <w:left w:val="none" w:sz="0" w:space="0" w:color="auto"/>
        <w:bottom w:val="none" w:sz="0" w:space="0" w:color="auto"/>
        <w:right w:val="none" w:sz="0" w:space="0" w:color="auto"/>
      </w:divBdr>
    </w:div>
    <w:div w:id="791099672">
      <w:bodyDiv w:val="1"/>
      <w:marLeft w:val="0"/>
      <w:marRight w:val="0"/>
      <w:marTop w:val="0"/>
      <w:marBottom w:val="0"/>
      <w:divBdr>
        <w:top w:val="none" w:sz="0" w:space="0" w:color="auto"/>
        <w:left w:val="none" w:sz="0" w:space="0" w:color="auto"/>
        <w:bottom w:val="none" w:sz="0" w:space="0" w:color="auto"/>
        <w:right w:val="none" w:sz="0" w:space="0" w:color="auto"/>
      </w:divBdr>
    </w:div>
    <w:div w:id="791483025">
      <w:bodyDiv w:val="1"/>
      <w:marLeft w:val="0"/>
      <w:marRight w:val="0"/>
      <w:marTop w:val="0"/>
      <w:marBottom w:val="0"/>
      <w:divBdr>
        <w:top w:val="none" w:sz="0" w:space="0" w:color="auto"/>
        <w:left w:val="none" w:sz="0" w:space="0" w:color="auto"/>
        <w:bottom w:val="none" w:sz="0" w:space="0" w:color="auto"/>
        <w:right w:val="none" w:sz="0" w:space="0" w:color="auto"/>
      </w:divBdr>
    </w:div>
    <w:div w:id="791676534">
      <w:bodyDiv w:val="1"/>
      <w:marLeft w:val="0"/>
      <w:marRight w:val="0"/>
      <w:marTop w:val="0"/>
      <w:marBottom w:val="0"/>
      <w:divBdr>
        <w:top w:val="none" w:sz="0" w:space="0" w:color="auto"/>
        <w:left w:val="none" w:sz="0" w:space="0" w:color="auto"/>
        <w:bottom w:val="none" w:sz="0" w:space="0" w:color="auto"/>
        <w:right w:val="none" w:sz="0" w:space="0" w:color="auto"/>
      </w:divBdr>
    </w:div>
    <w:div w:id="791748739">
      <w:bodyDiv w:val="1"/>
      <w:marLeft w:val="0"/>
      <w:marRight w:val="0"/>
      <w:marTop w:val="0"/>
      <w:marBottom w:val="0"/>
      <w:divBdr>
        <w:top w:val="none" w:sz="0" w:space="0" w:color="auto"/>
        <w:left w:val="none" w:sz="0" w:space="0" w:color="auto"/>
        <w:bottom w:val="none" w:sz="0" w:space="0" w:color="auto"/>
        <w:right w:val="none" w:sz="0" w:space="0" w:color="auto"/>
      </w:divBdr>
    </w:div>
    <w:div w:id="792209097">
      <w:bodyDiv w:val="1"/>
      <w:marLeft w:val="0"/>
      <w:marRight w:val="0"/>
      <w:marTop w:val="0"/>
      <w:marBottom w:val="0"/>
      <w:divBdr>
        <w:top w:val="none" w:sz="0" w:space="0" w:color="auto"/>
        <w:left w:val="none" w:sz="0" w:space="0" w:color="auto"/>
        <w:bottom w:val="none" w:sz="0" w:space="0" w:color="auto"/>
        <w:right w:val="none" w:sz="0" w:space="0" w:color="auto"/>
      </w:divBdr>
    </w:div>
    <w:div w:id="792484672">
      <w:bodyDiv w:val="1"/>
      <w:marLeft w:val="0"/>
      <w:marRight w:val="0"/>
      <w:marTop w:val="0"/>
      <w:marBottom w:val="0"/>
      <w:divBdr>
        <w:top w:val="none" w:sz="0" w:space="0" w:color="auto"/>
        <w:left w:val="none" w:sz="0" w:space="0" w:color="auto"/>
        <w:bottom w:val="none" w:sz="0" w:space="0" w:color="auto"/>
        <w:right w:val="none" w:sz="0" w:space="0" w:color="auto"/>
      </w:divBdr>
    </w:div>
    <w:div w:id="792944564">
      <w:bodyDiv w:val="1"/>
      <w:marLeft w:val="0"/>
      <w:marRight w:val="0"/>
      <w:marTop w:val="0"/>
      <w:marBottom w:val="0"/>
      <w:divBdr>
        <w:top w:val="none" w:sz="0" w:space="0" w:color="auto"/>
        <w:left w:val="none" w:sz="0" w:space="0" w:color="auto"/>
        <w:bottom w:val="none" w:sz="0" w:space="0" w:color="auto"/>
        <w:right w:val="none" w:sz="0" w:space="0" w:color="auto"/>
      </w:divBdr>
    </w:div>
    <w:div w:id="793134796">
      <w:bodyDiv w:val="1"/>
      <w:marLeft w:val="0"/>
      <w:marRight w:val="0"/>
      <w:marTop w:val="0"/>
      <w:marBottom w:val="0"/>
      <w:divBdr>
        <w:top w:val="none" w:sz="0" w:space="0" w:color="auto"/>
        <w:left w:val="none" w:sz="0" w:space="0" w:color="auto"/>
        <w:bottom w:val="none" w:sz="0" w:space="0" w:color="auto"/>
        <w:right w:val="none" w:sz="0" w:space="0" w:color="auto"/>
      </w:divBdr>
    </w:div>
    <w:div w:id="793327399">
      <w:bodyDiv w:val="1"/>
      <w:marLeft w:val="0"/>
      <w:marRight w:val="0"/>
      <w:marTop w:val="0"/>
      <w:marBottom w:val="0"/>
      <w:divBdr>
        <w:top w:val="none" w:sz="0" w:space="0" w:color="auto"/>
        <w:left w:val="none" w:sz="0" w:space="0" w:color="auto"/>
        <w:bottom w:val="none" w:sz="0" w:space="0" w:color="auto"/>
        <w:right w:val="none" w:sz="0" w:space="0" w:color="auto"/>
      </w:divBdr>
    </w:div>
    <w:div w:id="793445942">
      <w:bodyDiv w:val="1"/>
      <w:marLeft w:val="0"/>
      <w:marRight w:val="0"/>
      <w:marTop w:val="0"/>
      <w:marBottom w:val="0"/>
      <w:divBdr>
        <w:top w:val="none" w:sz="0" w:space="0" w:color="auto"/>
        <w:left w:val="none" w:sz="0" w:space="0" w:color="auto"/>
        <w:bottom w:val="none" w:sz="0" w:space="0" w:color="auto"/>
        <w:right w:val="none" w:sz="0" w:space="0" w:color="auto"/>
      </w:divBdr>
    </w:div>
    <w:div w:id="793914123">
      <w:bodyDiv w:val="1"/>
      <w:marLeft w:val="0"/>
      <w:marRight w:val="0"/>
      <w:marTop w:val="0"/>
      <w:marBottom w:val="0"/>
      <w:divBdr>
        <w:top w:val="none" w:sz="0" w:space="0" w:color="auto"/>
        <w:left w:val="none" w:sz="0" w:space="0" w:color="auto"/>
        <w:bottom w:val="none" w:sz="0" w:space="0" w:color="auto"/>
        <w:right w:val="none" w:sz="0" w:space="0" w:color="auto"/>
      </w:divBdr>
    </w:div>
    <w:div w:id="794372827">
      <w:bodyDiv w:val="1"/>
      <w:marLeft w:val="0"/>
      <w:marRight w:val="0"/>
      <w:marTop w:val="0"/>
      <w:marBottom w:val="0"/>
      <w:divBdr>
        <w:top w:val="none" w:sz="0" w:space="0" w:color="auto"/>
        <w:left w:val="none" w:sz="0" w:space="0" w:color="auto"/>
        <w:bottom w:val="none" w:sz="0" w:space="0" w:color="auto"/>
        <w:right w:val="none" w:sz="0" w:space="0" w:color="auto"/>
      </w:divBdr>
    </w:div>
    <w:div w:id="795678925">
      <w:bodyDiv w:val="1"/>
      <w:marLeft w:val="0"/>
      <w:marRight w:val="0"/>
      <w:marTop w:val="0"/>
      <w:marBottom w:val="0"/>
      <w:divBdr>
        <w:top w:val="none" w:sz="0" w:space="0" w:color="auto"/>
        <w:left w:val="none" w:sz="0" w:space="0" w:color="auto"/>
        <w:bottom w:val="none" w:sz="0" w:space="0" w:color="auto"/>
        <w:right w:val="none" w:sz="0" w:space="0" w:color="auto"/>
      </w:divBdr>
    </w:div>
    <w:div w:id="795755069">
      <w:bodyDiv w:val="1"/>
      <w:marLeft w:val="0"/>
      <w:marRight w:val="0"/>
      <w:marTop w:val="0"/>
      <w:marBottom w:val="0"/>
      <w:divBdr>
        <w:top w:val="none" w:sz="0" w:space="0" w:color="auto"/>
        <w:left w:val="none" w:sz="0" w:space="0" w:color="auto"/>
        <w:bottom w:val="none" w:sz="0" w:space="0" w:color="auto"/>
        <w:right w:val="none" w:sz="0" w:space="0" w:color="auto"/>
      </w:divBdr>
    </w:div>
    <w:div w:id="796340674">
      <w:bodyDiv w:val="1"/>
      <w:marLeft w:val="0"/>
      <w:marRight w:val="0"/>
      <w:marTop w:val="0"/>
      <w:marBottom w:val="0"/>
      <w:divBdr>
        <w:top w:val="none" w:sz="0" w:space="0" w:color="auto"/>
        <w:left w:val="none" w:sz="0" w:space="0" w:color="auto"/>
        <w:bottom w:val="none" w:sz="0" w:space="0" w:color="auto"/>
        <w:right w:val="none" w:sz="0" w:space="0" w:color="auto"/>
      </w:divBdr>
    </w:div>
    <w:div w:id="796416019">
      <w:bodyDiv w:val="1"/>
      <w:marLeft w:val="0"/>
      <w:marRight w:val="0"/>
      <w:marTop w:val="0"/>
      <w:marBottom w:val="0"/>
      <w:divBdr>
        <w:top w:val="none" w:sz="0" w:space="0" w:color="auto"/>
        <w:left w:val="none" w:sz="0" w:space="0" w:color="auto"/>
        <w:bottom w:val="none" w:sz="0" w:space="0" w:color="auto"/>
        <w:right w:val="none" w:sz="0" w:space="0" w:color="auto"/>
      </w:divBdr>
    </w:div>
    <w:div w:id="799496450">
      <w:bodyDiv w:val="1"/>
      <w:marLeft w:val="0"/>
      <w:marRight w:val="0"/>
      <w:marTop w:val="0"/>
      <w:marBottom w:val="0"/>
      <w:divBdr>
        <w:top w:val="none" w:sz="0" w:space="0" w:color="auto"/>
        <w:left w:val="none" w:sz="0" w:space="0" w:color="auto"/>
        <w:bottom w:val="none" w:sz="0" w:space="0" w:color="auto"/>
        <w:right w:val="none" w:sz="0" w:space="0" w:color="auto"/>
      </w:divBdr>
    </w:div>
    <w:div w:id="800198026">
      <w:bodyDiv w:val="1"/>
      <w:marLeft w:val="0"/>
      <w:marRight w:val="0"/>
      <w:marTop w:val="0"/>
      <w:marBottom w:val="0"/>
      <w:divBdr>
        <w:top w:val="none" w:sz="0" w:space="0" w:color="auto"/>
        <w:left w:val="none" w:sz="0" w:space="0" w:color="auto"/>
        <w:bottom w:val="none" w:sz="0" w:space="0" w:color="auto"/>
        <w:right w:val="none" w:sz="0" w:space="0" w:color="auto"/>
      </w:divBdr>
    </w:div>
    <w:div w:id="801382779">
      <w:bodyDiv w:val="1"/>
      <w:marLeft w:val="0"/>
      <w:marRight w:val="0"/>
      <w:marTop w:val="0"/>
      <w:marBottom w:val="0"/>
      <w:divBdr>
        <w:top w:val="none" w:sz="0" w:space="0" w:color="auto"/>
        <w:left w:val="none" w:sz="0" w:space="0" w:color="auto"/>
        <w:bottom w:val="none" w:sz="0" w:space="0" w:color="auto"/>
        <w:right w:val="none" w:sz="0" w:space="0" w:color="auto"/>
      </w:divBdr>
    </w:div>
    <w:div w:id="805007281">
      <w:bodyDiv w:val="1"/>
      <w:marLeft w:val="0"/>
      <w:marRight w:val="0"/>
      <w:marTop w:val="0"/>
      <w:marBottom w:val="0"/>
      <w:divBdr>
        <w:top w:val="none" w:sz="0" w:space="0" w:color="auto"/>
        <w:left w:val="none" w:sz="0" w:space="0" w:color="auto"/>
        <w:bottom w:val="none" w:sz="0" w:space="0" w:color="auto"/>
        <w:right w:val="none" w:sz="0" w:space="0" w:color="auto"/>
      </w:divBdr>
    </w:div>
    <w:div w:id="805702583">
      <w:bodyDiv w:val="1"/>
      <w:marLeft w:val="0"/>
      <w:marRight w:val="0"/>
      <w:marTop w:val="0"/>
      <w:marBottom w:val="0"/>
      <w:divBdr>
        <w:top w:val="none" w:sz="0" w:space="0" w:color="auto"/>
        <w:left w:val="none" w:sz="0" w:space="0" w:color="auto"/>
        <w:bottom w:val="none" w:sz="0" w:space="0" w:color="auto"/>
        <w:right w:val="none" w:sz="0" w:space="0" w:color="auto"/>
      </w:divBdr>
    </w:div>
    <w:div w:id="807626556">
      <w:bodyDiv w:val="1"/>
      <w:marLeft w:val="0"/>
      <w:marRight w:val="0"/>
      <w:marTop w:val="0"/>
      <w:marBottom w:val="0"/>
      <w:divBdr>
        <w:top w:val="none" w:sz="0" w:space="0" w:color="auto"/>
        <w:left w:val="none" w:sz="0" w:space="0" w:color="auto"/>
        <w:bottom w:val="none" w:sz="0" w:space="0" w:color="auto"/>
        <w:right w:val="none" w:sz="0" w:space="0" w:color="auto"/>
      </w:divBdr>
    </w:div>
    <w:div w:id="808132655">
      <w:bodyDiv w:val="1"/>
      <w:marLeft w:val="0"/>
      <w:marRight w:val="0"/>
      <w:marTop w:val="0"/>
      <w:marBottom w:val="0"/>
      <w:divBdr>
        <w:top w:val="none" w:sz="0" w:space="0" w:color="auto"/>
        <w:left w:val="none" w:sz="0" w:space="0" w:color="auto"/>
        <w:bottom w:val="none" w:sz="0" w:space="0" w:color="auto"/>
        <w:right w:val="none" w:sz="0" w:space="0" w:color="auto"/>
      </w:divBdr>
    </w:div>
    <w:div w:id="809711334">
      <w:bodyDiv w:val="1"/>
      <w:marLeft w:val="0"/>
      <w:marRight w:val="0"/>
      <w:marTop w:val="0"/>
      <w:marBottom w:val="0"/>
      <w:divBdr>
        <w:top w:val="none" w:sz="0" w:space="0" w:color="auto"/>
        <w:left w:val="none" w:sz="0" w:space="0" w:color="auto"/>
        <w:bottom w:val="none" w:sz="0" w:space="0" w:color="auto"/>
        <w:right w:val="none" w:sz="0" w:space="0" w:color="auto"/>
      </w:divBdr>
    </w:div>
    <w:div w:id="810560024">
      <w:bodyDiv w:val="1"/>
      <w:marLeft w:val="0"/>
      <w:marRight w:val="0"/>
      <w:marTop w:val="0"/>
      <w:marBottom w:val="0"/>
      <w:divBdr>
        <w:top w:val="none" w:sz="0" w:space="0" w:color="auto"/>
        <w:left w:val="none" w:sz="0" w:space="0" w:color="auto"/>
        <w:bottom w:val="none" w:sz="0" w:space="0" w:color="auto"/>
        <w:right w:val="none" w:sz="0" w:space="0" w:color="auto"/>
      </w:divBdr>
    </w:div>
    <w:div w:id="810630756">
      <w:bodyDiv w:val="1"/>
      <w:marLeft w:val="0"/>
      <w:marRight w:val="0"/>
      <w:marTop w:val="0"/>
      <w:marBottom w:val="0"/>
      <w:divBdr>
        <w:top w:val="none" w:sz="0" w:space="0" w:color="auto"/>
        <w:left w:val="none" w:sz="0" w:space="0" w:color="auto"/>
        <w:bottom w:val="none" w:sz="0" w:space="0" w:color="auto"/>
        <w:right w:val="none" w:sz="0" w:space="0" w:color="auto"/>
      </w:divBdr>
    </w:div>
    <w:div w:id="810708798">
      <w:bodyDiv w:val="1"/>
      <w:marLeft w:val="0"/>
      <w:marRight w:val="0"/>
      <w:marTop w:val="0"/>
      <w:marBottom w:val="0"/>
      <w:divBdr>
        <w:top w:val="none" w:sz="0" w:space="0" w:color="auto"/>
        <w:left w:val="none" w:sz="0" w:space="0" w:color="auto"/>
        <w:bottom w:val="none" w:sz="0" w:space="0" w:color="auto"/>
        <w:right w:val="none" w:sz="0" w:space="0" w:color="auto"/>
      </w:divBdr>
    </w:div>
    <w:div w:id="812257054">
      <w:bodyDiv w:val="1"/>
      <w:marLeft w:val="0"/>
      <w:marRight w:val="0"/>
      <w:marTop w:val="0"/>
      <w:marBottom w:val="0"/>
      <w:divBdr>
        <w:top w:val="none" w:sz="0" w:space="0" w:color="auto"/>
        <w:left w:val="none" w:sz="0" w:space="0" w:color="auto"/>
        <w:bottom w:val="none" w:sz="0" w:space="0" w:color="auto"/>
        <w:right w:val="none" w:sz="0" w:space="0" w:color="auto"/>
      </w:divBdr>
    </w:div>
    <w:div w:id="814686471">
      <w:bodyDiv w:val="1"/>
      <w:marLeft w:val="0"/>
      <w:marRight w:val="0"/>
      <w:marTop w:val="0"/>
      <w:marBottom w:val="0"/>
      <w:divBdr>
        <w:top w:val="none" w:sz="0" w:space="0" w:color="auto"/>
        <w:left w:val="none" w:sz="0" w:space="0" w:color="auto"/>
        <w:bottom w:val="none" w:sz="0" w:space="0" w:color="auto"/>
        <w:right w:val="none" w:sz="0" w:space="0" w:color="auto"/>
      </w:divBdr>
    </w:div>
    <w:div w:id="815103059">
      <w:bodyDiv w:val="1"/>
      <w:marLeft w:val="0"/>
      <w:marRight w:val="0"/>
      <w:marTop w:val="0"/>
      <w:marBottom w:val="0"/>
      <w:divBdr>
        <w:top w:val="none" w:sz="0" w:space="0" w:color="auto"/>
        <w:left w:val="none" w:sz="0" w:space="0" w:color="auto"/>
        <w:bottom w:val="none" w:sz="0" w:space="0" w:color="auto"/>
        <w:right w:val="none" w:sz="0" w:space="0" w:color="auto"/>
      </w:divBdr>
    </w:div>
    <w:div w:id="815533113">
      <w:bodyDiv w:val="1"/>
      <w:marLeft w:val="0"/>
      <w:marRight w:val="0"/>
      <w:marTop w:val="0"/>
      <w:marBottom w:val="0"/>
      <w:divBdr>
        <w:top w:val="none" w:sz="0" w:space="0" w:color="auto"/>
        <w:left w:val="none" w:sz="0" w:space="0" w:color="auto"/>
        <w:bottom w:val="none" w:sz="0" w:space="0" w:color="auto"/>
        <w:right w:val="none" w:sz="0" w:space="0" w:color="auto"/>
      </w:divBdr>
    </w:div>
    <w:div w:id="818807397">
      <w:bodyDiv w:val="1"/>
      <w:marLeft w:val="0"/>
      <w:marRight w:val="0"/>
      <w:marTop w:val="0"/>
      <w:marBottom w:val="0"/>
      <w:divBdr>
        <w:top w:val="none" w:sz="0" w:space="0" w:color="auto"/>
        <w:left w:val="none" w:sz="0" w:space="0" w:color="auto"/>
        <w:bottom w:val="none" w:sz="0" w:space="0" w:color="auto"/>
        <w:right w:val="none" w:sz="0" w:space="0" w:color="auto"/>
      </w:divBdr>
    </w:div>
    <w:div w:id="819731515">
      <w:bodyDiv w:val="1"/>
      <w:marLeft w:val="0"/>
      <w:marRight w:val="0"/>
      <w:marTop w:val="0"/>
      <w:marBottom w:val="0"/>
      <w:divBdr>
        <w:top w:val="none" w:sz="0" w:space="0" w:color="auto"/>
        <w:left w:val="none" w:sz="0" w:space="0" w:color="auto"/>
        <w:bottom w:val="none" w:sz="0" w:space="0" w:color="auto"/>
        <w:right w:val="none" w:sz="0" w:space="0" w:color="auto"/>
      </w:divBdr>
    </w:div>
    <w:div w:id="821506131">
      <w:bodyDiv w:val="1"/>
      <w:marLeft w:val="0"/>
      <w:marRight w:val="0"/>
      <w:marTop w:val="0"/>
      <w:marBottom w:val="0"/>
      <w:divBdr>
        <w:top w:val="none" w:sz="0" w:space="0" w:color="auto"/>
        <w:left w:val="none" w:sz="0" w:space="0" w:color="auto"/>
        <w:bottom w:val="none" w:sz="0" w:space="0" w:color="auto"/>
        <w:right w:val="none" w:sz="0" w:space="0" w:color="auto"/>
      </w:divBdr>
    </w:div>
    <w:div w:id="821892951">
      <w:bodyDiv w:val="1"/>
      <w:marLeft w:val="0"/>
      <w:marRight w:val="0"/>
      <w:marTop w:val="0"/>
      <w:marBottom w:val="0"/>
      <w:divBdr>
        <w:top w:val="none" w:sz="0" w:space="0" w:color="auto"/>
        <w:left w:val="none" w:sz="0" w:space="0" w:color="auto"/>
        <w:bottom w:val="none" w:sz="0" w:space="0" w:color="auto"/>
        <w:right w:val="none" w:sz="0" w:space="0" w:color="auto"/>
      </w:divBdr>
    </w:div>
    <w:div w:id="825123916">
      <w:bodyDiv w:val="1"/>
      <w:marLeft w:val="0"/>
      <w:marRight w:val="0"/>
      <w:marTop w:val="0"/>
      <w:marBottom w:val="0"/>
      <w:divBdr>
        <w:top w:val="none" w:sz="0" w:space="0" w:color="auto"/>
        <w:left w:val="none" w:sz="0" w:space="0" w:color="auto"/>
        <w:bottom w:val="none" w:sz="0" w:space="0" w:color="auto"/>
        <w:right w:val="none" w:sz="0" w:space="0" w:color="auto"/>
      </w:divBdr>
    </w:div>
    <w:div w:id="825780219">
      <w:bodyDiv w:val="1"/>
      <w:marLeft w:val="0"/>
      <w:marRight w:val="0"/>
      <w:marTop w:val="0"/>
      <w:marBottom w:val="0"/>
      <w:divBdr>
        <w:top w:val="none" w:sz="0" w:space="0" w:color="auto"/>
        <w:left w:val="none" w:sz="0" w:space="0" w:color="auto"/>
        <w:bottom w:val="none" w:sz="0" w:space="0" w:color="auto"/>
        <w:right w:val="none" w:sz="0" w:space="0" w:color="auto"/>
      </w:divBdr>
    </w:div>
    <w:div w:id="826095654">
      <w:bodyDiv w:val="1"/>
      <w:marLeft w:val="0"/>
      <w:marRight w:val="0"/>
      <w:marTop w:val="0"/>
      <w:marBottom w:val="0"/>
      <w:divBdr>
        <w:top w:val="none" w:sz="0" w:space="0" w:color="auto"/>
        <w:left w:val="none" w:sz="0" w:space="0" w:color="auto"/>
        <w:bottom w:val="none" w:sz="0" w:space="0" w:color="auto"/>
        <w:right w:val="none" w:sz="0" w:space="0" w:color="auto"/>
      </w:divBdr>
    </w:div>
    <w:div w:id="826626989">
      <w:bodyDiv w:val="1"/>
      <w:marLeft w:val="0"/>
      <w:marRight w:val="0"/>
      <w:marTop w:val="0"/>
      <w:marBottom w:val="0"/>
      <w:divBdr>
        <w:top w:val="none" w:sz="0" w:space="0" w:color="auto"/>
        <w:left w:val="none" w:sz="0" w:space="0" w:color="auto"/>
        <w:bottom w:val="none" w:sz="0" w:space="0" w:color="auto"/>
        <w:right w:val="none" w:sz="0" w:space="0" w:color="auto"/>
      </w:divBdr>
    </w:div>
    <w:div w:id="826868354">
      <w:bodyDiv w:val="1"/>
      <w:marLeft w:val="0"/>
      <w:marRight w:val="0"/>
      <w:marTop w:val="0"/>
      <w:marBottom w:val="0"/>
      <w:divBdr>
        <w:top w:val="none" w:sz="0" w:space="0" w:color="auto"/>
        <w:left w:val="none" w:sz="0" w:space="0" w:color="auto"/>
        <w:bottom w:val="none" w:sz="0" w:space="0" w:color="auto"/>
        <w:right w:val="none" w:sz="0" w:space="0" w:color="auto"/>
      </w:divBdr>
    </w:div>
    <w:div w:id="830370754">
      <w:bodyDiv w:val="1"/>
      <w:marLeft w:val="0"/>
      <w:marRight w:val="0"/>
      <w:marTop w:val="0"/>
      <w:marBottom w:val="0"/>
      <w:divBdr>
        <w:top w:val="none" w:sz="0" w:space="0" w:color="auto"/>
        <w:left w:val="none" w:sz="0" w:space="0" w:color="auto"/>
        <w:bottom w:val="none" w:sz="0" w:space="0" w:color="auto"/>
        <w:right w:val="none" w:sz="0" w:space="0" w:color="auto"/>
      </w:divBdr>
    </w:div>
    <w:div w:id="830412551">
      <w:bodyDiv w:val="1"/>
      <w:marLeft w:val="0"/>
      <w:marRight w:val="0"/>
      <w:marTop w:val="0"/>
      <w:marBottom w:val="0"/>
      <w:divBdr>
        <w:top w:val="none" w:sz="0" w:space="0" w:color="auto"/>
        <w:left w:val="none" w:sz="0" w:space="0" w:color="auto"/>
        <w:bottom w:val="none" w:sz="0" w:space="0" w:color="auto"/>
        <w:right w:val="none" w:sz="0" w:space="0" w:color="auto"/>
      </w:divBdr>
    </w:div>
    <w:div w:id="830482956">
      <w:bodyDiv w:val="1"/>
      <w:marLeft w:val="0"/>
      <w:marRight w:val="0"/>
      <w:marTop w:val="0"/>
      <w:marBottom w:val="0"/>
      <w:divBdr>
        <w:top w:val="none" w:sz="0" w:space="0" w:color="auto"/>
        <w:left w:val="none" w:sz="0" w:space="0" w:color="auto"/>
        <w:bottom w:val="none" w:sz="0" w:space="0" w:color="auto"/>
        <w:right w:val="none" w:sz="0" w:space="0" w:color="auto"/>
      </w:divBdr>
    </w:div>
    <w:div w:id="830486102">
      <w:bodyDiv w:val="1"/>
      <w:marLeft w:val="0"/>
      <w:marRight w:val="0"/>
      <w:marTop w:val="0"/>
      <w:marBottom w:val="0"/>
      <w:divBdr>
        <w:top w:val="none" w:sz="0" w:space="0" w:color="auto"/>
        <w:left w:val="none" w:sz="0" w:space="0" w:color="auto"/>
        <w:bottom w:val="none" w:sz="0" w:space="0" w:color="auto"/>
        <w:right w:val="none" w:sz="0" w:space="0" w:color="auto"/>
      </w:divBdr>
    </w:div>
    <w:div w:id="832139608">
      <w:bodyDiv w:val="1"/>
      <w:marLeft w:val="0"/>
      <w:marRight w:val="0"/>
      <w:marTop w:val="0"/>
      <w:marBottom w:val="0"/>
      <w:divBdr>
        <w:top w:val="none" w:sz="0" w:space="0" w:color="auto"/>
        <w:left w:val="none" w:sz="0" w:space="0" w:color="auto"/>
        <w:bottom w:val="none" w:sz="0" w:space="0" w:color="auto"/>
        <w:right w:val="none" w:sz="0" w:space="0" w:color="auto"/>
      </w:divBdr>
    </w:div>
    <w:div w:id="832143229">
      <w:bodyDiv w:val="1"/>
      <w:marLeft w:val="0"/>
      <w:marRight w:val="0"/>
      <w:marTop w:val="0"/>
      <w:marBottom w:val="0"/>
      <w:divBdr>
        <w:top w:val="none" w:sz="0" w:space="0" w:color="auto"/>
        <w:left w:val="none" w:sz="0" w:space="0" w:color="auto"/>
        <w:bottom w:val="none" w:sz="0" w:space="0" w:color="auto"/>
        <w:right w:val="none" w:sz="0" w:space="0" w:color="auto"/>
      </w:divBdr>
    </w:div>
    <w:div w:id="832838928">
      <w:bodyDiv w:val="1"/>
      <w:marLeft w:val="0"/>
      <w:marRight w:val="0"/>
      <w:marTop w:val="0"/>
      <w:marBottom w:val="0"/>
      <w:divBdr>
        <w:top w:val="none" w:sz="0" w:space="0" w:color="auto"/>
        <w:left w:val="none" w:sz="0" w:space="0" w:color="auto"/>
        <w:bottom w:val="none" w:sz="0" w:space="0" w:color="auto"/>
        <w:right w:val="none" w:sz="0" w:space="0" w:color="auto"/>
      </w:divBdr>
    </w:div>
    <w:div w:id="833376094">
      <w:bodyDiv w:val="1"/>
      <w:marLeft w:val="0"/>
      <w:marRight w:val="0"/>
      <w:marTop w:val="0"/>
      <w:marBottom w:val="0"/>
      <w:divBdr>
        <w:top w:val="none" w:sz="0" w:space="0" w:color="auto"/>
        <w:left w:val="none" w:sz="0" w:space="0" w:color="auto"/>
        <w:bottom w:val="none" w:sz="0" w:space="0" w:color="auto"/>
        <w:right w:val="none" w:sz="0" w:space="0" w:color="auto"/>
      </w:divBdr>
    </w:div>
    <w:div w:id="833909870">
      <w:bodyDiv w:val="1"/>
      <w:marLeft w:val="0"/>
      <w:marRight w:val="0"/>
      <w:marTop w:val="0"/>
      <w:marBottom w:val="0"/>
      <w:divBdr>
        <w:top w:val="none" w:sz="0" w:space="0" w:color="auto"/>
        <w:left w:val="none" w:sz="0" w:space="0" w:color="auto"/>
        <w:bottom w:val="none" w:sz="0" w:space="0" w:color="auto"/>
        <w:right w:val="none" w:sz="0" w:space="0" w:color="auto"/>
      </w:divBdr>
    </w:div>
    <w:div w:id="834036281">
      <w:bodyDiv w:val="1"/>
      <w:marLeft w:val="0"/>
      <w:marRight w:val="0"/>
      <w:marTop w:val="0"/>
      <w:marBottom w:val="0"/>
      <w:divBdr>
        <w:top w:val="none" w:sz="0" w:space="0" w:color="auto"/>
        <w:left w:val="none" w:sz="0" w:space="0" w:color="auto"/>
        <w:bottom w:val="none" w:sz="0" w:space="0" w:color="auto"/>
        <w:right w:val="none" w:sz="0" w:space="0" w:color="auto"/>
      </w:divBdr>
    </w:div>
    <w:div w:id="834297332">
      <w:bodyDiv w:val="1"/>
      <w:marLeft w:val="0"/>
      <w:marRight w:val="0"/>
      <w:marTop w:val="0"/>
      <w:marBottom w:val="0"/>
      <w:divBdr>
        <w:top w:val="none" w:sz="0" w:space="0" w:color="auto"/>
        <w:left w:val="none" w:sz="0" w:space="0" w:color="auto"/>
        <w:bottom w:val="none" w:sz="0" w:space="0" w:color="auto"/>
        <w:right w:val="none" w:sz="0" w:space="0" w:color="auto"/>
      </w:divBdr>
    </w:div>
    <w:div w:id="834763985">
      <w:bodyDiv w:val="1"/>
      <w:marLeft w:val="0"/>
      <w:marRight w:val="0"/>
      <w:marTop w:val="0"/>
      <w:marBottom w:val="0"/>
      <w:divBdr>
        <w:top w:val="none" w:sz="0" w:space="0" w:color="auto"/>
        <w:left w:val="none" w:sz="0" w:space="0" w:color="auto"/>
        <w:bottom w:val="none" w:sz="0" w:space="0" w:color="auto"/>
        <w:right w:val="none" w:sz="0" w:space="0" w:color="auto"/>
      </w:divBdr>
    </w:div>
    <w:div w:id="838352832">
      <w:bodyDiv w:val="1"/>
      <w:marLeft w:val="0"/>
      <w:marRight w:val="0"/>
      <w:marTop w:val="0"/>
      <w:marBottom w:val="0"/>
      <w:divBdr>
        <w:top w:val="none" w:sz="0" w:space="0" w:color="auto"/>
        <w:left w:val="none" w:sz="0" w:space="0" w:color="auto"/>
        <w:bottom w:val="none" w:sz="0" w:space="0" w:color="auto"/>
        <w:right w:val="none" w:sz="0" w:space="0" w:color="auto"/>
      </w:divBdr>
    </w:div>
    <w:div w:id="839391098">
      <w:bodyDiv w:val="1"/>
      <w:marLeft w:val="0"/>
      <w:marRight w:val="0"/>
      <w:marTop w:val="0"/>
      <w:marBottom w:val="0"/>
      <w:divBdr>
        <w:top w:val="none" w:sz="0" w:space="0" w:color="auto"/>
        <w:left w:val="none" w:sz="0" w:space="0" w:color="auto"/>
        <w:bottom w:val="none" w:sz="0" w:space="0" w:color="auto"/>
        <w:right w:val="none" w:sz="0" w:space="0" w:color="auto"/>
      </w:divBdr>
    </w:div>
    <w:div w:id="843397551">
      <w:bodyDiv w:val="1"/>
      <w:marLeft w:val="0"/>
      <w:marRight w:val="0"/>
      <w:marTop w:val="0"/>
      <w:marBottom w:val="0"/>
      <w:divBdr>
        <w:top w:val="none" w:sz="0" w:space="0" w:color="auto"/>
        <w:left w:val="none" w:sz="0" w:space="0" w:color="auto"/>
        <w:bottom w:val="none" w:sz="0" w:space="0" w:color="auto"/>
        <w:right w:val="none" w:sz="0" w:space="0" w:color="auto"/>
      </w:divBdr>
    </w:div>
    <w:div w:id="843857346">
      <w:bodyDiv w:val="1"/>
      <w:marLeft w:val="0"/>
      <w:marRight w:val="0"/>
      <w:marTop w:val="0"/>
      <w:marBottom w:val="0"/>
      <w:divBdr>
        <w:top w:val="none" w:sz="0" w:space="0" w:color="auto"/>
        <w:left w:val="none" w:sz="0" w:space="0" w:color="auto"/>
        <w:bottom w:val="none" w:sz="0" w:space="0" w:color="auto"/>
        <w:right w:val="none" w:sz="0" w:space="0" w:color="auto"/>
      </w:divBdr>
    </w:div>
    <w:div w:id="846363577">
      <w:bodyDiv w:val="1"/>
      <w:marLeft w:val="0"/>
      <w:marRight w:val="0"/>
      <w:marTop w:val="0"/>
      <w:marBottom w:val="0"/>
      <w:divBdr>
        <w:top w:val="none" w:sz="0" w:space="0" w:color="auto"/>
        <w:left w:val="none" w:sz="0" w:space="0" w:color="auto"/>
        <w:bottom w:val="none" w:sz="0" w:space="0" w:color="auto"/>
        <w:right w:val="none" w:sz="0" w:space="0" w:color="auto"/>
      </w:divBdr>
    </w:div>
    <w:div w:id="848562615">
      <w:bodyDiv w:val="1"/>
      <w:marLeft w:val="0"/>
      <w:marRight w:val="0"/>
      <w:marTop w:val="0"/>
      <w:marBottom w:val="0"/>
      <w:divBdr>
        <w:top w:val="none" w:sz="0" w:space="0" w:color="auto"/>
        <w:left w:val="none" w:sz="0" w:space="0" w:color="auto"/>
        <w:bottom w:val="none" w:sz="0" w:space="0" w:color="auto"/>
        <w:right w:val="none" w:sz="0" w:space="0" w:color="auto"/>
      </w:divBdr>
    </w:div>
    <w:div w:id="849417052">
      <w:bodyDiv w:val="1"/>
      <w:marLeft w:val="0"/>
      <w:marRight w:val="0"/>
      <w:marTop w:val="0"/>
      <w:marBottom w:val="0"/>
      <w:divBdr>
        <w:top w:val="none" w:sz="0" w:space="0" w:color="auto"/>
        <w:left w:val="none" w:sz="0" w:space="0" w:color="auto"/>
        <w:bottom w:val="none" w:sz="0" w:space="0" w:color="auto"/>
        <w:right w:val="none" w:sz="0" w:space="0" w:color="auto"/>
      </w:divBdr>
    </w:div>
    <w:div w:id="849637690">
      <w:bodyDiv w:val="1"/>
      <w:marLeft w:val="0"/>
      <w:marRight w:val="0"/>
      <w:marTop w:val="0"/>
      <w:marBottom w:val="0"/>
      <w:divBdr>
        <w:top w:val="none" w:sz="0" w:space="0" w:color="auto"/>
        <w:left w:val="none" w:sz="0" w:space="0" w:color="auto"/>
        <w:bottom w:val="none" w:sz="0" w:space="0" w:color="auto"/>
        <w:right w:val="none" w:sz="0" w:space="0" w:color="auto"/>
      </w:divBdr>
    </w:div>
    <w:div w:id="850069293">
      <w:bodyDiv w:val="1"/>
      <w:marLeft w:val="0"/>
      <w:marRight w:val="0"/>
      <w:marTop w:val="0"/>
      <w:marBottom w:val="0"/>
      <w:divBdr>
        <w:top w:val="none" w:sz="0" w:space="0" w:color="auto"/>
        <w:left w:val="none" w:sz="0" w:space="0" w:color="auto"/>
        <w:bottom w:val="none" w:sz="0" w:space="0" w:color="auto"/>
        <w:right w:val="none" w:sz="0" w:space="0" w:color="auto"/>
      </w:divBdr>
    </w:div>
    <w:div w:id="850991730">
      <w:bodyDiv w:val="1"/>
      <w:marLeft w:val="0"/>
      <w:marRight w:val="0"/>
      <w:marTop w:val="0"/>
      <w:marBottom w:val="0"/>
      <w:divBdr>
        <w:top w:val="none" w:sz="0" w:space="0" w:color="auto"/>
        <w:left w:val="none" w:sz="0" w:space="0" w:color="auto"/>
        <w:bottom w:val="none" w:sz="0" w:space="0" w:color="auto"/>
        <w:right w:val="none" w:sz="0" w:space="0" w:color="auto"/>
      </w:divBdr>
    </w:div>
    <w:div w:id="851143301">
      <w:bodyDiv w:val="1"/>
      <w:marLeft w:val="0"/>
      <w:marRight w:val="0"/>
      <w:marTop w:val="0"/>
      <w:marBottom w:val="0"/>
      <w:divBdr>
        <w:top w:val="none" w:sz="0" w:space="0" w:color="auto"/>
        <w:left w:val="none" w:sz="0" w:space="0" w:color="auto"/>
        <w:bottom w:val="none" w:sz="0" w:space="0" w:color="auto"/>
        <w:right w:val="none" w:sz="0" w:space="0" w:color="auto"/>
      </w:divBdr>
    </w:div>
    <w:div w:id="851845842">
      <w:bodyDiv w:val="1"/>
      <w:marLeft w:val="0"/>
      <w:marRight w:val="0"/>
      <w:marTop w:val="0"/>
      <w:marBottom w:val="0"/>
      <w:divBdr>
        <w:top w:val="none" w:sz="0" w:space="0" w:color="auto"/>
        <w:left w:val="none" w:sz="0" w:space="0" w:color="auto"/>
        <w:bottom w:val="none" w:sz="0" w:space="0" w:color="auto"/>
        <w:right w:val="none" w:sz="0" w:space="0" w:color="auto"/>
      </w:divBdr>
    </w:div>
    <w:div w:id="851915190">
      <w:bodyDiv w:val="1"/>
      <w:marLeft w:val="0"/>
      <w:marRight w:val="0"/>
      <w:marTop w:val="0"/>
      <w:marBottom w:val="0"/>
      <w:divBdr>
        <w:top w:val="none" w:sz="0" w:space="0" w:color="auto"/>
        <w:left w:val="none" w:sz="0" w:space="0" w:color="auto"/>
        <w:bottom w:val="none" w:sz="0" w:space="0" w:color="auto"/>
        <w:right w:val="none" w:sz="0" w:space="0" w:color="auto"/>
      </w:divBdr>
    </w:div>
    <w:div w:id="852769574">
      <w:bodyDiv w:val="1"/>
      <w:marLeft w:val="0"/>
      <w:marRight w:val="0"/>
      <w:marTop w:val="0"/>
      <w:marBottom w:val="0"/>
      <w:divBdr>
        <w:top w:val="none" w:sz="0" w:space="0" w:color="auto"/>
        <w:left w:val="none" w:sz="0" w:space="0" w:color="auto"/>
        <w:bottom w:val="none" w:sz="0" w:space="0" w:color="auto"/>
        <w:right w:val="none" w:sz="0" w:space="0" w:color="auto"/>
      </w:divBdr>
    </w:div>
    <w:div w:id="852844121">
      <w:bodyDiv w:val="1"/>
      <w:marLeft w:val="0"/>
      <w:marRight w:val="0"/>
      <w:marTop w:val="0"/>
      <w:marBottom w:val="0"/>
      <w:divBdr>
        <w:top w:val="none" w:sz="0" w:space="0" w:color="auto"/>
        <w:left w:val="none" w:sz="0" w:space="0" w:color="auto"/>
        <w:bottom w:val="none" w:sz="0" w:space="0" w:color="auto"/>
        <w:right w:val="none" w:sz="0" w:space="0" w:color="auto"/>
      </w:divBdr>
    </w:div>
    <w:div w:id="853105758">
      <w:bodyDiv w:val="1"/>
      <w:marLeft w:val="0"/>
      <w:marRight w:val="0"/>
      <w:marTop w:val="0"/>
      <w:marBottom w:val="0"/>
      <w:divBdr>
        <w:top w:val="none" w:sz="0" w:space="0" w:color="auto"/>
        <w:left w:val="none" w:sz="0" w:space="0" w:color="auto"/>
        <w:bottom w:val="none" w:sz="0" w:space="0" w:color="auto"/>
        <w:right w:val="none" w:sz="0" w:space="0" w:color="auto"/>
      </w:divBdr>
    </w:div>
    <w:div w:id="855385003">
      <w:bodyDiv w:val="1"/>
      <w:marLeft w:val="0"/>
      <w:marRight w:val="0"/>
      <w:marTop w:val="0"/>
      <w:marBottom w:val="0"/>
      <w:divBdr>
        <w:top w:val="none" w:sz="0" w:space="0" w:color="auto"/>
        <w:left w:val="none" w:sz="0" w:space="0" w:color="auto"/>
        <w:bottom w:val="none" w:sz="0" w:space="0" w:color="auto"/>
        <w:right w:val="none" w:sz="0" w:space="0" w:color="auto"/>
      </w:divBdr>
    </w:div>
    <w:div w:id="855733900">
      <w:bodyDiv w:val="1"/>
      <w:marLeft w:val="0"/>
      <w:marRight w:val="0"/>
      <w:marTop w:val="0"/>
      <w:marBottom w:val="0"/>
      <w:divBdr>
        <w:top w:val="none" w:sz="0" w:space="0" w:color="auto"/>
        <w:left w:val="none" w:sz="0" w:space="0" w:color="auto"/>
        <w:bottom w:val="none" w:sz="0" w:space="0" w:color="auto"/>
        <w:right w:val="none" w:sz="0" w:space="0" w:color="auto"/>
      </w:divBdr>
    </w:div>
    <w:div w:id="856508425">
      <w:bodyDiv w:val="1"/>
      <w:marLeft w:val="0"/>
      <w:marRight w:val="0"/>
      <w:marTop w:val="0"/>
      <w:marBottom w:val="0"/>
      <w:divBdr>
        <w:top w:val="none" w:sz="0" w:space="0" w:color="auto"/>
        <w:left w:val="none" w:sz="0" w:space="0" w:color="auto"/>
        <w:bottom w:val="none" w:sz="0" w:space="0" w:color="auto"/>
        <w:right w:val="none" w:sz="0" w:space="0" w:color="auto"/>
      </w:divBdr>
    </w:div>
    <w:div w:id="857042150">
      <w:bodyDiv w:val="1"/>
      <w:marLeft w:val="0"/>
      <w:marRight w:val="0"/>
      <w:marTop w:val="0"/>
      <w:marBottom w:val="0"/>
      <w:divBdr>
        <w:top w:val="none" w:sz="0" w:space="0" w:color="auto"/>
        <w:left w:val="none" w:sz="0" w:space="0" w:color="auto"/>
        <w:bottom w:val="none" w:sz="0" w:space="0" w:color="auto"/>
        <w:right w:val="none" w:sz="0" w:space="0" w:color="auto"/>
      </w:divBdr>
    </w:div>
    <w:div w:id="857087885">
      <w:bodyDiv w:val="1"/>
      <w:marLeft w:val="0"/>
      <w:marRight w:val="0"/>
      <w:marTop w:val="0"/>
      <w:marBottom w:val="0"/>
      <w:divBdr>
        <w:top w:val="none" w:sz="0" w:space="0" w:color="auto"/>
        <w:left w:val="none" w:sz="0" w:space="0" w:color="auto"/>
        <w:bottom w:val="none" w:sz="0" w:space="0" w:color="auto"/>
        <w:right w:val="none" w:sz="0" w:space="0" w:color="auto"/>
      </w:divBdr>
    </w:div>
    <w:div w:id="857233435">
      <w:bodyDiv w:val="1"/>
      <w:marLeft w:val="0"/>
      <w:marRight w:val="0"/>
      <w:marTop w:val="0"/>
      <w:marBottom w:val="0"/>
      <w:divBdr>
        <w:top w:val="none" w:sz="0" w:space="0" w:color="auto"/>
        <w:left w:val="none" w:sz="0" w:space="0" w:color="auto"/>
        <w:bottom w:val="none" w:sz="0" w:space="0" w:color="auto"/>
        <w:right w:val="none" w:sz="0" w:space="0" w:color="auto"/>
      </w:divBdr>
    </w:div>
    <w:div w:id="859317013">
      <w:bodyDiv w:val="1"/>
      <w:marLeft w:val="0"/>
      <w:marRight w:val="0"/>
      <w:marTop w:val="0"/>
      <w:marBottom w:val="0"/>
      <w:divBdr>
        <w:top w:val="none" w:sz="0" w:space="0" w:color="auto"/>
        <w:left w:val="none" w:sz="0" w:space="0" w:color="auto"/>
        <w:bottom w:val="none" w:sz="0" w:space="0" w:color="auto"/>
        <w:right w:val="none" w:sz="0" w:space="0" w:color="auto"/>
      </w:divBdr>
    </w:div>
    <w:div w:id="860316158">
      <w:bodyDiv w:val="1"/>
      <w:marLeft w:val="0"/>
      <w:marRight w:val="0"/>
      <w:marTop w:val="0"/>
      <w:marBottom w:val="0"/>
      <w:divBdr>
        <w:top w:val="none" w:sz="0" w:space="0" w:color="auto"/>
        <w:left w:val="none" w:sz="0" w:space="0" w:color="auto"/>
        <w:bottom w:val="none" w:sz="0" w:space="0" w:color="auto"/>
        <w:right w:val="none" w:sz="0" w:space="0" w:color="auto"/>
      </w:divBdr>
    </w:div>
    <w:div w:id="861475603">
      <w:bodyDiv w:val="1"/>
      <w:marLeft w:val="0"/>
      <w:marRight w:val="0"/>
      <w:marTop w:val="0"/>
      <w:marBottom w:val="0"/>
      <w:divBdr>
        <w:top w:val="none" w:sz="0" w:space="0" w:color="auto"/>
        <w:left w:val="none" w:sz="0" w:space="0" w:color="auto"/>
        <w:bottom w:val="none" w:sz="0" w:space="0" w:color="auto"/>
        <w:right w:val="none" w:sz="0" w:space="0" w:color="auto"/>
      </w:divBdr>
    </w:div>
    <w:div w:id="861551144">
      <w:bodyDiv w:val="1"/>
      <w:marLeft w:val="0"/>
      <w:marRight w:val="0"/>
      <w:marTop w:val="0"/>
      <w:marBottom w:val="0"/>
      <w:divBdr>
        <w:top w:val="none" w:sz="0" w:space="0" w:color="auto"/>
        <w:left w:val="none" w:sz="0" w:space="0" w:color="auto"/>
        <w:bottom w:val="none" w:sz="0" w:space="0" w:color="auto"/>
        <w:right w:val="none" w:sz="0" w:space="0" w:color="auto"/>
      </w:divBdr>
    </w:div>
    <w:div w:id="866217890">
      <w:bodyDiv w:val="1"/>
      <w:marLeft w:val="0"/>
      <w:marRight w:val="0"/>
      <w:marTop w:val="0"/>
      <w:marBottom w:val="0"/>
      <w:divBdr>
        <w:top w:val="none" w:sz="0" w:space="0" w:color="auto"/>
        <w:left w:val="none" w:sz="0" w:space="0" w:color="auto"/>
        <w:bottom w:val="none" w:sz="0" w:space="0" w:color="auto"/>
        <w:right w:val="none" w:sz="0" w:space="0" w:color="auto"/>
      </w:divBdr>
    </w:div>
    <w:div w:id="866522300">
      <w:bodyDiv w:val="1"/>
      <w:marLeft w:val="0"/>
      <w:marRight w:val="0"/>
      <w:marTop w:val="0"/>
      <w:marBottom w:val="0"/>
      <w:divBdr>
        <w:top w:val="none" w:sz="0" w:space="0" w:color="auto"/>
        <w:left w:val="none" w:sz="0" w:space="0" w:color="auto"/>
        <w:bottom w:val="none" w:sz="0" w:space="0" w:color="auto"/>
        <w:right w:val="none" w:sz="0" w:space="0" w:color="auto"/>
      </w:divBdr>
    </w:div>
    <w:div w:id="867763865">
      <w:bodyDiv w:val="1"/>
      <w:marLeft w:val="0"/>
      <w:marRight w:val="0"/>
      <w:marTop w:val="0"/>
      <w:marBottom w:val="0"/>
      <w:divBdr>
        <w:top w:val="none" w:sz="0" w:space="0" w:color="auto"/>
        <w:left w:val="none" w:sz="0" w:space="0" w:color="auto"/>
        <w:bottom w:val="none" w:sz="0" w:space="0" w:color="auto"/>
        <w:right w:val="none" w:sz="0" w:space="0" w:color="auto"/>
      </w:divBdr>
    </w:div>
    <w:div w:id="869222624">
      <w:bodyDiv w:val="1"/>
      <w:marLeft w:val="0"/>
      <w:marRight w:val="0"/>
      <w:marTop w:val="0"/>
      <w:marBottom w:val="0"/>
      <w:divBdr>
        <w:top w:val="none" w:sz="0" w:space="0" w:color="auto"/>
        <w:left w:val="none" w:sz="0" w:space="0" w:color="auto"/>
        <w:bottom w:val="none" w:sz="0" w:space="0" w:color="auto"/>
        <w:right w:val="none" w:sz="0" w:space="0" w:color="auto"/>
      </w:divBdr>
    </w:div>
    <w:div w:id="871923157">
      <w:bodyDiv w:val="1"/>
      <w:marLeft w:val="0"/>
      <w:marRight w:val="0"/>
      <w:marTop w:val="0"/>
      <w:marBottom w:val="0"/>
      <w:divBdr>
        <w:top w:val="none" w:sz="0" w:space="0" w:color="auto"/>
        <w:left w:val="none" w:sz="0" w:space="0" w:color="auto"/>
        <w:bottom w:val="none" w:sz="0" w:space="0" w:color="auto"/>
        <w:right w:val="none" w:sz="0" w:space="0" w:color="auto"/>
      </w:divBdr>
    </w:div>
    <w:div w:id="872112467">
      <w:bodyDiv w:val="1"/>
      <w:marLeft w:val="0"/>
      <w:marRight w:val="0"/>
      <w:marTop w:val="0"/>
      <w:marBottom w:val="0"/>
      <w:divBdr>
        <w:top w:val="none" w:sz="0" w:space="0" w:color="auto"/>
        <w:left w:val="none" w:sz="0" w:space="0" w:color="auto"/>
        <w:bottom w:val="none" w:sz="0" w:space="0" w:color="auto"/>
        <w:right w:val="none" w:sz="0" w:space="0" w:color="auto"/>
      </w:divBdr>
    </w:div>
    <w:div w:id="876544130">
      <w:bodyDiv w:val="1"/>
      <w:marLeft w:val="0"/>
      <w:marRight w:val="0"/>
      <w:marTop w:val="0"/>
      <w:marBottom w:val="0"/>
      <w:divBdr>
        <w:top w:val="none" w:sz="0" w:space="0" w:color="auto"/>
        <w:left w:val="none" w:sz="0" w:space="0" w:color="auto"/>
        <w:bottom w:val="none" w:sz="0" w:space="0" w:color="auto"/>
        <w:right w:val="none" w:sz="0" w:space="0" w:color="auto"/>
      </w:divBdr>
    </w:div>
    <w:div w:id="876628211">
      <w:bodyDiv w:val="1"/>
      <w:marLeft w:val="0"/>
      <w:marRight w:val="0"/>
      <w:marTop w:val="0"/>
      <w:marBottom w:val="0"/>
      <w:divBdr>
        <w:top w:val="none" w:sz="0" w:space="0" w:color="auto"/>
        <w:left w:val="none" w:sz="0" w:space="0" w:color="auto"/>
        <w:bottom w:val="none" w:sz="0" w:space="0" w:color="auto"/>
        <w:right w:val="none" w:sz="0" w:space="0" w:color="auto"/>
      </w:divBdr>
    </w:div>
    <w:div w:id="878010182">
      <w:bodyDiv w:val="1"/>
      <w:marLeft w:val="0"/>
      <w:marRight w:val="0"/>
      <w:marTop w:val="0"/>
      <w:marBottom w:val="0"/>
      <w:divBdr>
        <w:top w:val="none" w:sz="0" w:space="0" w:color="auto"/>
        <w:left w:val="none" w:sz="0" w:space="0" w:color="auto"/>
        <w:bottom w:val="none" w:sz="0" w:space="0" w:color="auto"/>
        <w:right w:val="none" w:sz="0" w:space="0" w:color="auto"/>
      </w:divBdr>
    </w:div>
    <w:div w:id="880634791">
      <w:bodyDiv w:val="1"/>
      <w:marLeft w:val="0"/>
      <w:marRight w:val="0"/>
      <w:marTop w:val="0"/>
      <w:marBottom w:val="0"/>
      <w:divBdr>
        <w:top w:val="none" w:sz="0" w:space="0" w:color="auto"/>
        <w:left w:val="none" w:sz="0" w:space="0" w:color="auto"/>
        <w:bottom w:val="none" w:sz="0" w:space="0" w:color="auto"/>
        <w:right w:val="none" w:sz="0" w:space="0" w:color="auto"/>
      </w:divBdr>
    </w:div>
    <w:div w:id="881479238">
      <w:bodyDiv w:val="1"/>
      <w:marLeft w:val="0"/>
      <w:marRight w:val="0"/>
      <w:marTop w:val="0"/>
      <w:marBottom w:val="0"/>
      <w:divBdr>
        <w:top w:val="none" w:sz="0" w:space="0" w:color="auto"/>
        <w:left w:val="none" w:sz="0" w:space="0" w:color="auto"/>
        <w:bottom w:val="none" w:sz="0" w:space="0" w:color="auto"/>
        <w:right w:val="none" w:sz="0" w:space="0" w:color="auto"/>
      </w:divBdr>
    </w:div>
    <w:div w:id="882015960">
      <w:bodyDiv w:val="1"/>
      <w:marLeft w:val="0"/>
      <w:marRight w:val="0"/>
      <w:marTop w:val="0"/>
      <w:marBottom w:val="0"/>
      <w:divBdr>
        <w:top w:val="none" w:sz="0" w:space="0" w:color="auto"/>
        <w:left w:val="none" w:sz="0" w:space="0" w:color="auto"/>
        <w:bottom w:val="none" w:sz="0" w:space="0" w:color="auto"/>
        <w:right w:val="none" w:sz="0" w:space="0" w:color="auto"/>
      </w:divBdr>
    </w:div>
    <w:div w:id="883833967">
      <w:bodyDiv w:val="1"/>
      <w:marLeft w:val="0"/>
      <w:marRight w:val="0"/>
      <w:marTop w:val="0"/>
      <w:marBottom w:val="0"/>
      <w:divBdr>
        <w:top w:val="none" w:sz="0" w:space="0" w:color="auto"/>
        <w:left w:val="none" w:sz="0" w:space="0" w:color="auto"/>
        <w:bottom w:val="none" w:sz="0" w:space="0" w:color="auto"/>
        <w:right w:val="none" w:sz="0" w:space="0" w:color="auto"/>
      </w:divBdr>
    </w:div>
    <w:div w:id="883953237">
      <w:bodyDiv w:val="1"/>
      <w:marLeft w:val="0"/>
      <w:marRight w:val="0"/>
      <w:marTop w:val="0"/>
      <w:marBottom w:val="0"/>
      <w:divBdr>
        <w:top w:val="none" w:sz="0" w:space="0" w:color="auto"/>
        <w:left w:val="none" w:sz="0" w:space="0" w:color="auto"/>
        <w:bottom w:val="none" w:sz="0" w:space="0" w:color="auto"/>
        <w:right w:val="none" w:sz="0" w:space="0" w:color="auto"/>
      </w:divBdr>
    </w:div>
    <w:div w:id="885484497">
      <w:bodyDiv w:val="1"/>
      <w:marLeft w:val="0"/>
      <w:marRight w:val="0"/>
      <w:marTop w:val="0"/>
      <w:marBottom w:val="0"/>
      <w:divBdr>
        <w:top w:val="none" w:sz="0" w:space="0" w:color="auto"/>
        <w:left w:val="none" w:sz="0" w:space="0" w:color="auto"/>
        <w:bottom w:val="none" w:sz="0" w:space="0" w:color="auto"/>
        <w:right w:val="none" w:sz="0" w:space="0" w:color="auto"/>
      </w:divBdr>
    </w:div>
    <w:div w:id="885682323">
      <w:bodyDiv w:val="1"/>
      <w:marLeft w:val="0"/>
      <w:marRight w:val="0"/>
      <w:marTop w:val="0"/>
      <w:marBottom w:val="0"/>
      <w:divBdr>
        <w:top w:val="none" w:sz="0" w:space="0" w:color="auto"/>
        <w:left w:val="none" w:sz="0" w:space="0" w:color="auto"/>
        <w:bottom w:val="none" w:sz="0" w:space="0" w:color="auto"/>
        <w:right w:val="none" w:sz="0" w:space="0" w:color="auto"/>
      </w:divBdr>
    </w:div>
    <w:div w:id="886066903">
      <w:bodyDiv w:val="1"/>
      <w:marLeft w:val="0"/>
      <w:marRight w:val="0"/>
      <w:marTop w:val="0"/>
      <w:marBottom w:val="0"/>
      <w:divBdr>
        <w:top w:val="none" w:sz="0" w:space="0" w:color="auto"/>
        <w:left w:val="none" w:sz="0" w:space="0" w:color="auto"/>
        <w:bottom w:val="none" w:sz="0" w:space="0" w:color="auto"/>
        <w:right w:val="none" w:sz="0" w:space="0" w:color="auto"/>
      </w:divBdr>
    </w:div>
    <w:div w:id="886257126">
      <w:bodyDiv w:val="1"/>
      <w:marLeft w:val="0"/>
      <w:marRight w:val="0"/>
      <w:marTop w:val="0"/>
      <w:marBottom w:val="0"/>
      <w:divBdr>
        <w:top w:val="none" w:sz="0" w:space="0" w:color="auto"/>
        <w:left w:val="none" w:sz="0" w:space="0" w:color="auto"/>
        <w:bottom w:val="none" w:sz="0" w:space="0" w:color="auto"/>
        <w:right w:val="none" w:sz="0" w:space="0" w:color="auto"/>
      </w:divBdr>
    </w:div>
    <w:div w:id="886453648">
      <w:bodyDiv w:val="1"/>
      <w:marLeft w:val="0"/>
      <w:marRight w:val="0"/>
      <w:marTop w:val="0"/>
      <w:marBottom w:val="0"/>
      <w:divBdr>
        <w:top w:val="none" w:sz="0" w:space="0" w:color="auto"/>
        <w:left w:val="none" w:sz="0" w:space="0" w:color="auto"/>
        <w:bottom w:val="none" w:sz="0" w:space="0" w:color="auto"/>
        <w:right w:val="none" w:sz="0" w:space="0" w:color="auto"/>
      </w:divBdr>
    </w:div>
    <w:div w:id="887031489">
      <w:bodyDiv w:val="1"/>
      <w:marLeft w:val="0"/>
      <w:marRight w:val="0"/>
      <w:marTop w:val="0"/>
      <w:marBottom w:val="0"/>
      <w:divBdr>
        <w:top w:val="none" w:sz="0" w:space="0" w:color="auto"/>
        <w:left w:val="none" w:sz="0" w:space="0" w:color="auto"/>
        <w:bottom w:val="none" w:sz="0" w:space="0" w:color="auto"/>
        <w:right w:val="none" w:sz="0" w:space="0" w:color="auto"/>
      </w:divBdr>
    </w:div>
    <w:div w:id="887841528">
      <w:bodyDiv w:val="1"/>
      <w:marLeft w:val="0"/>
      <w:marRight w:val="0"/>
      <w:marTop w:val="0"/>
      <w:marBottom w:val="0"/>
      <w:divBdr>
        <w:top w:val="none" w:sz="0" w:space="0" w:color="auto"/>
        <w:left w:val="none" w:sz="0" w:space="0" w:color="auto"/>
        <w:bottom w:val="none" w:sz="0" w:space="0" w:color="auto"/>
        <w:right w:val="none" w:sz="0" w:space="0" w:color="auto"/>
      </w:divBdr>
    </w:div>
    <w:div w:id="887913021">
      <w:bodyDiv w:val="1"/>
      <w:marLeft w:val="0"/>
      <w:marRight w:val="0"/>
      <w:marTop w:val="0"/>
      <w:marBottom w:val="0"/>
      <w:divBdr>
        <w:top w:val="none" w:sz="0" w:space="0" w:color="auto"/>
        <w:left w:val="none" w:sz="0" w:space="0" w:color="auto"/>
        <w:bottom w:val="none" w:sz="0" w:space="0" w:color="auto"/>
        <w:right w:val="none" w:sz="0" w:space="0" w:color="auto"/>
      </w:divBdr>
    </w:div>
    <w:div w:id="888147157">
      <w:bodyDiv w:val="1"/>
      <w:marLeft w:val="0"/>
      <w:marRight w:val="0"/>
      <w:marTop w:val="0"/>
      <w:marBottom w:val="0"/>
      <w:divBdr>
        <w:top w:val="none" w:sz="0" w:space="0" w:color="auto"/>
        <w:left w:val="none" w:sz="0" w:space="0" w:color="auto"/>
        <w:bottom w:val="none" w:sz="0" w:space="0" w:color="auto"/>
        <w:right w:val="none" w:sz="0" w:space="0" w:color="auto"/>
      </w:divBdr>
    </w:div>
    <w:div w:id="888372000">
      <w:bodyDiv w:val="1"/>
      <w:marLeft w:val="0"/>
      <w:marRight w:val="0"/>
      <w:marTop w:val="0"/>
      <w:marBottom w:val="0"/>
      <w:divBdr>
        <w:top w:val="none" w:sz="0" w:space="0" w:color="auto"/>
        <w:left w:val="none" w:sz="0" w:space="0" w:color="auto"/>
        <w:bottom w:val="none" w:sz="0" w:space="0" w:color="auto"/>
        <w:right w:val="none" w:sz="0" w:space="0" w:color="auto"/>
      </w:divBdr>
    </w:div>
    <w:div w:id="888417337">
      <w:bodyDiv w:val="1"/>
      <w:marLeft w:val="0"/>
      <w:marRight w:val="0"/>
      <w:marTop w:val="0"/>
      <w:marBottom w:val="0"/>
      <w:divBdr>
        <w:top w:val="none" w:sz="0" w:space="0" w:color="auto"/>
        <w:left w:val="none" w:sz="0" w:space="0" w:color="auto"/>
        <w:bottom w:val="none" w:sz="0" w:space="0" w:color="auto"/>
        <w:right w:val="none" w:sz="0" w:space="0" w:color="auto"/>
      </w:divBdr>
    </w:div>
    <w:div w:id="889927592">
      <w:bodyDiv w:val="1"/>
      <w:marLeft w:val="0"/>
      <w:marRight w:val="0"/>
      <w:marTop w:val="0"/>
      <w:marBottom w:val="0"/>
      <w:divBdr>
        <w:top w:val="none" w:sz="0" w:space="0" w:color="auto"/>
        <w:left w:val="none" w:sz="0" w:space="0" w:color="auto"/>
        <w:bottom w:val="none" w:sz="0" w:space="0" w:color="auto"/>
        <w:right w:val="none" w:sz="0" w:space="0" w:color="auto"/>
      </w:divBdr>
    </w:div>
    <w:div w:id="890190465">
      <w:bodyDiv w:val="1"/>
      <w:marLeft w:val="0"/>
      <w:marRight w:val="0"/>
      <w:marTop w:val="0"/>
      <w:marBottom w:val="0"/>
      <w:divBdr>
        <w:top w:val="none" w:sz="0" w:space="0" w:color="auto"/>
        <w:left w:val="none" w:sz="0" w:space="0" w:color="auto"/>
        <w:bottom w:val="none" w:sz="0" w:space="0" w:color="auto"/>
        <w:right w:val="none" w:sz="0" w:space="0" w:color="auto"/>
      </w:divBdr>
    </w:div>
    <w:div w:id="891845650">
      <w:bodyDiv w:val="1"/>
      <w:marLeft w:val="0"/>
      <w:marRight w:val="0"/>
      <w:marTop w:val="0"/>
      <w:marBottom w:val="0"/>
      <w:divBdr>
        <w:top w:val="none" w:sz="0" w:space="0" w:color="auto"/>
        <w:left w:val="none" w:sz="0" w:space="0" w:color="auto"/>
        <w:bottom w:val="none" w:sz="0" w:space="0" w:color="auto"/>
        <w:right w:val="none" w:sz="0" w:space="0" w:color="auto"/>
      </w:divBdr>
    </w:div>
    <w:div w:id="892666684">
      <w:bodyDiv w:val="1"/>
      <w:marLeft w:val="0"/>
      <w:marRight w:val="0"/>
      <w:marTop w:val="0"/>
      <w:marBottom w:val="0"/>
      <w:divBdr>
        <w:top w:val="none" w:sz="0" w:space="0" w:color="auto"/>
        <w:left w:val="none" w:sz="0" w:space="0" w:color="auto"/>
        <w:bottom w:val="none" w:sz="0" w:space="0" w:color="auto"/>
        <w:right w:val="none" w:sz="0" w:space="0" w:color="auto"/>
      </w:divBdr>
    </w:div>
    <w:div w:id="892689941">
      <w:bodyDiv w:val="1"/>
      <w:marLeft w:val="0"/>
      <w:marRight w:val="0"/>
      <w:marTop w:val="0"/>
      <w:marBottom w:val="0"/>
      <w:divBdr>
        <w:top w:val="none" w:sz="0" w:space="0" w:color="auto"/>
        <w:left w:val="none" w:sz="0" w:space="0" w:color="auto"/>
        <w:bottom w:val="none" w:sz="0" w:space="0" w:color="auto"/>
        <w:right w:val="none" w:sz="0" w:space="0" w:color="auto"/>
      </w:divBdr>
    </w:div>
    <w:div w:id="894242800">
      <w:bodyDiv w:val="1"/>
      <w:marLeft w:val="0"/>
      <w:marRight w:val="0"/>
      <w:marTop w:val="0"/>
      <w:marBottom w:val="0"/>
      <w:divBdr>
        <w:top w:val="none" w:sz="0" w:space="0" w:color="auto"/>
        <w:left w:val="none" w:sz="0" w:space="0" w:color="auto"/>
        <w:bottom w:val="none" w:sz="0" w:space="0" w:color="auto"/>
        <w:right w:val="none" w:sz="0" w:space="0" w:color="auto"/>
      </w:divBdr>
    </w:div>
    <w:div w:id="894580500">
      <w:bodyDiv w:val="1"/>
      <w:marLeft w:val="0"/>
      <w:marRight w:val="0"/>
      <w:marTop w:val="0"/>
      <w:marBottom w:val="0"/>
      <w:divBdr>
        <w:top w:val="none" w:sz="0" w:space="0" w:color="auto"/>
        <w:left w:val="none" w:sz="0" w:space="0" w:color="auto"/>
        <w:bottom w:val="none" w:sz="0" w:space="0" w:color="auto"/>
        <w:right w:val="none" w:sz="0" w:space="0" w:color="auto"/>
      </w:divBdr>
    </w:div>
    <w:div w:id="895160858">
      <w:bodyDiv w:val="1"/>
      <w:marLeft w:val="0"/>
      <w:marRight w:val="0"/>
      <w:marTop w:val="0"/>
      <w:marBottom w:val="0"/>
      <w:divBdr>
        <w:top w:val="none" w:sz="0" w:space="0" w:color="auto"/>
        <w:left w:val="none" w:sz="0" w:space="0" w:color="auto"/>
        <w:bottom w:val="none" w:sz="0" w:space="0" w:color="auto"/>
        <w:right w:val="none" w:sz="0" w:space="0" w:color="auto"/>
      </w:divBdr>
    </w:div>
    <w:div w:id="897937702">
      <w:bodyDiv w:val="1"/>
      <w:marLeft w:val="0"/>
      <w:marRight w:val="0"/>
      <w:marTop w:val="0"/>
      <w:marBottom w:val="0"/>
      <w:divBdr>
        <w:top w:val="none" w:sz="0" w:space="0" w:color="auto"/>
        <w:left w:val="none" w:sz="0" w:space="0" w:color="auto"/>
        <w:bottom w:val="none" w:sz="0" w:space="0" w:color="auto"/>
        <w:right w:val="none" w:sz="0" w:space="0" w:color="auto"/>
      </w:divBdr>
    </w:div>
    <w:div w:id="897941308">
      <w:bodyDiv w:val="1"/>
      <w:marLeft w:val="0"/>
      <w:marRight w:val="0"/>
      <w:marTop w:val="0"/>
      <w:marBottom w:val="0"/>
      <w:divBdr>
        <w:top w:val="none" w:sz="0" w:space="0" w:color="auto"/>
        <w:left w:val="none" w:sz="0" w:space="0" w:color="auto"/>
        <w:bottom w:val="none" w:sz="0" w:space="0" w:color="auto"/>
        <w:right w:val="none" w:sz="0" w:space="0" w:color="auto"/>
      </w:divBdr>
    </w:div>
    <w:div w:id="898368273">
      <w:bodyDiv w:val="1"/>
      <w:marLeft w:val="0"/>
      <w:marRight w:val="0"/>
      <w:marTop w:val="0"/>
      <w:marBottom w:val="0"/>
      <w:divBdr>
        <w:top w:val="none" w:sz="0" w:space="0" w:color="auto"/>
        <w:left w:val="none" w:sz="0" w:space="0" w:color="auto"/>
        <w:bottom w:val="none" w:sz="0" w:space="0" w:color="auto"/>
        <w:right w:val="none" w:sz="0" w:space="0" w:color="auto"/>
      </w:divBdr>
    </w:div>
    <w:div w:id="898513124">
      <w:bodyDiv w:val="1"/>
      <w:marLeft w:val="0"/>
      <w:marRight w:val="0"/>
      <w:marTop w:val="0"/>
      <w:marBottom w:val="0"/>
      <w:divBdr>
        <w:top w:val="none" w:sz="0" w:space="0" w:color="auto"/>
        <w:left w:val="none" w:sz="0" w:space="0" w:color="auto"/>
        <w:bottom w:val="none" w:sz="0" w:space="0" w:color="auto"/>
        <w:right w:val="none" w:sz="0" w:space="0" w:color="auto"/>
      </w:divBdr>
    </w:div>
    <w:div w:id="901064888">
      <w:bodyDiv w:val="1"/>
      <w:marLeft w:val="0"/>
      <w:marRight w:val="0"/>
      <w:marTop w:val="0"/>
      <w:marBottom w:val="0"/>
      <w:divBdr>
        <w:top w:val="none" w:sz="0" w:space="0" w:color="auto"/>
        <w:left w:val="none" w:sz="0" w:space="0" w:color="auto"/>
        <w:bottom w:val="none" w:sz="0" w:space="0" w:color="auto"/>
        <w:right w:val="none" w:sz="0" w:space="0" w:color="auto"/>
      </w:divBdr>
    </w:div>
    <w:div w:id="901600523">
      <w:bodyDiv w:val="1"/>
      <w:marLeft w:val="0"/>
      <w:marRight w:val="0"/>
      <w:marTop w:val="0"/>
      <w:marBottom w:val="0"/>
      <w:divBdr>
        <w:top w:val="none" w:sz="0" w:space="0" w:color="auto"/>
        <w:left w:val="none" w:sz="0" w:space="0" w:color="auto"/>
        <w:bottom w:val="none" w:sz="0" w:space="0" w:color="auto"/>
        <w:right w:val="none" w:sz="0" w:space="0" w:color="auto"/>
      </w:divBdr>
    </w:div>
    <w:div w:id="902254395">
      <w:bodyDiv w:val="1"/>
      <w:marLeft w:val="0"/>
      <w:marRight w:val="0"/>
      <w:marTop w:val="0"/>
      <w:marBottom w:val="0"/>
      <w:divBdr>
        <w:top w:val="none" w:sz="0" w:space="0" w:color="auto"/>
        <w:left w:val="none" w:sz="0" w:space="0" w:color="auto"/>
        <w:bottom w:val="none" w:sz="0" w:space="0" w:color="auto"/>
        <w:right w:val="none" w:sz="0" w:space="0" w:color="auto"/>
      </w:divBdr>
    </w:div>
    <w:div w:id="902370514">
      <w:bodyDiv w:val="1"/>
      <w:marLeft w:val="0"/>
      <w:marRight w:val="0"/>
      <w:marTop w:val="0"/>
      <w:marBottom w:val="0"/>
      <w:divBdr>
        <w:top w:val="none" w:sz="0" w:space="0" w:color="auto"/>
        <w:left w:val="none" w:sz="0" w:space="0" w:color="auto"/>
        <w:bottom w:val="none" w:sz="0" w:space="0" w:color="auto"/>
        <w:right w:val="none" w:sz="0" w:space="0" w:color="auto"/>
      </w:divBdr>
    </w:div>
    <w:div w:id="906499117">
      <w:bodyDiv w:val="1"/>
      <w:marLeft w:val="0"/>
      <w:marRight w:val="0"/>
      <w:marTop w:val="0"/>
      <w:marBottom w:val="0"/>
      <w:divBdr>
        <w:top w:val="none" w:sz="0" w:space="0" w:color="auto"/>
        <w:left w:val="none" w:sz="0" w:space="0" w:color="auto"/>
        <w:bottom w:val="none" w:sz="0" w:space="0" w:color="auto"/>
        <w:right w:val="none" w:sz="0" w:space="0" w:color="auto"/>
      </w:divBdr>
    </w:div>
    <w:div w:id="906573312">
      <w:bodyDiv w:val="1"/>
      <w:marLeft w:val="0"/>
      <w:marRight w:val="0"/>
      <w:marTop w:val="0"/>
      <w:marBottom w:val="0"/>
      <w:divBdr>
        <w:top w:val="none" w:sz="0" w:space="0" w:color="auto"/>
        <w:left w:val="none" w:sz="0" w:space="0" w:color="auto"/>
        <w:bottom w:val="none" w:sz="0" w:space="0" w:color="auto"/>
        <w:right w:val="none" w:sz="0" w:space="0" w:color="auto"/>
      </w:divBdr>
    </w:div>
    <w:div w:id="906887798">
      <w:bodyDiv w:val="1"/>
      <w:marLeft w:val="0"/>
      <w:marRight w:val="0"/>
      <w:marTop w:val="0"/>
      <w:marBottom w:val="0"/>
      <w:divBdr>
        <w:top w:val="none" w:sz="0" w:space="0" w:color="auto"/>
        <w:left w:val="none" w:sz="0" w:space="0" w:color="auto"/>
        <w:bottom w:val="none" w:sz="0" w:space="0" w:color="auto"/>
        <w:right w:val="none" w:sz="0" w:space="0" w:color="auto"/>
      </w:divBdr>
    </w:div>
    <w:div w:id="906959962">
      <w:bodyDiv w:val="1"/>
      <w:marLeft w:val="0"/>
      <w:marRight w:val="0"/>
      <w:marTop w:val="0"/>
      <w:marBottom w:val="0"/>
      <w:divBdr>
        <w:top w:val="none" w:sz="0" w:space="0" w:color="auto"/>
        <w:left w:val="none" w:sz="0" w:space="0" w:color="auto"/>
        <w:bottom w:val="none" w:sz="0" w:space="0" w:color="auto"/>
        <w:right w:val="none" w:sz="0" w:space="0" w:color="auto"/>
      </w:divBdr>
    </w:div>
    <w:div w:id="909189977">
      <w:bodyDiv w:val="1"/>
      <w:marLeft w:val="0"/>
      <w:marRight w:val="0"/>
      <w:marTop w:val="0"/>
      <w:marBottom w:val="0"/>
      <w:divBdr>
        <w:top w:val="none" w:sz="0" w:space="0" w:color="auto"/>
        <w:left w:val="none" w:sz="0" w:space="0" w:color="auto"/>
        <w:bottom w:val="none" w:sz="0" w:space="0" w:color="auto"/>
        <w:right w:val="none" w:sz="0" w:space="0" w:color="auto"/>
      </w:divBdr>
    </w:div>
    <w:div w:id="910849330">
      <w:bodyDiv w:val="1"/>
      <w:marLeft w:val="0"/>
      <w:marRight w:val="0"/>
      <w:marTop w:val="0"/>
      <w:marBottom w:val="0"/>
      <w:divBdr>
        <w:top w:val="none" w:sz="0" w:space="0" w:color="auto"/>
        <w:left w:val="none" w:sz="0" w:space="0" w:color="auto"/>
        <w:bottom w:val="none" w:sz="0" w:space="0" w:color="auto"/>
        <w:right w:val="none" w:sz="0" w:space="0" w:color="auto"/>
      </w:divBdr>
    </w:div>
    <w:div w:id="911432107">
      <w:bodyDiv w:val="1"/>
      <w:marLeft w:val="0"/>
      <w:marRight w:val="0"/>
      <w:marTop w:val="0"/>
      <w:marBottom w:val="0"/>
      <w:divBdr>
        <w:top w:val="none" w:sz="0" w:space="0" w:color="auto"/>
        <w:left w:val="none" w:sz="0" w:space="0" w:color="auto"/>
        <w:bottom w:val="none" w:sz="0" w:space="0" w:color="auto"/>
        <w:right w:val="none" w:sz="0" w:space="0" w:color="auto"/>
      </w:divBdr>
    </w:div>
    <w:div w:id="912591222">
      <w:bodyDiv w:val="1"/>
      <w:marLeft w:val="0"/>
      <w:marRight w:val="0"/>
      <w:marTop w:val="0"/>
      <w:marBottom w:val="0"/>
      <w:divBdr>
        <w:top w:val="none" w:sz="0" w:space="0" w:color="auto"/>
        <w:left w:val="none" w:sz="0" w:space="0" w:color="auto"/>
        <w:bottom w:val="none" w:sz="0" w:space="0" w:color="auto"/>
        <w:right w:val="none" w:sz="0" w:space="0" w:color="auto"/>
      </w:divBdr>
    </w:div>
    <w:div w:id="912659128">
      <w:bodyDiv w:val="1"/>
      <w:marLeft w:val="0"/>
      <w:marRight w:val="0"/>
      <w:marTop w:val="0"/>
      <w:marBottom w:val="0"/>
      <w:divBdr>
        <w:top w:val="none" w:sz="0" w:space="0" w:color="auto"/>
        <w:left w:val="none" w:sz="0" w:space="0" w:color="auto"/>
        <w:bottom w:val="none" w:sz="0" w:space="0" w:color="auto"/>
        <w:right w:val="none" w:sz="0" w:space="0" w:color="auto"/>
      </w:divBdr>
    </w:div>
    <w:div w:id="912855622">
      <w:bodyDiv w:val="1"/>
      <w:marLeft w:val="0"/>
      <w:marRight w:val="0"/>
      <w:marTop w:val="0"/>
      <w:marBottom w:val="0"/>
      <w:divBdr>
        <w:top w:val="none" w:sz="0" w:space="0" w:color="auto"/>
        <w:left w:val="none" w:sz="0" w:space="0" w:color="auto"/>
        <w:bottom w:val="none" w:sz="0" w:space="0" w:color="auto"/>
        <w:right w:val="none" w:sz="0" w:space="0" w:color="auto"/>
      </w:divBdr>
    </w:div>
    <w:div w:id="915242141">
      <w:bodyDiv w:val="1"/>
      <w:marLeft w:val="0"/>
      <w:marRight w:val="0"/>
      <w:marTop w:val="0"/>
      <w:marBottom w:val="0"/>
      <w:divBdr>
        <w:top w:val="none" w:sz="0" w:space="0" w:color="auto"/>
        <w:left w:val="none" w:sz="0" w:space="0" w:color="auto"/>
        <w:bottom w:val="none" w:sz="0" w:space="0" w:color="auto"/>
        <w:right w:val="none" w:sz="0" w:space="0" w:color="auto"/>
      </w:divBdr>
    </w:div>
    <w:div w:id="917404364">
      <w:bodyDiv w:val="1"/>
      <w:marLeft w:val="0"/>
      <w:marRight w:val="0"/>
      <w:marTop w:val="0"/>
      <w:marBottom w:val="0"/>
      <w:divBdr>
        <w:top w:val="none" w:sz="0" w:space="0" w:color="auto"/>
        <w:left w:val="none" w:sz="0" w:space="0" w:color="auto"/>
        <w:bottom w:val="none" w:sz="0" w:space="0" w:color="auto"/>
        <w:right w:val="none" w:sz="0" w:space="0" w:color="auto"/>
      </w:divBdr>
    </w:div>
    <w:div w:id="918369905">
      <w:bodyDiv w:val="1"/>
      <w:marLeft w:val="0"/>
      <w:marRight w:val="0"/>
      <w:marTop w:val="0"/>
      <w:marBottom w:val="0"/>
      <w:divBdr>
        <w:top w:val="none" w:sz="0" w:space="0" w:color="auto"/>
        <w:left w:val="none" w:sz="0" w:space="0" w:color="auto"/>
        <w:bottom w:val="none" w:sz="0" w:space="0" w:color="auto"/>
        <w:right w:val="none" w:sz="0" w:space="0" w:color="auto"/>
      </w:divBdr>
    </w:div>
    <w:div w:id="918370631">
      <w:bodyDiv w:val="1"/>
      <w:marLeft w:val="0"/>
      <w:marRight w:val="0"/>
      <w:marTop w:val="0"/>
      <w:marBottom w:val="0"/>
      <w:divBdr>
        <w:top w:val="none" w:sz="0" w:space="0" w:color="auto"/>
        <w:left w:val="none" w:sz="0" w:space="0" w:color="auto"/>
        <w:bottom w:val="none" w:sz="0" w:space="0" w:color="auto"/>
        <w:right w:val="none" w:sz="0" w:space="0" w:color="auto"/>
      </w:divBdr>
    </w:div>
    <w:div w:id="918519452">
      <w:bodyDiv w:val="1"/>
      <w:marLeft w:val="0"/>
      <w:marRight w:val="0"/>
      <w:marTop w:val="0"/>
      <w:marBottom w:val="0"/>
      <w:divBdr>
        <w:top w:val="none" w:sz="0" w:space="0" w:color="auto"/>
        <w:left w:val="none" w:sz="0" w:space="0" w:color="auto"/>
        <w:bottom w:val="none" w:sz="0" w:space="0" w:color="auto"/>
        <w:right w:val="none" w:sz="0" w:space="0" w:color="auto"/>
      </w:divBdr>
    </w:div>
    <w:div w:id="919558334">
      <w:bodyDiv w:val="1"/>
      <w:marLeft w:val="0"/>
      <w:marRight w:val="0"/>
      <w:marTop w:val="0"/>
      <w:marBottom w:val="0"/>
      <w:divBdr>
        <w:top w:val="none" w:sz="0" w:space="0" w:color="auto"/>
        <w:left w:val="none" w:sz="0" w:space="0" w:color="auto"/>
        <w:bottom w:val="none" w:sz="0" w:space="0" w:color="auto"/>
        <w:right w:val="none" w:sz="0" w:space="0" w:color="auto"/>
      </w:divBdr>
    </w:div>
    <w:div w:id="919675997">
      <w:bodyDiv w:val="1"/>
      <w:marLeft w:val="0"/>
      <w:marRight w:val="0"/>
      <w:marTop w:val="0"/>
      <w:marBottom w:val="0"/>
      <w:divBdr>
        <w:top w:val="none" w:sz="0" w:space="0" w:color="auto"/>
        <w:left w:val="none" w:sz="0" w:space="0" w:color="auto"/>
        <w:bottom w:val="none" w:sz="0" w:space="0" w:color="auto"/>
        <w:right w:val="none" w:sz="0" w:space="0" w:color="auto"/>
      </w:divBdr>
    </w:div>
    <w:div w:id="920405418">
      <w:bodyDiv w:val="1"/>
      <w:marLeft w:val="0"/>
      <w:marRight w:val="0"/>
      <w:marTop w:val="0"/>
      <w:marBottom w:val="0"/>
      <w:divBdr>
        <w:top w:val="none" w:sz="0" w:space="0" w:color="auto"/>
        <w:left w:val="none" w:sz="0" w:space="0" w:color="auto"/>
        <w:bottom w:val="none" w:sz="0" w:space="0" w:color="auto"/>
        <w:right w:val="none" w:sz="0" w:space="0" w:color="auto"/>
      </w:divBdr>
    </w:div>
    <w:div w:id="921764367">
      <w:bodyDiv w:val="1"/>
      <w:marLeft w:val="0"/>
      <w:marRight w:val="0"/>
      <w:marTop w:val="0"/>
      <w:marBottom w:val="0"/>
      <w:divBdr>
        <w:top w:val="none" w:sz="0" w:space="0" w:color="auto"/>
        <w:left w:val="none" w:sz="0" w:space="0" w:color="auto"/>
        <w:bottom w:val="none" w:sz="0" w:space="0" w:color="auto"/>
        <w:right w:val="none" w:sz="0" w:space="0" w:color="auto"/>
      </w:divBdr>
    </w:div>
    <w:div w:id="921766881">
      <w:bodyDiv w:val="1"/>
      <w:marLeft w:val="0"/>
      <w:marRight w:val="0"/>
      <w:marTop w:val="0"/>
      <w:marBottom w:val="0"/>
      <w:divBdr>
        <w:top w:val="none" w:sz="0" w:space="0" w:color="auto"/>
        <w:left w:val="none" w:sz="0" w:space="0" w:color="auto"/>
        <w:bottom w:val="none" w:sz="0" w:space="0" w:color="auto"/>
        <w:right w:val="none" w:sz="0" w:space="0" w:color="auto"/>
      </w:divBdr>
    </w:div>
    <w:div w:id="921838279">
      <w:bodyDiv w:val="1"/>
      <w:marLeft w:val="0"/>
      <w:marRight w:val="0"/>
      <w:marTop w:val="0"/>
      <w:marBottom w:val="0"/>
      <w:divBdr>
        <w:top w:val="none" w:sz="0" w:space="0" w:color="auto"/>
        <w:left w:val="none" w:sz="0" w:space="0" w:color="auto"/>
        <w:bottom w:val="none" w:sz="0" w:space="0" w:color="auto"/>
        <w:right w:val="none" w:sz="0" w:space="0" w:color="auto"/>
      </w:divBdr>
    </w:div>
    <w:div w:id="923683614">
      <w:bodyDiv w:val="1"/>
      <w:marLeft w:val="0"/>
      <w:marRight w:val="0"/>
      <w:marTop w:val="0"/>
      <w:marBottom w:val="0"/>
      <w:divBdr>
        <w:top w:val="none" w:sz="0" w:space="0" w:color="auto"/>
        <w:left w:val="none" w:sz="0" w:space="0" w:color="auto"/>
        <w:bottom w:val="none" w:sz="0" w:space="0" w:color="auto"/>
        <w:right w:val="none" w:sz="0" w:space="0" w:color="auto"/>
      </w:divBdr>
    </w:div>
    <w:div w:id="923800922">
      <w:bodyDiv w:val="1"/>
      <w:marLeft w:val="0"/>
      <w:marRight w:val="0"/>
      <w:marTop w:val="0"/>
      <w:marBottom w:val="0"/>
      <w:divBdr>
        <w:top w:val="none" w:sz="0" w:space="0" w:color="auto"/>
        <w:left w:val="none" w:sz="0" w:space="0" w:color="auto"/>
        <w:bottom w:val="none" w:sz="0" w:space="0" w:color="auto"/>
        <w:right w:val="none" w:sz="0" w:space="0" w:color="auto"/>
      </w:divBdr>
    </w:div>
    <w:div w:id="926159397">
      <w:bodyDiv w:val="1"/>
      <w:marLeft w:val="0"/>
      <w:marRight w:val="0"/>
      <w:marTop w:val="0"/>
      <w:marBottom w:val="0"/>
      <w:divBdr>
        <w:top w:val="none" w:sz="0" w:space="0" w:color="auto"/>
        <w:left w:val="none" w:sz="0" w:space="0" w:color="auto"/>
        <w:bottom w:val="none" w:sz="0" w:space="0" w:color="auto"/>
        <w:right w:val="none" w:sz="0" w:space="0" w:color="auto"/>
      </w:divBdr>
    </w:div>
    <w:div w:id="926810510">
      <w:bodyDiv w:val="1"/>
      <w:marLeft w:val="0"/>
      <w:marRight w:val="0"/>
      <w:marTop w:val="0"/>
      <w:marBottom w:val="0"/>
      <w:divBdr>
        <w:top w:val="none" w:sz="0" w:space="0" w:color="auto"/>
        <w:left w:val="none" w:sz="0" w:space="0" w:color="auto"/>
        <w:bottom w:val="none" w:sz="0" w:space="0" w:color="auto"/>
        <w:right w:val="none" w:sz="0" w:space="0" w:color="auto"/>
      </w:divBdr>
    </w:div>
    <w:div w:id="927423160">
      <w:bodyDiv w:val="1"/>
      <w:marLeft w:val="0"/>
      <w:marRight w:val="0"/>
      <w:marTop w:val="0"/>
      <w:marBottom w:val="0"/>
      <w:divBdr>
        <w:top w:val="none" w:sz="0" w:space="0" w:color="auto"/>
        <w:left w:val="none" w:sz="0" w:space="0" w:color="auto"/>
        <w:bottom w:val="none" w:sz="0" w:space="0" w:color="auto"/>
        <w:right w:val="none" w:sz="0" w:space="0" w:color="auto"/>
      </w:divBdr>
    </w:div>
    <w:div w:id="928346881">
      <w:bodyDiv w:val="1"/>
      <w:marLeft w:val="0"/>
      <w:marRight w:val="0"/>
      <w:marTop w:val="0"/>
      <w:marBottom w:val="0"/>
      <w:divBdr>
        <w:top w:val="none" w:sz="0" w:space="0" w:color="auto"/>
        <w:left w:val="none" w:sz="0" w:space="0" w:color="auto"/>
        <w:bottom w:val="none" w:sz="0" w:space="0" w:color="auto"/>
        <w:right w:val="none" w:sz="0" w:space="0" w:color="auto"/>
      </w:divBdr>
    </w:div>
    <w:div w:id="928857096">
      <w:bodyDiv w:val="1"/>
      <w:marLeft w:val="0"/>
      <w:marRight w:val="0"/>
      <w:marTop w:val="0"/>
      <w:marBottom w:val="0"/>
      <w:divBdr>
        <w:top w:val="none" w:sz="0" w:space="0" w:color="auto"/>
        <w:left w:val="none" w:sz="0" w:space="0" w:color="auto"/>
        <w:bottom w:val="none" w:sz="0" w:space="0" w:color="auto"/>
        <w:right w:val="none" w:sz="0" w:space="0" w:color="auto"/>
      </w:divBdr>
    </w:div>
    <w:div w:id="928930907">
      <w:bodyDiv w:val="1"/>
      <w:marLeft w:val="0"/>
      <w:marRight w:val="0"/>
      <w:marTop w:val="0"/>
      <w:marBottom w:val="0"/>
      <w:divBdr>
        <w:top w:val="none" w:sz="0" w:space="0" w:color="auto"/>
        <w:left w:val="none" w:sz="0" w:space="0" w:color="auto"/>
        <w:bottom w:val="none" w:sz="0" w:space="0" w:color="auto"/>
        <w:right w:val="none" w:sz="0" w:space="0" w:color="auto"/>
      </w:divBdr>
    </w:div>
    <w:div w:id="929243059">
      <w:bodyDiv w:val="1"/>
      <w:marLeft w:val="0"/>
      <w:marRight w:val="0"/>
      <w:marTop w:val="0"/>
      <w:marBottom w:val="0"/>
      <w:divBdr>
        <w:top w:val="none" w:sz="0" w:space="0" w:color="auto"/>
        <w:left w:val="none" w:sz="0" w:space="0" w:color="auto"/>
        <w:bottom w:val="none" w:sz="0" w:space="0" w:color="auto"/>
        <w:right w:val="none" w:sz="0" w:space="0" w:color="auto"/>
      </w:divBdr>
    </w:div>
    <w:div w:id="929319135">
      <w:bodyDiv w:val="1"/>
      <w:marLeft w:val="0"/>
      <w:marRight w:val="0"/>
      <w:marTop w:val="0"/>
      <w:marBottom w:val="0"/>
      <w:divBdr>
        <w:top w:val="none" w:sz="0" w:space="0" w:color="auto"/>
        <w:left w:val="none" w:sz="0" w:space="0" w:color="auto"/>
        <w:bottom w:val="none" w:sz="0" w:space="0" w:color="auto"/>
        <w:right w:val="none" w:sz="0" w:space="0" w:color="auto"/>
      </w:divBdr>
    </w:div>
    <w:div w:id="930357202">
      <w:bodyDiv w:val="1"/>
      <w:marLeft w:val="0"/>
      <w:marRight w:val="0"/>
      <w:marTop w:val="0"/>
      <w:marBottom w:val="0"/>
      <w:divBdr>
        <w:top w:val="none" w:sz="0" w:space="0" w:color="auto"/>
        <w:left w:val="none" w:sz="0" w:space="0" w:color="auto"/>
        <w:bottom w:val="none" w:sz="0" w:space="0" w:color="auto"/>
        <w:right w:val="none" w:sz="0" w:space="0" w:color="auto"/>
      </w:divBdr>
    </w:div>
    <w:div w:id="934485614">
      <w:bodyDiv w:val="1"/>
      <w:marLeft w:val="0"/>
      <w:marRight w:val="0"/>
      <w:marTop w:val="0"/>
      <w:marBottom w:val="0"/>
      <w:divBdr>
        <w:top w:val="none" w:sz="0" w:space="0" w:color="auto"/>
        <w:left w:val="none" w:sz="0" w:space="0" w:color="auto"/>
        <w:bottom w:val="none" w:sz="0" w:space="0" w:color="auto"/>
        <w:right w:val="none" w:sz="0" w:space="0" w:color="auto"/>
      </w:divBdr>
    </w:div>
    <w:div w:id="936987248">
      <w:bodyDiv w:val="1"/>
      <w:marLeft w:val="0"/>
      <w:marRight w:val="0"/>
      <w:marTop w:val="0"/>
      <w:marBottom w:val="0"/>
      <w:divBdr>
        <w:top w:val="none" w:sz="0" w:space="0" w:color="auto"/>
        <w:left w:val="none" w:sz="0" w:space="0" w:color="auto"/>
        <w:bottom w:val="none" w:sz="0" w:space="0" w:color="auto"/>
        <w:right w:val="none" w:sz="0" w:space="0" w:color="auto"/>
      </w:divBdr>
    </w:div>
    <w:div w:id="937180836">
      <w:bodyDiv w:val="1"/>
      <w:marLeft w:val="0"/>
      <w:marRight w:val="0"/>
      <w:marTop w:val="0"/>
      <w:marBottom w:val="0"/>
      <w:divBdr>
        <w:top w:val="none" w:sz="0" w:space="0" w:color="auto"/>
        <w:left w:val="none" w:sz="0" w:space="0" w:color="auto"/>
        <w:bottom w:val="none" w:sz="0" w:space="0" w:color="auto"/>
        <w:right w:val="none" w:sz="0" w:space="0" w:color="auto"/>
      </w:divBdr>
    </w:div>
    <w:div w:id="937524941">
      <w:bodyDiv w:val="1"/>
      <w:marLeft w:val="0"/>
      <w:marRight w:val="0"/>
      <w:marTop w:val="0"/>
      <w:marBottom w:val="0"/>
      <w:divBdr>
        <w:top w:val="none" w:sz="0" w:space="0" w:color="auto"/>
        <w:left w:val="none" w:sz="0" w:space="0" w:color="auto"/>
        <w:bottom w:val="none" w:sz="0" w:space="0" w:color="auto"/>
        <w:right w:val="none" w:sz="0" w:space="0" w:color="auto"/>
      </w:divBdr>
    </w:div>
    <w:div w:id="937981641">
      <w:bodyDiv w:val="1"/>
      <w:marLeft w:val="0"/>
      <w:marRight w:val="0"/>
      <w:marTop w:val="0"/>
      <w:marBottom w:val="0"/>
      <w:divBdr>
        <w:top w:val="none" w:sz="0" w:space="0" w:color="auto"/>
        <w:left w:val="none" w:sz="0" w:space="0" w:color="auto"/>
        <w:bottom w:val="none" w:sz="0" w:space="0" w:color="auto"/>
        <w:right w:val="none" w:sz="0" w:space="0" w:color="auto"/>
      </w:divBdr>
    </w:div>
    <w:div w:id="940380407">
      <w:bodyDiv w:val="1"/>
      <w:marLeft w:val="0"/>
      <w:marRight w:val="0"/>
      <w:marTop w:val="0"/>
      <w:marBottom w:val="0"/>
      <w:divBdr>
        <w:top w:val="none" w:sz="0" w:space="0" w:color="auto"/>
        <w:left w:val="none" w:sz="0" w:space="0" w:color="auto"/>
        <w:bottom w:val="none" w:sz="0" w:space="0" w:color="auto"/>
        <w:right w:val="none" w:sz="0" w:space="0" w:color="auto"/>
      </w:divBdr>
    </w:div>
    <w:div w:id="940722631">
      <w:bodyDiv w:val="1"/>
      <w:marLeft w:val="0"/>
      <w:marRight w:val="0"/>
      <w:marTop w:val="0"/>
      <w:marBottom w:val="0"/>
      <w:divBdr>
        <w:top w:val="none" w:sz="0" w:space="0" w:color="auto"/>
        <w:left w:val="none" w:sz="0" w:space="0" w:color="auto"/>
        <w:bottom w:val="none" w:sz="0" w:space="0" w:color="auto"/>
        <w:right w:val="none" w:sz="0" w:space="0" w:color="auto"/>
      </w:divBdr>
    </w:div>
    <w:div w:id="942036525">
      <w:bodyDiv w:val="1"/>
      <w:marLeft w:val="0"/>
      <w:marRight w:val="0"/>
      <w:marTop w:val="0"/>
      <w:marBottom w:val="0"/>
      <w:divBdr>
        <w:top w:val="none" w:sz="0" w:space="0" w:color="auto"/>
        <w:left w:val="none" w:sz="0" w:space="0" w:color="auto"/>
        <w:bottom w:val="none" w:sz="0" w:space="0" w:color="auto"/>
        <w:right w:val="none" w:sz="0" w:space="0" w:color="auto"/>
      </w:divBdr>
    </w:div>
    <w:div w:id="942423820">
      <w:bodyDiv w:val="1"/>
      <w:marLeft w:val="0"/>
      <w:marRight w:val="0"/>
      <w:marTop w:val="0"/>
      <w:marBottom w:val="0"/>
      <w:divBdr>
        <w:top w:val="none" w:sz="0" w:space="0" w:color="auto"/>
        <w:left w:val="none" w:sz="0" w:space="0" w:color="auto"/>
        <w:bottom w:val="none" w:sz="0" w:space="0" w:color="auto"/>
        <w:right w:val="none" w:sz="0" w:space="0" w:color="auto"/>
      </w:divBdr>
    </w:div>
    <w:div w:id="943653507">
      <w:bodyDiv w:val="1"/>
      <w:marLeft w:val="0"/>
      <w:marRight w:val="0"/>
      <w:marTop w:val="0"/>
      <w:marBottom w:val="0"/>
      <w:divBdr>
        <w:top w:val="none" w:sz="0" w:space="0" w:color="auto"/>
        <w:left w:val="none" w:sz="0" w:space="0" w:color="auto"/>
        <w:bottom w:val="none" w:sz="0" w:space="0" w:color="auto"/>
        <w:right w:val="none" w:sz="0" w:space="0" w:color="auto"/>
      </w:divBdr>
    </w:div>
    <w:div w:id="943729740">
      <w:bodyDiv w:val="1"/>
      <w:marLeft w:val="0"/>
      <w:marRight w:val="0"/>
      <w:marTop w:val="0"/>
      <w:marBottom w:val="0"/>
      <w:divBdr>
        <w:top w:val="none" w:sz="0" w:space="0" w:color="auto"/>
        <w:left w:val="none" w:sz="0" w:space="0" w:color="auto"/>
        <w:bottom w:val="none" w:sz="0" w:space="0" w:color="auto"/>
        <w:right w:val="none" w:sz="0" w:space="0" w:color="auto"/>
      </w:divBdr>
    </w:div>
    <w:div w:id="944505658">
      <w:bodyDiv w:val="1"/>
      <w:marLeft w:val="0"/>
      <w:marRight w:val="0"/>
      <w:marTop w:val="0"/>
      <w:marBottom w:val="0"/>
      <w:divBdr>
        <w:top w:val="none" w:sz="0" w:space="0" w:color="auto"/>
        <w:left w:val="none" w:sz="0" w:space="0" w:color="auto"/>
        <w:bottom w:val="none" w:sz="0" w:space="0" w:color="auto"/>
        <w:right w:val="none" w:sz="0" w:space="0" w:color="auto"/>
      </w:divBdr>
    </w:div>
    <w:div w:id="948240916">
      <w:bodyDiv w:val="1"/>
      <w:marLeft w:val="0"/>
      <w:marRight w:val="0"/>
      <w:marTop w:val="0"/>
      <w:marBottom w:val="0"/>
      <w:divBdr>
        <w:top w:val="none" w:sz="0" w:space="0" w:color="auto"/>
        <w:left w:val="none" w:sz="0" w:space="0" w:color="auto"/>
        <w:bottom w:val="none" w:sz="0" w:space="0" w:color="auto"/>
        <w:right w:val="none" w:sz="0" w:space="0" w:color="auto"/>
      </w:divBdr>
    </w:div>
    <w:div w:id="948315034">
      <w:bodyDiv w:val="1"/>
      <w:marLeft w:val="0"/>
      <w:marRight w:val="0"/>
      <w:marTop w:val="0"/>
      <w:marBottom w:val="0"/>
      <w:divBdr>
        <w:top w:val="none" w:sz="0" w:space="0" w:color="auto"/>
        <w:left w:val="none" w:sz="0" w:space="0" w:color="auto"/>
        <w:bottom w:val="none" w:sz="0" w:space="0" w:color="auto"/>
        <w:right w:val="none" w:sz="0" w:space="0" w:color="auto"/>
      </w:divBdr>
    </w:div>
    <w:div w:id="948465003">
      <w:bodyDiv w:val="1"/>
      <w:marLeft w:val="0"/>
      <w:marRight w:val="0"/>
      <w:marTop w:val="0"/>
      <w:marBottom w:val="0"/>
      <w:divBdr>
        <w:top w:val="none" w:sz="0" w:space="0" w:color="auto"/>
        <w:left w:val="none" w:sz="0" w:space="0" w:color="auto"/>
        <w:bottom w:val="none" w:sz="0" w:space="0" w:color="auto"/>
        <w:right w:val="none" w:sz="0" w:space="0" w:color="auto"/>
      </w:divBdr>
    </w:div>
    <w:div w:id="948585295">
      <w:bodyDiv w:val="1"/>
      <w:marLeft w:val="0"/>
      <w:marRight w:val="0"/>
      <w:marTop w:val="0"/>
      <w:marBottom w:val="0"/>
      <w:divBdr>
        <w:top w:val="none" w:sz="0" w:space="0" w:color="auto"/>
        <w:left w:val="none" w:sz="0" w:space="0" w:color="auto"/>
        <w:bottom w:val="none" w:sz="0" w:space="0" w:color="auto"/>
        <w:right w:val="none" w:sz="0" w:space="0" w:color="auto"/>
      </w:divBdr>
    </w:div>
    <w:div w:id="948855501">
      <w:bodyDiv w:val="1"/>
      <w:marLeft w:val="0"/>
      <w:marRight w:val="0"/>
      <w:marTop w:val="0"/>
      <w:marBottom w:val="0"/>
      <w:divBdr>
        <w:top w:val="none" w:sz="0" w:space="0" w:color="auto"/>
        <w:left w:val="none" w:sz="0" w:space="0" w:color="auto"/>
        <w:bottom w:val="none" w:sz="0" w:space="0" w:color="auto"/>
        <w:right w:val="none" w:sz="0" w:space="0" w:color="auto"/>
      </w:divBdr>
    </w:div>
    <w:div w:id="949236396">
      <w:bodyDiv w:val="1"/>
      <w:marLeft w:val="0"/>
      <w:marRight w:val="0"/>
      <w:marTop w:val="0"/>
      <w:marBottom w:val="0"/>
      <w:divBdr>
        <w:top w:val="none" w:sz="0" w:space="0" w:color="auto"/>
        <w:left w:val="none" w:sz="0" w:space="0" w:color="auto"/>
        <w:bottom w:val="none" w:sz="0" w:space="0" w:color="auto"/>
        <w:right w:val="none" w:sz="0" w:space="0" w:color="auto"/>
      </w:divBdr>
    </w:div>
    <w:div w:id="949627212">
      <w:bodyDiv w:val="1"/>
      <w:marLeft w:val="0"/>
      <w:marRight w:val="0"/>
      <w:marTop w:val="0"/>
      <w:marBottom w:val="0"/>
      <w:divBdr>
        <w:top w:val="none" w:sz="0" w:space="0" w:color="auto"/>
        <w:left w:val="none" w:sz="0" w:space="0" w:color="auto"/>
        <w:bottom w:val="none" w:sz="0" w:space="0" w:color="auto"/>
        <w:right w:val="none" w:sz="0" w:space="0" w:color="auto"/>
      </w:divBdr>
    </w:div>
    <w:div w:id="951982470">
      <w:bodyDiv w:val="1"/>
      <w:marLeft w:val="0"/>
      <w:marRight w:val="0"/>
      <w:marTop w:val="0"/>
      <w:marBottom w:val="0"/>
      <w:divBdr>
        <w:top w:val="none" w:sz="0" w:space="0" w:color="auto"/>
        <w:left w:val="none" w:sz="0" w:space="0" w:color="auto"/>
        <w:bottom w:val="none" w:sz="0" w:space="0" w:color="auto"/>
        <w:right w:val="none" w:sz="0" w:space="0" w:color="auto"/>
      </w:divBdr>
    </w:div>
    <w:div w:id="952252555">
      <w:bodyDiv w:val="1"/>
      <w:marLeft w:val="0"/>
      <w:marRight w:val="0"/>
      <w:marTop w:val="0"/>
      <w:marBottom w:val="0"/>
      <w:divBdr>
        <w:top w:val="none" w:sz="0" w:space="0" w:color="auto"/>
        <w:left w:val="none" w:sz="0" w:space="0" w:color="auto"/>
        <w:bottom w:val="none" w:sz="0" w:space="0" w:color="auto"/>
        <w:right w:val="none" w:sz="0" w:space="0" w:color="auto"/>
      </w:divBdr>
    </w:div>
    <w:div w:id="954094646">
      <w:bodyDiv w:val="1"/>
      <w:marLeft w:val="0"/>
      <w:marRight w:val="0"/>
      <w:marTop w:val="0"/>
      <w:marBottom w:val="0"/>
      <w:divBdr>
        <w:top w:val="none" w:sz="0" w:space="0" w:color="auto"/>
        <w:left w:val="none" w:sz="0" w:space="0" w:color="auto"/>
        <w:bottom w:val="none" w:sz="0" w:space="0" w:color="auto"/>
        <w:right w:val="none" w:sz="0" w:space="0" w:color="auto"/>
      </w:divBdr>
    </w:div>
    <w:div w:id="954752725">
      <w:bodyDiv w:val="1"/>
      <w:marLeft w:val="0"/>
      <w:marRight w:val="0"/>
      <w:marTop w:val="0"/>
      <w:marBottom w:val="0"/>
      <w:divBdr>
        <w:top w:val="none" w:sz="0" w:space="0" w:color="auto"/>
        <w:left w:val="none" w:sz="0" w:space="0" w:color="auto"/>
        <w:bottom w:val="none" w:sz="0" w:space="0" w:color="auto"/>
        <w:right w:val="none" w:sz="0" w:space="0" w:color="auto"/>
      </w:divBdr>
    </w:div>
    <w:div w:id="954826709">
      <w:bodyDiv w:val="1"/>
      <w:marLeft w:val="0"/>
      <w:marRight w:val="0"/>
      <w:marTop w:val="0"/>
      <w:marBottom w:val="0"/>
      <w:divBdr>
        <w:top w:val="none" w:sz="0" w:space="0" w:color="auto"/>
        <w:left w:val="none" w:sz="0" w:space="0" w:color="auto"/>
        <w:bottom w:val="none" w:sz="0" w:space="0" w:color="auto"/>
        <w:right w:val="none" w:sz="0" w:space="0" w:color="auto"/>
      </w:divBdr>
    </w:div>
    <w:div w:id="955793001">
      <w:bodyDiv w:val="1"/>
      <w:marLeft w:val="0"/>
      <w:marRight w:val="0"/>
      <w:marTop w:val="0"/>
      <w:marBottom w:val="0"/>
      <w:divBdr>
        <w:top w:val="none" w:sz="0" w:space="0" w:color="auto"/>
        <w:left w:val="none" w:sz="0" w:space="0" w:color="auto"/>
        <w:bottom w:val="none" w:sz="0" w:space="0" w:color="auto"/>
        <w:right w:val="none" w:sz="0" w:space="0" w:color="auto"/>
      </w:divBdr>
    </w:div>
    <w:div w:id="956760236">
      <w:bodyDiv w:val="1"/>
      <w:marLeft w:val="0"/>
      <w:marRight w:val="0"/>
      <w:marTop w:val="0"/>
      <w:marBottom w:val="0"/>
      <w:divBdr>
        <w:top w:val="none" w:sz="0" w:space="0" w:color="auto"/>
        <w:left w:val="none" w:sz="0" w:space="0" w:color="auto"/>
        <w:bottom w:val="none" w:sz="0" w:space="0" w:color="auto"/>
        <w:right w:val="none" w:sz="0" w:space="0" w:color="auto"/>
      </w:divBdr>
    </w:div>
    <w:div w:id="957949854">
      <w:bodyDiv w:val="1"/>
      <w:marLeft w:val="0"/>
      <w:marRight w:val="0"/>
      <w:marTop w:val="0"/>
      <w:marBottom w:val="0"/>
      <w:divBdr>
        <w:top w:val="none" w:sz="0" w:space="0" w:color="auto"/>
        <w:left w:val="none" w:sz="0" w:space="0" w:color="auto"/>
        <w:bottom w:val="none" w:sz="0" w:space="0" w:color="auto"/>
        <w:right w:val="none" w:sz="0" w:space="0" w:color="auto"/>
      </w:divBdr>
    </w:div>
    <w:div w:id="958922974">
      <w:bodyDiv w:val="1"/>
      <w:marLeft w:val="0"/>
      <w:marRight w:val="0"/>
      <w:marTop w:val="0"/>
      <w:marBottom w:val="0"/>
      <w:divBdr>
        <w:top w:val="none" w:sz="0" w:space="0" w:color="auto"/>
        <w:left w:val="none" w:sz="0" w:space="0" w:color="auto"/>
        <w:bottom w:val="none" w:sz="0" w:space="0" w:color="auto"/>
        <w:right w:val="none" w:sz="0" w:space="0" w:color="auto"/>
      </w:divBdr>
    </w:div>
    <w:div w:id="959341409">
      <w:bodyDiv w:val="1"/>
      <w:marLeft w:val="0"/>
      <w:marRight w:val="0"/>
      <w:marTop w:val="0"/>
      <w:marBottom w:val="0"/>
      <w:divBdr>
        <w:top w:val="none" w:sz="0" w:space="0" w:color="auto"/>
        <w:left w:val="none" w:sz="0" w:space="0" w:color="auto"/>
        <w:bottom w:val="none" w:sz="0" w:space="0" w:color="auto"/>
        <w:right w:val="none" w:sz="0" w:space="0" w:color="auto"/>
      </w:divBdr>
    </w:div>
    <w:div w:id="959534503">
      <w:bodyDiv w:val="1"/>
      <w:marLeft w:val="0"/>
      <w:marRight w:val="0"/>
      <w:marTop w:val="0"/>
      <w:marBottom w:val="0"/>
      <w:divBdr>
        <w:top w:val="none" w:sz="0" w:space="0" w:color="auto"/>
        <w:left w:val="none" w:sz="0" w:space="0" w:color="auto"/>
        <w:bottom w:val="none" w:sz="0" w:space="0" w:color="auto"/>
        <w:right w:val="none" w:sz="0" w:space="0" w:color="auto"/>
      </w:divBdr>
      <w:divsChild>
        <w:div w:id="179242823">
          <w:marLeft w:val="0"/>
          <w:marRight w:val="0"/>
          <w:marTop w:val="144"/>
          <w:marBottom w:val="144"/>
          <w:divBdr>
            <w:top w:val="none" w:sz="0" w:space="0" w:color="auto"/>
            <w:left w:val="none" w:sz="0" w:space="0" w:color="auto"/>
            <w:bottom w:val="none" w:sz="0" w:space="0" w:color="auto"/>
            <w:right w:val="none" w:sz="0" w:space="0" w:color="auto"/>
          </w:divBdr>
        </w:div>
      </w:divsChild>
    </w:div>
    <w:div w:id="960771608">
      <w:bodyDiv w:val="1"/>
      <w:marLeft w:val="0"/>
      <w:marRight w:val="0"/>
      <w:marTop w:val="0"/>
      <w:marBottom w:val="0"/>
      <w:divBdr>
        <w:top w:val="none" w:sz="0" w:space="0" w:color="auto"/>
        <w:left w:val="none" w:sz="0" w:space="0" w:color="auto"/>
        <w:bottom w:val="none" w:sz="0" w:space="0" w:color="auto"/>
        <w:right w:val="none" w:sz="0" w:space="0" w:color="auto"/>
      </w:divBdr>
    </w:div>
    <w:div w:id="960957715">
      <w:bodyDiv w:val="1"/>
      <w:marLeft w:val="0"/>
      <w:marRight w:val="0"/>
      <w:marTop w:val="0"/>
      <w:marBottom w:val="0"/>
      <w:divBdr>
        <w:top w:val="none" w:sz="0" w:space="0" w:color="auto"/>
        <w:left w:val="none" w:sz="0" w:space="0" w:color="auto"/>
        <w:bottom w:val="none" w:sz="0" w:space="0" w:color="auto"/>
        <w:right w:val="none" w:sz="0" w:space="0" w:color="auto"/>
      </w:divBdr>
    </w:div>
    <w:div w:id="962350286">
      <w:bodyDiv w:val="1"/>
      <w:marLeft w:val="0"/>
      <w:marRight w:val="0"/>
      <w:marTop w:val="0"/>
      <w:marBottom w:val="0"/>
      <w:divBdr>
        <w:top w:val="none" w:sz="0" w:space="0" w:color="auto"/>
        <w:left w:val="none" w:sz="0" w:space="0" w:color="auto"/>
        <w:bottom w:val="none" w:sz="0" w:space="0" w:color="auto"/>
        <w:right w:val="none" w:sz="0" w:space="0" w:color="auto"/>
      </w:divBdr>
    </w:div>
    <w:div w:id="963345046">
      <w:bodyDiv w:val="1"/>
      <w:marLeft w:val="0"/>
      <w:marRight w:val="0"/>
      <w:marTop w:val="0"/>
      <w:marBottom w:val="0"/>
      <w:divBdr>
        <w:top w:val="none" w:sz="0" w:space="0" w:color="auto"/>
        <w:left w:val="none" w:sz="0" w:space="0" w:color="auto"/>
        <w:bottom w:val="none" w:sz="0" w:space="0" w:color="auto"/>
        <w:right w:val="none" w:sz="0" w:space="0" w:color="auto"/>
      </w:divBdr>
    </w:div>
    <w:div w:id="964846331">
      <w:bodyDiv w:val="1"/>
      <w:marLeft w:val="0"/>
      <w:marRight w:val="0"/>
      <w:marTop w:val="0"/>
      <w:marBottom w:val="0"/>
      <w:divBdr>
        <w:top w:val="none" w:sz="0" w:space="0" w:color="auto"/>
        <w:left w:val="none" w:sz="0" w:space="0" w:color="auto"/>
        <w:bottom w:val="none" w:sz="0" w:space="0" w:color="auto"/>
        <w:right w:val="none" w:sz="0" w:space="0" w:color="auto"/>
      </w:divBdr>
    </w:div>
    <w:div w:id="965430099">
      <w:bodyDiv w:val="1"/>
      <w:marLeft w:val="0"/>
      <w:marRight w:val="0"/>
      <w:marTop w:val="0"/>
      <w:marBottom w:val="0"/>
      <w:divBdr>
        <w:top w:val="none" w:sz="0" w:space="0" w:color="auto"/>
        <w:left w:val="none" w:sz="0" w:space="0" w:color="auto"/>
        <w:bottom w:val="none" w:sz="0" w:space="0" w:color="auto"/>
        <w:right w:val="none" w:sz="0" w:space="0" w:color="auto"/>
      </w:divBdr>
    </w:div>
    <w:div w:id="965625699">
      <w:bodyDiv w:val="1"/>
      <w:marLeft w:val="0"/>
      <w:marRight w:val="0"/>
      <w:marTop w:val="0"/>
      <w:marBottom w:val="0"/>
      <w:divBdr>
        <w:top w:val="none" w:sz="0" w:space="0" w:color="auto"/>
        <w:left w:val="none" w:sz="0" w:space="0" w:color="auto"/>
        <w:bottom w:val="none" w:sz="0" w:space="0" w:color="auto"/>
        <w:right w:val="none" w:sz="0" w:space="0" w:color="auto"/>
      </w:divBdr>
    </w:div>
    <w:div w:id="966547432">
      <w:bodyDiv w:val="1"/>
      <w:marLeft w:val="0"/>
      <w:marRight w:val="0"/>
      <w:marTop w:val="0"/>
      <w:marBottom w:val="0"/>
      <w:divBdr>
        <w:top w:val="none" w:sz="0" w:space="0" w:color="auto"/>
        <w:left w:val="none" w:sz="0" w:space="0" w:color="auto"/>
        <w:bottom w:val="none" w:sz="0" w:space="0" w:color="auto"/>
        <w:right w:val="none" w:sz="0" w:space="0" w:color="auto"/>
      </w:divBdr>
    </w:div>
    <w:div w:id="967860378">
      <w:bodyDiv w:val="1"/>
      <w:marLeft w:val="0"/>
      <w:marRight w:val="0"/>
      <w:marTop w:val="0"/>
      <w:marBottom w:val="0"/>
      <w:divBdr>
        <w:top w:val="none" w:sz="0" w:space="0" w:color="auto"/>
        <w:left w:val="none" w:sz="0" w:space="0" w:color="auto"/>
        <w:bottom w:val="none" w:sz="0" w:space="0" w:color="auto"/>
        <w:right w:val="none" w:sz="0" w:space="0" w:color="auto"/>
      </w:divBdr>
    </w:div>
    <w:div w:id="968125804">
      <w:bodyDiv w:val="1"/>
      <w:marLeft w:val="0"/>
      <w:marRight w:val="0"/>
      <w:marTop w:val="0"/>
      <w:marBottom w:val="0"/>
      <w:divBdr>
        <w:top w:val="none" w:sz="0" w:space="0" w:color="auto"/>
        <w:left w:val="none" w:sz="0" w:space="0" w:color="auto"/>
        <w:bottom w:val="none" w:sz="0" w:space="0" w:color="auto"/>
        <w:right w:val="none" w:sz="0" w:space="0" w:color="auto"/>
      </w:divBdr>
    </w:div>
    <w:div w:id="970862933">
      <w:bodyDiv w:val="1"/>
      <w:marLeft w:val="0"/>
      <w:marRight w:val="0"/>
      <w:marTop w:val="0"/>
      <w:marBottom w:val="0"/>
      <w:divBdr>
        <w:top w:val="none" w:sz="0" w:space="0" w:color="auto"/>
        <w:left w:val="none" w:sz="0" w:space="0" w:color="auto"/>
        <w:bottom w:val="none" w:sz="0" w:space="0" w:color="auto"/>
        <w:right w:val="none" w:sz="0" w:space="0" w:color="auto"/>
      </w:divBdr>
    </w:div>
    <w:div w:id="971013935">
      <w:bodyDiv w:val="1"/>
      <w:marLeft w:val="0"/>
      <w:marRight w:val="0"/>
      <w:marTop w:val="0"/>
      <w:marBottom w:val="0"/>
      <w:divBdr>
        <w:top w:val="none" w:sz="0" w:space="0" w:color="auto"/>
        <w:left w:val="none" w:sz="0" w:space="0" w:color="auto"/>
        <w:bottom w:val="none" w:sz="0" w:space="0" w:color="auto"/>
        <w:right w:val="none" w:sz="0" w:space="0" w:color="auto"/>
      </w:divBdr>
    </w:div>
    <w:div w:id="971329419">
      <w:bodyDiv w:val="1"/>
      <w:marLeft w:val="0"/>
      <w:marRight w:val="0"/>
      <w:marTop w:val="0"/>
      <w:marBottom w:val="0"/>
      <w:divBdr>
        <w:top w:val="none" w:sz="0" w:space="0" w:color="auto"/>
        <w:left w:val="none" w:sz="0" w:space="0" w:color="auto"/>
        <w:bottom w:val="none" w:sz="0" w:space="0" w:color="auto"/>
        <w:right w:val="none" w:sz="0" w:space="0" w:color="auto"/>
      </w:divBdr>
    </w:div>
    <w:div w:id="972901437">
      <w:bodyDiv w:val="1"/>
      <w:marLeft w:val="0"/>
      <w:marRight w:val="0"/>
      <w:marTop w:val="0"/>
      <w:marBottom w:val="0"/>
      <w:divBdr>
        <w:top w:val="none" w:sz="0" w:space="0" w:color="auto"/>
        <w:left w:val="none" w:sz="0" w:space="0" w:color="auto"/>
        <w:bottom w:val="none" w:sz="0" w:space="0" w:color="auto"/>
        <w:right w:val="none" w:sz="0" w:space="0" w:color="auto"/>
      </w:divBdr>
    </w:div>
    <w:div w:id="973101300">
      <w:bodyDiv w:val="1"/>
      <w:marLeft w:val="0"/>
      <w:marRight w:val="0"/>
      <w:marTop w:val="0"/>
      <w:marBottom w:val="0"/>
      <w:divBdr>
        <w:top w:val="none" w:sz="0" w:space="0" w:color="auto"/>
        <w:left w:val="none" w:sz="0" w:space="0" w:color="auto"/>
        <w:bottom w:val="none" w:sz="0" w:space="0" w:color="auto"/>
        <w:right w:val="none" w:sz="0" w:space="0" w:color="auto"/>
      </w:divBdr>
    </w:div>
    <w:div w:id="974486456">
      <w:bodyDiv w:val="1"/>
      <w:marLeft w:val="0"/>
      <w:marRight w:val="0"/>
      <w:marTop w:val="0"/>
      <w:marBottom w:val="0"/>
      <w:divBdr>
        <w:top w:val="none" w:sz="0" w:space="0" w:color="auto"/>
        <w:left w:val="none" w:sz="0" w:space="0" w:color="auto"/>
        <w:bottom w:val="none" w:sz="0" w:space="0" w:color="auto"/>
        <w:right w:val="none" w:sz="0" w:space="0" w:color="auto"/>
      </w:divBdr>
    </w:div>
    <w:div w:id="975404717">
      <w:bodyDiv w:val="1"/>
      <w:marLeft w:val="0"/>
      <w:marRight w:val="0"/>
      <w:marTop w:val="0"/>
      <w:marBottom w:val="0"/>
      <w:divBdr>
        <w:top w:val="none" w:sz="0" w:space="0" w:color="auto"/>
        <w:left w:val="none" w:sz="0" w:space="0" w:color="auto"/>
        <w:bottom w:val="none" w:sz="0" w:space="0" w:color="auto"/>
        <w:right w:val="none" w:sz="0" w:space="0" w:color="auto"/>
      </w:divBdr>
    </w:div>
    <w:div w:id="975447962">
      <w:bodyDiv w:val="1"/>
      <w:marLeft w:val="0"/>
      <w:marRight w:val="0"/>
      <w:marTop w:val="0"/>
      <w:marBottom w:val="0"/>
      <w:divBdr>
        <w:top w:val="none" w:sz="0" w:space="0" w:color="auto"/>
        <w:left w:val="none" w:sz="0" w:space="0" w:color="auto"/>
        <w:bottom w:val="none" w:sz="0" w:space="0" w:color="auto"/>
        <w:right w:val="none" w:sz="0" w:space="0" w:color="auto"/>
      </w:divBdr>
    </w:div>
    <w:div w:id="975720666">
      <w:bodyDiv w:val="1"/>
      <w:marLeft w:val="0"/>
      <w:marRight w:val="0"/>
      <w:marTop w:val="0"/>
      <w:marBottom w:val="0"/>
      <w:divBdr>
        <w:top w:val="none" w:sz="0" w:space="0" w:color="auto"/>
        <w:left w:val="none" w:sz="0" w:space="0" w:color="auto"/>
        <w:bottom w:val="none" w:sz="0" w:space="0" w:color="auto"/>
        <w:right w:val="none" w:sz="0" w:space="0" w:color="auto"/>
      </w:divBdr>
    </w:div>
    <w:div w:id="975917943">
      <w:bodyDiv w:val="1"/>
      <w:marLeft w:val="0"/>
      <w:marRight w:val="0"/>
      <w:marTop w:val="0"/>
      <w:marBottom w:val="0"/>
      <w:divBdr>
        <w:top w:val="none" w:sz="0" w:space="0" w:color="auto"/>
        <w:left w:val="none" w:sz="0" w:space="0" w:color="auto"/>
        <w:bottom w:val="none" w:sz="0" w:space="0" w:color="auto"/>
        <w:right w:val="none" w:sz="0" w:space="0" w:color="auto"/>
      </w:divBdr>
    </w:div>
    <w:div w:id="976184313">
      <w:bodyDiv w:val="1"/>
      <w:marLeft w:val="0"/>
      <w:marRight w:val="0"/>
      <w:marTop w:val="0"/>
      <w:marBottom w:val="0"/>
      <w:divBdr>
        <w:top w:val="none" w:sz="0" w:space="0" w:color="auto"/>
        <w:left w:val="none" w:sz="0" w:space="0" w:color="auto"/>
        <w:bottom w:val="none" w:sz="0" w:space="0" w:color="auto"/>
        <w:right w:val="none" w:sz="0" w:space="0" w:color="auto"/>
      </w:divBdr>
    </w:div>
    <w:div w:id="977297404">
      <w:bodyDiv w:val="1"/>
      <w:marLeft w:val="0"/>
      <w:marRight w:val="0"/>
      <w:marTop w:val="0"/>
      <w:marBottom w:val="0"/>
      <w:divBdr>
        <w:top w:val="none" w:sz="0" w:space="0" w:color="auto"/>
        <w:left w:val="none" w:sz="0" w:space="0" w:color="auto"/>
        <w:bottom w:val="none" w:sz="0" w:space="0" w:color="auto"/>
        <w:right w:val="none" w:sz="0" w:space="0" w:color="auto"/>
      </w:divBdr>
    </w:div>
    <w:div w:id="977346337">
      <w:bodyDiv w:val="1"/>
      <w:marLeft w:val="0"/>
      <w:marRight w:val="0"/>
      <w:marTop w:val="0"/>
      <w:marBottom w:val="0"/>
      <w:divBdr>
        <w:top w:val="none" w:sz="0" w:space="0" w:color="auto"/>
        <w:left w:val="none" w:sz="0" w:space="0" w:color="auto"/>
        <w:bottom w:val="none" w:sz="0" w:space="0" w:color="auto"/>
        <w:right w:val="none" w:sz="0" w:space="0" w:color="auto"/>
      </w:divBdr>
    </w:div>
    <w:div w:id="977493683">
      <w:bodyDiv w:val="1"/>
      <w:marLeft w:val="0"/>
      <w:marRight w:val="0"/>
      <w:marTop w:val="0"/>
      <w:marBottom w:val="0"/>
      <w:divBdr>
        <w:top w:val="none" w:sz="0" w:space="0" w:color="auto"/>
        <w:left w:val="none" w:sz="0" w:space="0" w:color="auto"/>
        <w:bottom w:val="none" w:sz="0" w:space="0" w:color="auto"/>
        <w:right w:val="none" w:sz="0" w:space="0" w:color="auto"/>
      </w:divBdr>
    </w:div>
    <w:div w:id="979071758">
      <w:bodyDiv w:val="1"/>
      <w:marLeft w:val="0"/>
      <w:marRight w:val="0"/>
      <w:marTop w:val="0"/>
      <w:marBottom w:val="0"/>
      <w:divBdr>
        <w:top w:val="none" w:sz="0" w:space="0" w:color="auto"/>
        <w:left w:val="none" w:sz="0" w:space="0" w:color="auto"/>
        <w:bottom w:val="none" w:sz="0" w:space="0" w:color="auto"/>
        <w:right w:val="none" w:sz="0" w:space="0" w:color="auto"/>
      </w:divBdr>
    </w:div>
    <w:div w:id="979655032">
      <w:bodyDiv w:val="1"/>
      <w:marLeft w:val="0"/>
      <w:marRight w:val="0"/>
      <w:marTop w:val="0"/>
      <w:marBottom w:val="0"/>
      <w:divBdr>
        <w:top w:val="none" w:sz="0" w:space="0" w:color="auto"/>
        <w:left w:val="none" w:sz="0" w:space="0" w:color="auto"/>
        <w:bottom w:val="none" w:sz="0" w:space="0" w:color="auto"/>
        <w:right w:val="none" w:sz="0" w:space="0" w:color="auto"/>
      </w:divBdr>
    </w:div>
    <w:div w:id="979916191">
      <w:bodyDiv w:val="1"/>
      <w:marLeft w:val="0"/>
      <w:marRight w:val="0"/>
      <w:marTop w:val="0"/>
      <w:marBottom w:val="0"/>
      <w:divBdr>
        <w:top w:val="none" w:sz="0" w:space="0" w:color="auto"/>
        <w:left w:val="none" w:sz="0" w:space="0" w:color="auto"/>
        <w:bottom w:val="none" w:sz="0" w:space="0" w:color="auto"/>
        <w:right w:val="none" w:sz="0" w:space="0" w:color="auto"/>
      </w:divBdr>
    </w:div>
    <w:div w:id="980770486">
      <w:bodyDiv w:val="1"/>
      <w:marLeft w:val="0"/>
      <w:marRight w:val="0"/>
      <w:marTop w:val="0"/>
      <w:marBottom w:val="0"/>
      <w:divBdr>
        <w:top w:val="none" w:sz="0" w:space="0" w:color="auto"/>
        <w:left w:val="none" w:sz="0" w:space="0" w:color="auto"/>
        <w:bottom w:val="none" w:sz="0" w:space="0" w:color="auto"/>
        <w:right w:val="none" w:sz="0" w:space="0" w:color="auto"/>
      </w:divBdr>
    </w:div>
    <w:div w:id="981813648">
      <w:bodyDiv w:val="1"/>
      <w:marLeft w:val="0"/>
      <w:marRight w:val="0"/>
      <w:marTop w:val="0"/>
      <w:marBottom w:val="0"/>
      <w:divBdr>
        <w:top w:val="none" w:sz="0" w:space="0" w:color="auto"/>
        <w:left w:val="none" w:sz="0" w:space="0" w:color="auto"/>
        <w:bottom w:val="none" w:sz="0" w:space="0" w:color="auto"/>
        <w:right w:val="none" w:sz="0" w:space="0" w:color="auto"/>
      </w:divBdr>
    </w:div>
    <w:div w:id="982275224">
      <w:bodyDiv w:val="1"/>
      <w:marLeft w:val="0"/>
      <w:marRight w:val="0"/>
      <w:marTop w:val="0"/>
      <w:marBottom w:val="0"/>
      <w:divBdr>
        <w:top w:val="none" w:sz="0" w:space="0" w:color="auto"/>
        <w:left w:val="none" w:sz="0" w:space="0" w:color="auto"/>
        <w:bottom w:val="none" w:sz="0" w:space="0" w:color="auto"/>
        <w:right w:val="none" w:sz="0" w:space="0" w:color="auto"/>
      </w:divBdr>
    </w:div>
    <w:div w:id="983117100">
      <w:bodyDiv w:val="1"/>
      <w:marLeft w:val="0"/>
      <w:marRight w:val="0"/>
      <w:marTop w:val="0"/>
      <w:marBottom w:val="0"/>
      <w:divBdr>
        <w:top w:val="none" w:sz="0" w:space="0" w:color="auto"/>
        <w:left w:val="none" w:sz="0" w:space="0" w:color="auto"/>
        <w:bottom w:val="none" w:sz="0" w:space="0" w:color="auto"/>
        <w:right w:val="none" w:sz="0" w:space="0" w:color="auto"/>
      </w:divBdr>
    </w:div>
    <w:div w:id="983435417">
      <w:bodyDiv w:val="1"/>
      <w:marLeft w:val="0"/>
      <w:marRight w:val="0"/>
      <w:marTop w:val="0"/>
      <w:marBottom w:val="0"/>
      <w:divBdr>
        <w:top w:val="none" w:sz="0" w:space="0" w:color="auto"/>
        <w:left w:val="none" w:sz="0" w:space="0" w:color="auto"/>
        <w:bottom w:val="none" w:sz="0" w:space="0" w:color="auto"/>
        <w:right w:val="none" w:sz="0" w:space="0" w:color="auto"/>
      </w:divBdr>
    </w:div>
    <w:div w:id="984629172">
      <w:bodyDiv w:val="1"/>
      <w:marLeft w:val="0"/>
      <w:marRight w:val="0"/>
      <w:marTop w:val="0"/>
      <w:marBottom w:val="0"/>
      <w:divBdr>
        <w:top w:val="none" w:sz="0" w:space="0" w:color="auto"/>
        <w:left w:val="none" w:sz="0" w:space="0" w:color="auto"/>
        <w:bottom w:val="none" w:sz="0" w:space="0" w:color="auto"/>
        <w:right w:val="none" w:sz="0" w:space="0" w:color="auto"/>
      </w:divBdr>
    </w:div>
    <w:div w:id="985356432">
      <w:bodyDiv w:val="1"/>
      <w:marLeft w:val="0"/>
      <w:marRight w:val="0"/>
      <w:marTop w:val="0"/>
      <w:marBottom w:val="0"/>
      <w:divBdr>
        <w:top w:val="none" w:sz="0" w:space="0" w:color="auto"/>
        <w:left w:val="none" w:sz="0" w:space="0" w:color="auto"/>
        <w:bottom w:val="none" w:sz="0" w:space="0" w:color="auto"/>
        <w:right w:val="none" w:sz="0" w:space="0" w:color="auto"/>
      </w:divBdr>
    </w:div>
    <w:div w:id="985545602">
      <w:bodyDiv w:val="1"/>
      <w:marLeft w:val="0"/>
      <w:marRight w:val="0"/>
      <w:marTop w:val="0"/>
      <w:marBottom w:val="0"/>
      <w:divBdr>
        <w:top w:val="none" w:sz="0" w:space="0" w:color="auto"/>
        <w:left w:val="none" w:sz="0" w:space="0" w:color="auto"/>
        <w:bottom w:val="none" w:sz="0" w:space="0" w:color="auto"/>
        <w:right w:val="none" w:sz="0" w:space="0" w:color="auto"/>
      </w:divBdr>
    </w:div>
    <w:div w:id="987054937">
      <w:bodyDiv w:val="1"/>
      <w:marLeft w:val="0"/>
      <w:marRight w:val="0"/>
      <w:marTop w:val="0"/>
      <w:marBottom w:val="0"/>
      <w:divBdr>
        <w:top w:val="none" w:sz="0" w:space="0" w:color="auto"/>
        <w:left w:val="none" w:sz="0" w:space="0" w:color="auto"/>
        <w:bottom w:val="none" w:sz="0" w:space="0" w:color="auto"/>
        <w:right w:val="none" w:sz="0" w:space="0" w:color="auto"/>
      </w:divBdr>
    </w:div>
    <w:div w:id="987511350">
      <w:bodyDiv w:val="1"/>
      <w:marLeft w:val="0"/>
      <w:marRight w:val="0"/>
      <w:marTop w:val="0"/>
      <w:marBottom w:val="0"/>
      <w:divBdr>
        <w:top w:val="none" w:sz="0" w:space="0" w:color="auto"/>
        <w:left w:val="none" w:sz="0" w:space="0" w:color="auto"/>
        <w:bottom w:val="none" w:sz="0" w:space="0" w:color="auto"/>
        <w:right w:val="none" w:sz="0" w:space="0" w:color="auto"/>
      </w:divBdr>
    </w:div>
    <w:div w:id="989092772">
      <w:bodyDiv w:val="1"/>
      <w:marLeft w:val="0"/>
      <w:marRight w:val="0"/>
      <w:marTop w:val="0"/>
      <w:marBottom w:val="0"/>
      <w:divBdr>
        <w:top w:val="none" w:sz="0" w:space="0" w:color="auto"/>
        <w:left w:val="none" w:sz="0" w:space="0" w:color="auto"/>
        <w:bottom w:val="none" w:sz="0" w:space="0" w:color="auto"/>
        <w:right w:val="none" w:sz="0" w:space="0" w:color="auto"/>
      </w:divBdr>
    </w:div>
    <w:div w:id="989674797">
      <w:bodyDiv w:val="1"/>
      <w:marLeft w:val="0"/>
      <w:marRight w:val="0"/>
      <w:marTop w:val="0"/>
      <w:marBottom w:val="0"/>
      <w:divBdr>
        <w:top w:val="none" w:sz="0" w:space="0" w:color="auto"/>
        <w:left w:val="none" w:sz="0" w:space="0" w:color="auto"/>
        <w:bottom w:val="none" w:sz="0" w:space="0" w:color="auto"/>
        <w:right w:val="none" w:sz="0" w:space="0" w:color="auto"/>
      </w:divBdr>
    </w:div>
    <w:div w:id="990016264">
      <w:bodyDiv w:val="1"/>
      <w:marLeft w:val="0"/>
      <w:marRight w:val="0"/>
      <w:marTop w:val="0"/>
      <w:marBottom w:val="0"/>
      <w:divBdr>
        <w:top w:val="none" w:sz="0" w:space="0" w:color="auto"/>
        <w:left w:val="none" w:sz="0" w:space="0" w:color="auto"/>
        <w:bottom w:val="none" w:sz="0" w:space="0" w:color="auto"/>
        <w:right w:val="none" w:sz="0" w:space="0" w:color="auto"/>
      </w:divBdr>
    </w:div>
    <w:div w:id="990325367">
      <w:bodyDiv w:val="1"/>
      <w:marLeft w:val="0"/>
      <w:marRight w:val="0"/>
      <w:marTop w:val="0"/>
      <w:marBottom w:val="0"/>
      <w:divBdr>
        <w:top w:val="none" w:sz="0" w:space="0" w:color="auto"/>
        <w:left w:val="none" w:sz="0" w:space="0" w:color="auto"/>
        <w:bottom w:val="none" w:sz="0" w:space="0" w:color="auto"/>
        <w:right w:val="none" w:sz="0" w:space="0" w:color="auto"/>
      </w:divBdr>
    </w:div>
    <w:div w:id="991637487">
      <w:bodyDiv w:val="1"/>
      <w:marLeft w:val="0"/>
      <w:marRight w:val="0"/>
      <w:marTop w:val="0"/>
      <w:marBottom w:val="0"/>
      <w:divBdr>
        <w:top w:val="none" w:sz="0" w:space="0" w:color="auto"/>
        <w:left w:val="none" w:sz="0" w:space="0" w:color="auto"/>
        <w:bottom w:val="none" w:sz="0" w:space="0" w:color="auto"/>
        <w:right w:val="none" w:sz="0" w:space="0" w:color="auto"/>
      </w:divBdr>
    </w:div>
    <w:div w:id="991757749">
      <w:bodyDiv w:val="1"/>
      <w:marLeft w:val="0"/>
      <w:marRight w:val="0"/>
      <w:marTop w:val="0"/>
      <w:marBottom w:val="0"/>
      <w:divBdr>
        <w:top w:val="none" w:sz="0" w:space="0" w:color="auto"/>
        <w:left w:val="none" w:sz="0" w:space="0" w:color="auto"/>
        <w:bottom w:val="none" w:sz="0" w:space="0" w:color="auto"/>
        <w:right w:val="none" w:sz="0" w:space="0" w:color="auto"/>
      </w:divBdr>
    </w:div>
    <w:div w:id="992022076">
      <w:bodyDiv w:val="1"/>
      <w:marLeft w:val="0"/>
      <w:marRight w:val="0"/>
      <w:marTop w:val="0"/>
      <w:marBottom w:val="0"/>
      <w:divBdr>
        <w:top w:val="none" w:sz="0" w:space="0" w:color="auto"/>
        <w:left w:val="none" w:sz="0" w:space="0" w:color="auto"/>
        <w:bottom w:val="none" w:sz="0" w:space="0" w:color="auto"/>
        <w:right w:val="none" w:sz="0" w:space="0" w:color="auto"/>
      </w:divBdr>
    </w:div>
    <w:div w:id="992947666">
      <w:bodyDiv w:val="1"/>
      <w:marLeft w:val="0"/>
      <w:marRight w:val="0"/>
      <w:marTop w:val="0"/>
      <w:marBottom w:val="0"/>
      <w:divBdr>
        <w:top w:val="none" w:sz="0" w:space="0" w:color="auto"/>
        <w:left w:val="none" w:sz="0" w:space="0" w:color="auto"/>
        <w:bottom w:val="none" w:sz="0" w:space="0" w:color="auto"/>
        <w:right w:val="none" w:sz="0" w:space="0" w:color="auto"/>
      </w:divBdr>
    </w:div>
    <w:div w:id="994455509">
      <w:bodyDiv w:val="1"/>
      <w:marLeft w:val="0"/>
      <w:marRight w:val="0"/>
      <w:marTop w:val="0"/>
      <w:marBottom w:val="0"/>
      <w:divBdr>
        <w:top w:val="none" w:sz="0" w:space="0" w:color="auto"/>
        <w:left w:val="none" w:sz="0" w:space="0" w:color="auto"/>
        <w:bottom w:val="none" w:sz="0" w:space="0" w:color="auto"/>
        <w:right w:val="none" w:sz="0" w:space="0" w:color="auto"/>
      </w:divBdr>
    </w:div>
    <w:div w:id="994799190">
      <w:bodyDiv w:val="1"/>
      <w:marLeft w:val="0"/>
      <w:marRight w:val="0"/>
      <w:marTop w:val="0"/>
      <w:marBottom w:val="0"/>
      <w:divBdr>
        <w:top w:val="none" w:sz="0" w:space="0" w:color="auto"/>
        <w:left w:val="none" w:sz="0" w:space="0" w:color="auto"/>
        <w:bottom w:val="none" w:sz="0" w:space="0" w:color="auto"/>
        <w:right w:val="none" w:sz="0" w:space="0" w:color="auto"/>
      </w:divBdr>
    </w:div>
    <w:div w:id="994920717">
      <w:bodyDiv w:val="1"/>
      <w:marLeft w:val="0"/>
      <w:marRight w:val="0"/>
      <w:marTop w:val="0"/>
      <w:marBottom w:val="0"/>
      <w:divBdr>
        <w:top w:val="none" w:sz="0" w:space="0" w:color="auto"/>
        <w:left w:val="none" w:sz="0" w:space="0" w:color="auto"/>
        <w:bottom w:val="none" w:sz="0" w:space="0" w:color="auto"/>
        <w:right w:val="none" w:sz="0" w:space="0" w:color="auto"/>
      </w:divBdr>
    </w:div>
    <w:div w:id="996302618">
      <w:bodyDiv w:val="1"/>
      <w:marLeft w:val="0"/>
      <w:marRight w:val="0"/>
      <w:marTop w:val="0"/>
      <w:marBottom w:val="0"/>
      <w:divBdr>
        <w:top w:val="none" w:sz="0" w:space="0" w:color="auto"/>
        <w:left w:val="none" w:sz="0" w:space="0" w:color="auto"/>
        <w:bottom w:val="none" w:sz="0" w:space="0" w:color="auto"/>
        <w:right w:val="none" w:sz="0" w:space="0" w:color="auto"/>
      </w:divBdr>
    </w:div>
    <w:div w:id="1001928922">
      <w:bodyDiv w:val="1"/>
      <w:marLeft w:val="0"/>
      <w:marRight w:val="0"/>
      <w:marTop w:val="0"/>
      <w:marBottom w:val="0"/>
      <w:divBdr>
        <w:top w:val="none" w:sz="0" w:space="0" w:color="auto"/>
        <w:left w:val="none" w:sz="0" w:space="0" w:color="auto"/>
        <w:bottom w:val="none" w:sz="0" w:space="0" w:color="auto"/>
        <w:right w:val="none" w:sz="0" w:space="0" w:color="auto"/>
      </w:divBdr>
    </w:div>
    <w:div w:id="1004555663">
      <w:bodyDiv w:val="1"/>
      <w:marLeft w:val="0"/>
      <w:marRight w:val="0"/>
      <w:marTop w:val="0"/>
      <w:marBottom w:val="0"/>
      <w:divBdr>
        <w:top w:val="none" w:sz="0" w:space="0" w:color="auto"/>
        <w:left w:val="none" w:sz="0" w:space="0" w:color="auto"/>
        <w:bottom w:val="none" w:sz="0" w:space="0" w:color="auto"/>
        <w:right w:val="none" w:sz="0" w:space="0" w:color="auto"/>
      </w:divBdr>
    </w:div>
    <w:div w:id="1006054156">
      <w:bodyDiv w:val="1"/>
      <w:marLeft w:val="0"/>
      <w:marRight w:val="0"/>
      <w:marTop w:val="0"/>
      <w:marBottom w:val="0"/>
      <w:divBdr>
        <w:top w:val="none" w:sz="0" w:space="0" w:color="auto"/>
        <w:left w:val="none" w:sz="0" w:space="0" w:color="auto"/>
        <w:bottom w:val="none" w:sz="0" w:space="0" w:color="auto"/>
        <w:right w:val="none" w:sz="0" w:space="0" w:color="auto"/>
      </w:divBdr>
    </w:div>
    <w:div w:id="1006252424">
      <w:bodyDiv w:val="1"/>
      <w:marLeft w:val="0"/>
      <w:marRight w:val="0"/>
      <w:marTop w:val="0"/>
      <w:marBottom w:val="0"/>
      <w:divBdr>
        <w:top w:val="none" w:sz="0" w:space="0" w:color="auto"/>
        <w:left w:val="none" w:sz="0" w:space="0" w:color="auto"/>
        <w:bottom w:val="none" w:sz="0" w:space="0" w:color="auto"/>
        <w:right w:val="none" w:sz="0" w:space="0" w:color="auto"/>
      </w:divBdr>
    </w:div>
    <w:div w:id="1007102905">
      <w:bodyDiv w:val="1"/>
      <w:marLeft w:val="0"/>
      <w:marRight w:val="0"/>
      <w:marTop w:val="0"/>
      <w:marBottom w:val="0"/>
      <w:divBdr>
        <w:top w:val="none" w:sz="0" w:space="0" w:color="auto"/>
        <w:left w:val="none" w:sz="0" w:space="0" w:color="auto"/>
        <w:bottom w:val="none" w:sz="0" w:space="0" w:color="auto"/>
        <w:right w:val="none" w:sz="0" w:space="0" w:color="auto"/>
      </w:divBdr>
    </w:div>
    <w:div w:id="1007517192">
      <w:bodyDiv w:val="1"/>
      <w:marLeft w:val="0"/>
      <w:marRight w:val="0"/>
      <w:marTop w:val="0"/>
      <w:marBottom w:val="0"/>
      <w:divBdr>
        <w:top w:val="none" w:sz="0" w:space="0" w:color="auto"/>
        <w:left w:val="none" w:sz="0" w:space="0" w:color="auto"/>
        <w:bottom w:val="none" w:sz="0" w:space="0" w:color="auto"/>
        <w:right w:val="none" w:sz="0" w:space="0" w:color="auto"/>
      </w:divBdr>
    </w:div>
    <w:div w:id="1008141514">
      <w:bodyDiv w:val="1"/>
      <w:marLeft w:val="0"/>
      <w:marRight w:val="0"/>
      <w:marTop w:val="0"/>
      <w:marBottom w:val="0"/>
      <w:divBdr>
        <w:top w:val="none" w:sz="0" w:space="0" w:color="auto"/>
        <w:left w:val="none" w:sz="0" w:space="0" w:color="auto"/>
        <w:bottom w:val="none" w:sz="0" w:space="0" w:color="auto"/>
        <w:right w:val="none" w:sz="0" w:space="0" w:color="auto"/>
      </w:divBdr>
    </w:div>
    <w:div w:id="1009216177">
      <w:bodyDiv w:val="1"/>
      <w:marLeft w:val="0"/>
      <w:marRight w:val="0"/>
      <w:marTop w:val="0"/>
      <w:marBottom w:val="0"/>
      <w:divBdr>
        <w:top w:val="none" w:sz="0" w:space="0" w:color="auto"/>
        <w:left w:val="none" w:sz="0" w:space="0" w:color="auto"/>
        <w:bottom w:val="none" w:sz="0" w:space="0" w:color="auto"/>
        <w:right w:val="none" w:sz="0" w:space="0" w:color="auto"/>
      </w:divBdr>
    </w:div>
    <w:div w:id="1010718905">
      <w:bodyDiv w:val="1"/>
      <w:marLeft w:val="0"/>
      <w:marRight w:val="0"/>
      <w:marTop w:val="0"/>
      <w:marBottom w:val="0"/>
      <w:divBdr>
        <w:top w:val="none" w:sz="0" w:space="0" w:color="auto"/>
        <w:left w:val="none" w:sz="0" w:space="0" w:color="auto"/>
        <w:bottom w:val="none" w:sz="0" w:space="0" w:color="auto"/>
        <w:right w:val="none" w:sz="0" w:space="0" w:color="auto"/>
      </w:divBdr>
    </w:div>
    <w:div w:id="1010837172">
      <w:bodyDiv w:val="1"/>
      <w:marLeft w:val="0"/>
      <w:marRight w:val="0"/>
      <w:marTop w:val="0"/>
      <w:marBottom w:val="0"/>
      <w:divBdr>
        <w:top w:val="none" w:sz="0" w:space="0" w:color="auto"/>
        <w:left w:val="none" w:sz="0" w:space="0" w:color="auto"/>
        <w:bottom w:val="none" w:sz="0" w:space="0" w:color="auto"/>
        <w:right w:val="none" w:sz="0" w:space="0" w:color="auto"/>
      </w:divBdr>
    </w:div>
    <w:div w:id="1012219722">
      <w:bodyDiv w:val="1"/>
      <w:marLeft w:val="0"/>
      <w:marRight w:val="0"/>
      <w:marTop w:val="0"/>
      <w:marBottom w:val="0"/>
      <w:divBdr>
        <w:top w:val="none" w:sz="0" w:space="0" w:color="auto"/>
        <w:left w:val="none" w:sz="0" w:space="0" w:color="auto"/>
        <w:bottom w:val="none" w:sz="0" w:space="0" w:color="auto"/>
        <w:right w:val="none" w:sz="0" w:space="0" w:color="auto"/>
      </w:divBdr>
    </w:div>
    <w:div w:id="1013264571">
      <w:bodyDiv w:val="1"/>
      <w:marLeft w:val="0"/>
      <w:marRight w:val="0"/>
      <w:marTop w:val="0"/>
      <w:marBottom w:val="0"/>
      <w:divBdr>
        <w:top w:val="none" w:sz="0" w:space="0" w:color="auto"/>
        <w:left w:val="none" w:sz="0" w:space="0" w:color="auto"/>
        <w:bottom w:val="none" w:sz="0" w:space="0" w:color="auto"/>
        <w:right w:val="none" w:sz="0" w:space="0" w:color="auto"/>
      </w:divBdr>
    </w:div>
    <w:div w:id="1013655291">
      <w:bodyDiv w:val="1"/>
      <w:marLeft w:val="0"/>
      <w:marRight w:val="0"/>
      <w:marTop w:val="0"/>
      <w:marBottom w:val="0"/>
      <w:divBdr>
        <w:top w:val="none" w:sz="0" w:space="0" w:color="auto"/>
        <w:left w:val="none" w:sz="0" w:space="0" w:color="auto"/>
        <w:bottom w:val="none" w:sz="0" w:space="0" w:color="auto"/>
        <w:right w:val="none" w:sz="0" w:space="0" w:color="auto"/>
      </w:divBdr>
    </w:div>
    <w:div w:id="1013800653">
      <w:bodyDiv w:val="1"/>
      <w:marLeft w:val="0"/>
      <w:marRight w:val="0"/>
      <w:marTop w:val="0"/>
      <w:marBottom w:val="0"/>
      <w:divBdr>
        <w:top w:val="none" w:sz="0" w:space="0" w:color="auto"/>
        <w:left w:val="none" w:sz="0" w:space="0" w:color="auto"/>
        <w:bottom w:val="none" w:sz="0" w:space="0" w:color="auto"/>
        <w:right w:val="none" w:sz="0" w:space="0" w:color="auto"/>
      </w:divBdr>
    </w:div>
    <w:div w:id="1014961879">
      <w:bodyDiv w:val="1"/>
      <w:marLeft w:val="0"/>
      <w:marRight w:val="0"/>
      <w:marTop w:val="0"/>
      <w:marBottom w:val="0"/>
      <w:divBdr>
        <w:top w:val="none" w:sz="0" w:space="0" w:color="auto"/>
        <w:left w:val="none" w:sz="0" w:space="0" w:color="auto"/>
        <w:bottom w:val="none" w:sz="0" w:space="0" w:color="auto"/>
        <w:right w:val="none" w:sz="0" w:space="0" w:color="auto"/>
      </w:divBdr>
    </w:div>
    <w:div w:id="1015032364">
      <w:bodyDiv w:val="1"/>
      <w:marLeft w:val="0"/>
      <w:marRight w:val="0"/>
      <w:marTop w:val="0"/>
      <w:marBottom w:val="0"/>
      <w:divBdr>
        <w:top w:val="none" w:sz="0" w:space="0" w:color="auto"/>
        <w:left w:val="none" w:sz="0" w:space="0" w:color="auto"/>
        <w:bottom w:val="none" w:sz="0" w:space="0" w:color="auto"/>
        <w:right w:val="none" w:sz="0" w:space="0" w:color="auto"/>
      </w:divBdr>
    </w:div>
    <w:div w:id="1015109814">
      <w:bodyDiv w:val="1"/>
      <w:marLeft w:val="0"/>
      <w:marRight w:val="0"/>
      <w:marTop w:val="0"/>
      <w:marBottom w:val="0"/>
      <w:divBdr>
        <w:top w:val="none" w:sz="0" w:space="0" w:color="auto"/>
        <w:left w:val="none" w:sz="0" w:space="0" w:color="auto"/>
        <w:bottom w:val="none" w:sz="0" w:space="0" w:color="auto"/>
        <w:right w:val="none" w:sz="0" w:space="0" w:color="auto"/>
      </w:divBdr>
    </w:div>
    <w:div w:id="1015620802">
      <w:bodyDiv w:val="1"/>
      <w:marLeft w:val="0"/>
      <w:marRight w:val="0"/>
      <w:marTop w:val="0"/>
      <w:marBottom w:val="0"/>
      <w:divBdr>
        <w:top w:val="none" w:sz="0" w:space="0" w:color="auto"/>
        <w:left w:val="none" w:sz="0" w:space="0" w:color="auto"/>
        <w:bottom w:val="none" w:sz="0" w:space="0" w:color="auto"/>
        <w:right w:val="none" w:sz="0" w:space="0" w:color="auto"/>
      </w:divBdr>
    </w:div>
    <w:div w:id="1015811347">
      <w:bodyDiv w:val="1"/>
      <w:marLeft w:val="0"/>
      <w:marRight w:val="0"/>
      <w:marTop w:val="0"/>
      <w:marBottom w:val="0"/>
      <w:divBdr>
        <w:top w:val="none" w:sz="0" w:space="0" w:color="auto"/>
        <w:left w:val="none" w:sz="0" w:space="0" w:color="auto"/>
        <w:bottom w:val="none" w:sz="0" w:space="0" w:color="auto"/>
        <w:right w:val="none" w:sz="0" w:space="0" w:color="auto"/>
      </w:divBdr>
    </w:div>
    <w:div w:id="1015888953">
      <w:bodyDiv w:val="1"/>
      <w:marLeft w:val="0"/>
      <w:marRight w:val="0"/>
      <w:marTop w:val="0"/>
      <w:marBottom w:val="0"/>
      <w:divBdr>
        <w:top w:val="none" w:sz="0" w:space="0" w:color="auto"/>
        <w:left w:val="none" w:sz="0" w:space="0" w:color="auto"/>
        <w:bottom w:val="none" w:sz="0" w:space="0" w:color="auto"/>
        <w:right w:val="none" w:sz="0" w:space="0" w:color="auto"/>
      </w:divBdr>
    </w:div>
    <w:div w:id="1018893648">
      <w:bodyDiv w:val="1"/>
      <w:marLeft w:val="0"/>
      <w:marRight w:val="0"/>
      <w:marTop w:val="0"/>
      <w:marBottom w:val="0"/>
      <w:divBdr>
        <w:top w:val="none" w:sz="0" w:space="0" w:color="auto"/>
        <w:left w:val="none" w:sz="0" w:space="0" w:color="auto"/>
        <w:bottom w:val="none" w:sz="0" w:space="0" w:color="auto"/>
        <w:right w:val="none" w:sz="0" w:space="0" w:color="auto"/>
      </w:divBdr>
    </w:div>
    <w:div w:id="1019039373">
      <w:bodyDiv w:val="1"/>
      <w:marLeft w:val="0"/>
      <w:marRight w:val="0"/>
      <w:marTop w:val="0"/>
      <w:marBottom w:val="0"/>
      <w:divBdr>
        <w:top w:val="none" w:sz="0" w:space="0" w:color="auto"/>
        <w:left w:val="none" w:sz="0" w:space="0" w:color="auto"/>
        <w:bottom w:val="none" w:sz="0" w:space="0" w:color="auto"/>
        <w:right w:val="none" w:sz="0" w:space="0" w:color="auto"/>
      </w:divBdr>
    </w:div>
    <w:div w:id="1019966343">
      <w:bodyDiv w:val="1"/>
      <w:marLeft w:val="0"/>
      <w:marRight w:val="0"/>
      <w:marTop w:val="0"/>
      <w:marBottom w:val="0"/>
      <w:divBdr>
        <w:top w:val="none" w:sz="0" w:space="0" w:color="auto"/>
        <w:left w:val="none" w:sz="0" w:space="0" w:color="auto"/>
        <w:bottom w:val="none" w:sz="0" w:space="0" w:color="auto"/>
        <w:right w:val="none" w:sz="0" w:space="0" w:color="auto"/>
      </w:divBdr>
    </w:div>
    <w:div w:id="1020007781">
      <w:bodyDiv w:val="1"/>
      <w:marLeft w:val="0"/>
      <w:marRight w:val="0"/>
      <w:marTop w:val="0"/>
      <w:marBottom w:val="0"/>
      <w:divBdr>
        <w:top w:val="none" w:sz="0" w:space="0" w:color="auto"/>
        <w:left w:val="none" w:sz="0" w:space="0" w:color="auto"/>
        <w:bottom w:val="none" w:sz="0" w:space="0" w:color="auto"/>
        <w:right w:val="none" w:sz="0" w:space="0" w:color="auto"/>
      </w:divBdr>
    </w:div>
    <w:div w:id="1020857472">
      <w:bodyDiv w:val="1"/>
      <w:marLeft w:val="0"/>
      <w:marRight w:val="0"/>
      <w:marTop w:val="0"/>
      <w:marBottom w:val="0"/>
      <w:divBdr>
        <w:top w:val="none" w:sz="0" w:space="0" w:color="auto"/>
        <w:left w:val="none" w:sz="0" w:space="0" w:color="auto"/>
        <w:bottom w:val="none" w:sz="0" w:space="0" w:color="auto"/>
        <w:right w:val="none" w:sz="0" w:space="0" w:color="auto"/>
      </w:divBdr>
    </w:div>
    <w:div w:id="1021203552">
      <w:bodyDiv w:val="1"/>
      <w:marLeft w:val="0"/>
      <w:marRight w:val="0"/>
      <w:marTop w:val="0"/>
      <w:marBottom w:val="0"/>
      <w:divBdr>
        <w:top w:val="none" w:sz="0" w:space="0" w:color="auto"/>
        <w:left w:val="none" w:sz="0" w:space="0" w:color="auto"/>
        <w:bottom w:val="none" w:sz="0" w:space="0" w:color="auto"/>
        <w:right w:val="none" w:sz="0" w:space="0" w:color="auto"/>
      </w:divBdr>
    </w:div>
    <w:div w:id="1022976520">
      <w:bodyDiv w:val="1"/>
      <w:marLeft w:val="0"/>
      <w:marRight w:val="0"/>
      <w:marTop w:val="0"/>
      <w:marBottom w:val="0"/>
      <w:divBdr>
        <w:top w:val="none" w:sz="0" w:space="0" w:color="auto"/>
        <w:left w:val="none" w:sz="0" w:space="0" w:color="auto"/>
        <w:bottom w:val="none" w:sz="0" w:space="0" w:color="auto"/>
        <w:right w:val="none" w:sz="0" w:space="0" w:color="auto"/>
      </w:divBdr>
    </w:div>
    <w:div w:id="1023749784">
      <w:bodyDiv w:val="1"/>
      <w:marLeft w:val="0"/>
      <w:marRight w:val="0"/>
      <w:marTop w:val="0"/>
      <w:marBottom w:val="0"/>
      <w:divBdr>
        <w:top w:val="none" w:sz="0" w:space="0" w:color="auto"/>
        <w:left w:val="none" w:sz="0" w:space="0" w:color="auto"/>
        <w:bottom w:val="none" w:sz="0" w:space="0" w:color="auto"/>
        <w:right w:val="none" w:sz="0" w:space="0" w:color="auto"/>
      </w:divBdr>
    </w:div>
    <w:div w:id="1025711320">
      <w:bodyDiv w:val="1"/>
      <w:marLeft w:val="0"/>
      <w:marRight w:val="0"/>
      <w:marTop w:val="0"/>
      <w:marBottom w:val="0"/>
      <w:divBdr>
        <w:top w:val="none" w:sz="0" w:space="0" w:color="auto"/>
        <w:left w:val="none" w:sz="0" w:space="0" w:color="auto"/>
        <w:bottom w:val="none" w:sz="0" w:space="0" w:color="auto"/>
        <w:right w:val="none" w:sz="0" w:space="0" w:color="auto"/>
      </w:divBdr>
    </w:div>
    <w:div w:id="1026443448">
      <w:bodyDiv w:val="1"/>
      <w:marLeft w:val="0"/>
      <w:marRight w:val="0"/>
      <w:marTop w:val="0"/>
      <w:marBottom w:val="0"/>
      <w:divBdr>
        <w:top w:val="none" w:sz="0" w:space="0" w:color="auto"/>
        <w:left w:val="none" w:sz="0" w:space="0" w:color="auto"/>
        <w:bottom w:val="none" w:sz="0" w:space="0" w:color="auto"/>
        <w:right w:val="none" w:sz="0" w:space="0" w:color="auto"/>
      </w:divBdr>
    </w:div>
    <w:div w:id="1027758502">
      <w:bodyDiv w:val="1"/>
      <w:marLeft w:val="0"/>
      <w:marRight w:val="0"/>
      <w:marTop w:val="0"/>
      <w:marBottom w:val="0"/>
      <w:divBdr>
        <w:top w:val="none" w:sz="0" w:space="0" w:color="auto"/>
        <w:left w:val="none" w:sz="0" w:space="0" w:color="auto"/>
        <w:bottom w:val="none" w:sz="0" w:space="0" w:color="auto"/>
        <w:right w:val="none" w:sz="0" w:space="0" w:color="auto"/>
      </w:divBdr>
    </w:div>
    <w:div w:id="1027948389">
      <w:bodyDiv w:val="1"/>
      <w:marLeft w:val="0"/>
      <w:marRight w:val="0"/>
      <w:marTop w:val="0"/>
      <w:marBottom w:val="0"/>
      <w:divBdr>
        <w:top w:val="none" w:sz="0" w:space="0" w:color="auto"/>
        <w:left w:val="none" w:sz="0" w:space="0" w:color="auto"/>
        <w:bottom w:val="none" w:sz="0" w:space="0" w:color="auto"/>
        <w:right w:val="none" w:sz="0" w:space="0" w:color="auto"/>
      </w:divBdr>
    </w:div>
    <w:div w:id="1033458837">
      <w:bodyDiv w:val="1"/>
      <w:marLeft w:val="0"/>
      <w:marRight w:val="0"/>
      <w:marTop w:val="0"/>
      <w:marBottom w:val="0"/>
      <w:divBdr>
        <w:top w:val="none" w:sz="0" w:space="0" w:color="auto"/>
        <w:left w:val="none" w:sz="0" w:space="0" w:color="auto"/>
        <w:bottom w:val="none" w:sz="0" w:space="0" w:color="auto"/>
        <w:right w:val="none" w:sz="0" w:space="0" w:color="auto"/>
      </w:divBdr>
    </w:div>
    <w:div w:id="1033653009">
      <w:bodyDiv w:val="1"/>
      <w:marLeft w:val="0"/>
      <w:marRight w:val="0"/>
      <w:marTop w:val="0"/>
      <w:marBottom w:val="0"/>
      <w:divBdr>
        <w:top w:val="none" w:sz="0" w:space="0" w:color="auto"/>
        <w:left w:val="none" w:sz="0" w:space="0" w:color="auto"/>
        <w:bottom w:val="none" w:sz="0" w:space="0" w:color="auto"/>
        <w:right w:val="none" w:sz="0" w:space="0" w:color="auto"/>
      </w:divBdr>
    </w:div>
    <w:div w:id="1037244938">
      <w:bodyDiv w:val="1"/>
      <w:marLeft w:val="0"/>
      <w:marRight w:val="0"/>
      <w:marTop w:val="0"/>
      <w:marBottom w:val="0"/>
      <w:divBdr>
        <w:top w:val="none" w:sz="0" w:space="0" w:color="auto"/>
        <w:left w:val="none" w:sz="0" w:space="0" w:color="auto"/>
        <w:bottom w:val="none" w:sz="0" w:space="0" w:color="auto"/>
        <w:right w:val="none" w:sz="0" w:space="0" w:color="auto"/>
      </w:divBdr>
    </w:div>
    <w:div w:id="1037854784">
      <w:bodyDiv w:val="1"/>
      <w:marLeft w:val="0"/>
      <w:marRight w:val="0"/>
      <w:marTop w:val="0"/>
      <w:marBottom w:val="0"/>
      <w:divBdr>
        <w:top w:val="none" w:sz="0" w:space="0" w:color="auto"/>
        <w:left w:val="none" w:sz="0" w:space="0" w:color="auto"/>
        <w:bottom w:val="none" w:sz="0" w:space="0" w:color="auto"/>
        <w:right w:val="none" w:sz="0" w:space="0" w:color="auto"/>
      </w:divBdr>
    </w:div>
    <w:div w:id="1039164577">
      <w:bodyDiv w:val="1"/>
      <w:marLeft w:val="0"/>
      <w:marRight w:val="0"/>
      <w:marTop w:val="0"/>
      <w:marBottom w:val="0"/>
      <w:divBdr>
        <w:top w:val="none" w:sz="0" w:space="0" w:color="auto"/>
        <w:left w:val="none" w:sz="0" w:space="0" w:color="auto"/>
        <w:bottom w:val="none" w:sz="0" w:space="0" w:color="auto"/>
        <w:right w:val="none" w:sz="0" w:space="0" w:color="auto"/>
      </w:divBdr>
    </w:div>
    <w:div w:id="1039357636">
      <w:bodyDiv w:val="1"/>
      <w:marLeft w:val="0"/>
      <w:marRight w:val="0"/>
      <w:marTop w:val="0"/>
      <w:marBottom w:val="0"/>
      <w:divBdr>
        <w:top w:val="none" w:sz="0" w:space="0" w:color="auto"/>
        <w:left w:val="none" w:sz="0" w:space="0" w:color="auto"/>
        <w:bottom w:val="none" w:sz="0" w:space="0" w:color="auto"/>
        <w:right w:val="none" w:sz="0" w:space="0" w:color="auto"/>
      </w:divBdr>
    </w:div>
    <w:div w:id="1039932273">
      <w:bodyDiv w:val="1"/>
      <w:marLeft w:val="0"/>
      <w:marRight w:val="0"/>
      <w:marTop w:val="0"/>
      <w:marBottom w:val="0"/>
      <w:divBdr>
        <w:top w:val="none" w:sz="0" w:space="0" w:color="auto"/>
        <w:left w:val="none" w:sz="0" w:space="0" w:color="auto"/>
        <w:bottom w:val="none" w:sz="0" w:space="0" w:color="auto"/>
        <w:right w:val="none" w:sz="0" w:space="0" w:color="auto"/>
      </w:divBdr>
    </w:div>
    <w:div w:id="1040399069">
      <w:bodyDiv w:val="1"/>
      <w:marLeft w:val="0"/>
      <w:marRight w:val="0"/>
      <w:marTop w:val="0"/>
      <w:marBottom w:val="0"/>
      <w:divBdr>
        <w:top w:val="none" w:sz="0" w:space="0" w:color="auto"/>
        <w:left w:val="none" w:sz="0" w:space="0" w:color="auto"/>
        <w:bottom w:val="none" w:sz="0" w:space="0" w:color="auto"/>
        <w:right w:val="none" w:sz="0" w:space="0" w:color="auto"/>
      </w:divBdr>
    </w:div>
    <w:div w:id="1040783575">
      <w:bodyDiv w:val="1"/>
      <w:marLeft w:val="0"/>
      <w:marRight w:val="0"/>
      <w:marTop w:val="0"/>
      <w:marBottom w:val="0"/>
      <w:divBdr>
        <w:top w:val="none" w:sz="0" w:space="0" w:color="auto"/>
        <w:left w:val="none" w:sz="0" w:space="0" w:color="auto"/>
        <w:bottom w:val="none" w:sz="0" w:space="0" w:color="auto"/>
        <w:right w:val="none" w:sz="0" w:space="0" w:color="auto"/>
      </w:divBdr>
    </w:div>
    <w:div w:id="1043823676">
      <w:bodyDiv w:val="1"/>
      <w:marLeft w:val="0"/>
      <w:marRight w:val="0"/>
      <w:marTop w:val="0"/>
      <w:marBottom w:val="0"/>
      <w:divBdr>
        <w:top w:val="none" w:sz="0" w:space="0" w:color="auto"/>
        <w:left w:val="none" w:sz="0" w:space="0" w:color="auto"/>
        <w:bottom w:val="none" w:sz="0" w:space="0" w:color="auto"/>
        <w:right w:val="none" w:sz="0" w:space="0" w:color="auto"/>
      </w:divBdr>
    </w:div>
    <w:div w:id="1044062863">
      <w:bodyDiv w:val="1"/>
      <w:marLeft w:val="0"/>
      <w:marRight w:val="0"/>
      <w:marTop w:val="0"/>
      <w:marBottom w:val="0"/>
      <w:divBdr>
        <w:top w:val="none" w:sz="0" w:space="0" w:color="auto"/>
        <w:left w:val="none" w:sz="0" w:space="0" w:color="auto"/>
        <w:bottom w:val="none" w:sz="0" w:space="0" w:color="auto"/>
        <w:right w:val="none" w:sz="0" w:space="0" w:color="auto"/>
      </w:divBdr>
    </w:div>
    <w:div w:id="1044259725">
      <w:bodyDiv w:val="1"/>
      <w:marLeft w:val="0"/>
      <w:marRight w:val="0"/>
      <w:marTop w:val="0"/>
      <w:marBottom w:val="0"/>
      <w:divBdr>
        <w:top w:val="none" w:sz="0" w:space="0" w:color="auto"/>
        <w:left w:val="none" w:sz="0" w:space="0" w:color="auto"/>
        <w:bottom w:val="none" w:sz="0" w:space="0" w:color="auto"/>
        <w:right w:val="none" w:sz="0" w:space="0" w:color="auto"/>
      </w:divBdr>
    </w:div>
    <w:div w:id="1046374166">
      <w:bodyDiv w:val="1"/>
      <w:marLeft w:val="0"/>
      <w:marRight w:val="0"/>
      <w:marTop w:val="0"/>
      <w:marBottom w:val="0"/>
      <w:divBdr>
        <w:top w:val="none" w:sz="0" w:space="0" w:color="auto"/>
        <w:left w:val="none" w:sz="0" w:space="0" w:color="auto"/>
        <w:bottom w:val="none" w:sz="0" w:space="0" w:color="auto"/>
        <w:right w:val="none" w:sz="0" w:space="0" w:color="auto"/>
      </w:divBdr>
    </w:div>
    <w:div w:id="1047099699">
      <w:bodyDiv w:val="1"/>
      <w:marLeft w:val="0"/>
      <w:marRight w:val="0"/>
      <w:marTop w:val="0"/>
      <w:marBottom w:val="0"/>
      <w:divBdr>
        <w:top w:val="none" w:sz="0" w:space="0" w:color="auto"/>
        <w:left w:val="none" w:sz="0" w:space="0" w:color="auto"/>
        <w:bottom w:val="none" w:sz="0" w:space="0" w:color="auto"/>
        <w:right w:val="none" w:sz="0" w:space="0" w:color="auto"/>
      </w:divBdr>
    </w:div>
    <w:div w:id="1047879061">
      <w:bodyDiv w:val="1"/>
      <w:marLeft w:val="0"/>
      <w:marRight w:val="0"/>
      <w:marTop w:val="0"/>
      <w:marBottom w:val="0"/>
      <w:divBdr>
        <w:top w:val="none" w:sz="0" w:space="0" w:color="auto"/>
        <w:left w:val="none" w:sz="0" w:space="0" w:color="auto"/>
        <w:bottom w:val="none" w:sz="0" w:space="0" w:color="auto"/>
        <w:right w:val="none" w:sz="0" w:space="0" w:color="auto"/>
      </w:divBdr>
    </w:div>
    <w:div w:id="1048840523">
      <w:bodyDiv w:val="1"/>
      <w:marLeft w:val="0"/>
      <w:marRight w:val="0"/>
      <w:marTop w:val="0"/>
      <w:marBottom w:val="0"/>
      <w:divBdr>
        <w:top w:val="none" w:sz="0" w:space="0" w:color="auto"/>
        <w:left w:val="none" w:sz="0" w:space="0" w:color="auto"/>
        <w:bottom w:val="none" w:sz="0" w:space="0" w:color="auto"/>
        <w:right w:val="none" w:sz="0" w:space="0" w:color="auto"/>
      </w:divBdr>
    </w:div>
    <w:div w:id="1051539713">
      <w:bodyDiv w:val="1"/>
      <w:marLeft w:val="0"/>
      <w:marRight w:val="0"/>
      <w:marTop w:val="0"/>
      <w:marBottom w:val="0"/>
      <w:divBdr>
        <w:top w:val="none" w:sz="0" w:space="0" w:color="auto"/>
        <w:left w:val="none" w:sz="0" w:space="0" w:color="auto"/>
        <w:bottom w:val="none" w:sz="0" w:space="0" w:color="auto"/>
        <w:right w:val="none" w:sz="0" w:space="0" w:color="auto"/>
      </w:divBdr>
    </w:div>
    <w:div w:id="1055354155">
      <w:bodyDiv w:val="1"/>
      <w:marLeft w:val="0"/>
      <w:marRight w:val="0"/>
      <w:marTop w:val="0"/>
      <w:marBottom w:val="0"/>
      <w:divBdr>
        <w:top w:val="none" w:sz="0" w:space="0" w:color="auto"/>
        <w:left w:val="none" w:sz="0" w:space="0" w:color="auto"/>
        <w:bottom w:val="none" w:sz="0" w:space="0" w:color="auto"/>
        <w:right w:val="none" w:sz="0" w:space="0" w:color="auto"/>
      </w:divBdr>
    </w:div>
    <w:div w:id="1056397576">
      <w:bodyDiv w:val="1"/>
      <w:marLeft w:val="0"/>
      <w:marRight w:val="0"/>
      <w:marTop w:val="0"/>
      <w:marBottom w:val="0"/>
      <w:divBdr>
        <w:top w:val="none" w:sz="0" w:space="0" w:color="auto"/>
        <w:left w:val="none" w:sz="0" w:space="0" w:color="auto"/>
        <w:bottom w:val="none" w:sz="0" w:space="0" w:color="auto"/>
        <w:right w:val="none" w:sz="0" w:space="0" w:color="auto"/>
      </w:divBdr>
    </w:div>
    <w:div w:id="1056660443">
      <w:bodyDiv w:val="1"/>
      <w:marLeft w:val="0"/>
      <w:marRight w:val="0"/>
      <w:marTop w:val="0"/>
      <w:marBottom w:val="0"/>
      <w:divBdr>
        <w:top w:val="none" w:sz="0" w:space="0" w:color="auto"/>
        <w:left w:val="none" w:sz="0" w:space="0" w:color="auto"/>
        <w:bottom w:val="none" w:sz="0" w:space="0" w:color="auto"/>
        <w:right w:val="none" w:sz="0" w:space="0" w:color="auto"/>
      </w:divBdr>
    </w:div>
    <w:div w:id="1058018838">
      <w:bodyDiv w:val="1"/>
      <w:marLeft w:val="0"/>
      <w:marRight w:val="0"/>
      <w:marTop w:val="0"/>
      <w:marBottom w:val="0"/>
      <w:divBdr>
        <w:top w:val="none" w:sz="0" w:space="0" w:color="auto"/>
        <w:left w:val="none" w:sz="0" w:space="0" w:color="auto"/>
        <w:bottom w:val="none" w:sz="0" w:space="0" w:color="auto"/>
        <w:right w:val="none" w:sz="0" w:space="0" w:color="auto"/>
      </w:divBdr>
    </w:div>
    <w:div w:id="1059592926">
      <w:bodyDiv w:val="1"/>
      <w:marLeft w:val="0"/>
      <w:marRight w:val="0"/>
      <w:marTop w:val="0"/>
      <w:marBottom w:val="0"/>
      <w:divBdr>
        <w:top w:val="none" w:sz="0" w:space="0" w:color="auto"/>
        <w:left w:val="none" w:sz="0" w:space="0" w:color="auto"/>
        <w:bottom w:val="none" w:sz="0" w:space="0" w:color="auto"/>
        <w:right w:val="none" w:sz="0" w:space="0" w:color="auto"/>
      </w:divBdr>
    </w:div>
    <w:div w:id="1060519681">
      <w:bodyDiv w:val="1"/>
      <w:marLeft w:val="0"/>
      <w:marRight w:val="0"/>
      <w:marTop w:val="0"/>
      <w:marBottom w:val="0"/>
      <w:divBdr>
        <w:top w:val="none" w:sz="0" w:space="0" w:color="auto"/>
        <w:left w:val="none" w:sz="0" w:space="0" w:color="auto"/>
        <w:bottom w:val="none" w:sz="0" w:space="0" w:color="auto"/>
        <w:right w:val="none" w:sz="0" w:space="0" w:color="auto"/>
      </w:divBdr>
    </w:div>
    <w:div w:id="1060710323">
      <w:bodyDiv w:val="1"/>
      <w:marLeft w:val="0"/>
      <w:marRight w:val="0"/>
      <w:marTop w:val="0"/>
      <w:marBottom w:val="0"/>
      <w:divBdr>
        <w:top w:val="none" w:sz="0" w:space="0" w:color="auto"/>
        <w:left w:val="none" w:sz="0" w:space="0" w:color="auto"/>
        <w:bottom w:val="none" w:sz="0" w:space="0" w:color="auto"/>
        <w:right w:val="none" w:sz="0" w:space="0" w:color="auto"/>
      </w:divBdr>
    </w:div>
    <w:div w:id="1060715449">
      <w:bodyDiv w:val="1"/>
      <w:marLeft w:val="0"/>
      <w:marRight w:val="0"/>
      <w:marTop w:val="0"/>
      <w:marBottom w:val="0"/>
      <w:divBdr>
        <w:top w:val="none" w:sz="0" w:space="0" w:color="auto"/>
        <w:left w:val="none" w:sz="0" w:space="0" w:color="auto"/>
        <w:bottom w:val="none" w:sz="0" w:space="0" w:color="auto"/>
        <w:right w:val="none" w:sz="0" w:space="0" w:color="auto"/>
      </w:divBdr>
    </w:div>
    <w:div w:id="1060976823">
      <w:bodyDiv w:val="1"/>
      <w:marLeft w:val="0"/>
      <w:marRight w:val="0"/>
      <w:marTop w:val="0"/>
      <w:marBottom w:val="0"/>
      <w:divBdr>
        <w:top w:val="none" w:sz="0" w:space="0" w:color="auto"/>
        <w:left w:val="none" w:sz="0" w:space="0" w:color="auto"/>
        <w:bottom w:val="none" w:sz="0" w:space="0" w:color="auto"/>
        <w:right w:val="none" w:sz="0" w:space="0" w:color="auto"/>
      </w:divBdr>
    </w:div>
    <w:div w:id="1062101889">
      <w:bodyDiv w:val="1"/>
      <w:marLeft w:val="0"/>
      <w:marRight w:val="0"/>
      <w:marTop w:val="0"/>
      <w:marBottom w:val="0"/>
      <w:divBdr>
        <w:top w:val="none" w:sz="0" w:space="0" w:color="auto"/>
        <w:left w:val="none" w:sz="0" w:space="0" w:color="auto"/>
        <w:bottom w:val="none" w:sz="0" w:space="0" w:color="auto"/>
        <w:right w:val="none" w:sz="0" w:space="0" w:color="auto"/>
      </w:divBdr>
    </w:div>
    <w:div w:id="1065298502">
      <w:bodyDiv w:val="1"/>
      <w:marLeft w:val="0"/>
      <w:marRight w:val="0"/>
      <w:marTop w:val="0"/>
      <w:marBottom w:val="0"/>
      <w:divBdr>
        <w:top w:val="none" w:sz="0" w:space="0" w:color="auto"/>
        <w:left w:val="none" w:sz="0" w:space="0" w:color="auto"/>
        <w:bottom w:val="none" w:sz="0" w:space="0" w:color="auto"/>
        <w:right w:val="none" w:sz="0" w:space="0" w:color="auto"/>
      </w:divBdr>
    </w:div>
    <w:div w:id="1065642617">
      <w:bodyDiv w:val="1"/>
      <w:marLeft w:val="0"/>
      <w:marRight w:val="0"/>
      <w:marTop w:val="0"/>
      <w:marBottom w:val="0"/>
      <w:divBdr>
        <w:top w:val="none" w:sz="0" w:space="0" w:color="auto"/>
        <w:left w:val="none" w:sz="0" w:space="0" w:color="auto"/>
        <w:bottom w:val="none" w:sz="0" w:space="0" w:color="auto"/>
        <w:right w:val="none" w:sz="0" w:space="0" w:color="auto"/>
      </w:divBdr>
    </w:div>
    <w:div w:id="1067260956">
      <w:bodyDiv w:val="1"/>
      <w:marLeft w:val="0"/>
      <w:marRight w:val="0"/>
      <w:marTop w:val="0"/>
      <w:marBottom w:val="0"/>
      <w:divBdr>
        <w:top w:val="none" w:sz="0" w:space="0" w:color="auto"/>
        <w:left w:val="none" w:sz="0" w:space="0" w:color="auto"/>
        <w:bottom w:val="none" w:sz="0" w:space="0" w:color="auto"/>
        <w:right w:val="none" w:sz="0" w:space="0" w:color="auto"/>
      </w:divBdr>
    </w:div>
    <w:div w:id="1069156925">
      <w:bodyDiv w:val="1"/>
      <w:marLeft w:val="0"/>
      <w:marRight w:val="0"/>
      <w:marTop w:val="0"/>
      <w:marBottom w:val="0"/>
      <w:divBdr>
        <w:top w:val="none" w:sz="0" w:space="0" w:color="auto"/>
        <w:left w:val="none" w:sz="0" w:space="0" w:color="auto"/>
        <w:bottom w:val="none" w:sz="0" w:space="0" w:color="auto"/>
        <w:right w:val="none" w:sz="0" w:space="0" w:color="auto"/>
      </w:divBdr>
    </w:div>
    <w:div w:id="1069419898">
      <w:bodyDiv w:val="1"/>
      <w:marLeft w:val="0"/>
      <w:marRight w:val="0"/>
      <w:marTop w:val="0"/>
      <w:marBottom w:val="0"/>
      <w:divBdr>
        <w:top w:val="none" w:sz="0" w:space="0" w:color="auto"/>
        <w:left w:val="none" w:sz="0" w:space="0" w:color="auto"/>
        <w:bottom w:val="none" w:sz="0" w:space="0" w:color="auto"/>
        <w:right w:val="none" w:sz="0" w:space="0" w:color="auto"/>
      </w:divBdr>
    </w:div>
    <w:div w:id="1070466668">
      <w:bodyDiv w:val="1"/>
      <w:marLeft w:val="0"/>
      <w:marRight w:val="0"/>
      <w:marTop w:val="0"/>
      <w:marBottom w:val="0"/>
      <w:divBdr>
        <w:top w:val="none" w:sz="0" w:space="0" w:color="auto"/>
        <w:left w:val="none" w:sz="0" w:space="0" w:color="auto"/>
        <w:bottom w:val="none" w:sz="0" w:space="0" w:color="auto"/>
        <w:right w:val="none" w:sz="0" w:space="0" w:color="auto"/>
      </w:divBdr>
    </w:div>
    <w:div w:id="1071121268">
      <w:bodyDiv w:val="1"/>
      <w:marLeft w:val="0"/>
      <w:marRight w:val="0"/>
      <w:marTop w:val="0"/>
      <w:marBottom w:val="0"/>
      <w:divBdr>
        <w:top w:val="none" w:sz="0" w:space="0" w:color="auto"/>
        <w:left w:val="none" w:sz="0" w:space="0" w:color="auto"/>
        <w:bottom w:val="none" w:sz="0" w:space="0" w:color="auto"/>
        <w:right w:val="none" w:sz="0" w:space="0" w:color="auto"/>
      </w:divBdr>
    </w:div>
    <w:div w:id="1072121661">
      <w:bodyDiv w:val="1"/>
      <w:marLeft w:val="0"/>
      <w:marRight w:val="0"/>
      <w:marTop w:val="0"/>
      <w:marBottom w:val="0"/>
      <w:divBdr>
        <w:top w:val="none" w:sz="0" w:space="0" w:color="auto"/>
        <w:left w:val="none" w:sz="0" w:space="0" w:color="auto"/>
        <w:bottom w:val="none" w:sz="0" w:space="0" w:color="auto"/>
        <w:right w:val="none" w:sz="0" w:space="0" w:color="auto"/>
      </w:divBdr>
    </w:div>
    <w:div w:id="1072198441">
      <w:bodyDiv w:val="1"/>
      <w:marLeft w:val="0"/>
      <w:marRight w:val="0"/>
      <w:marTop w:val="0"/>
      <w:marBottom w:val="0"/>
      <w:divBdr>
        <w:top w:val="none" w:sz="0" w:space="0" w:color="auto"/>
        <w:left w:val="none" w:sz="0" w:space="0" w:color="auto"/>
        <w:bottom w:val="none" w:sz="0" w:space="0" w:color="auto"/>
        <w:right w:val="none" w:sz="0" w:space="0" w:color="auto"/>
      </w:divBdr>
    </w:div>
    <w:div w:id="1072850335">
      <w:bodyDiv w:val="1"/>
      <w:marLeft w:val="0"/>
      <w:marRight w:val="0"/>
      <w:marTop w:val="0"/>
      <w:marBottom w:val="0"/>
      <w:divBdr>
        <w:top w:val="none" w:sz="0" w:space="0" w:color="auto"/>
        <w:left w:val="none" w:sz="0" w:space="0" w:color="auto"/>
        <w:bottom w:val="none" w:sz="0" w:space="0" w:color="auto"/>
        <w:right w:val="none" w:sz="0" w:space="0" w:color="auto"/>
      </w:divBdr>
    </w:div>
    <w:div w:id="1072895464">
      <w:bodyDiv w:val="1"/>
      <w:marLeft w:val="0"/>
      <w:marRight w:val="0"/>
      <w:marTop w:val="0"/>
      <w:marBottom w:val="0"/>
      <w:divBdr>
        <w:top w:val="none" w:sz="0" w:space="0" w:color="auto"/>
        <w:left w:val="none" w:sz="0" w:space="0" w:color="auto"/>
        <w:bottom w:val="none" w:sz="0" w:space="0" w:color="auto"/>
        <w:right w:val="none" w:sz="0" w:space="0" w:color="auto"/>
      </w:divBdr>
    </w:div>
    <w:div w:id="1073511008">
      <w:bodyDiv w:val="1"/>
      <w:marLeft w:val="0"/>
      <w:marRight w:val="0"/>
      <w:marTop w:val="0"/>
      <w:marBottom w:val="0"/>
      <w:divBdr>
        <w:top w:val="none" w:sz="0" w:space="0" w:color="auto"/>
        <w:left w:val="none" w:sz="0" w:space="0" w:color="auto"/>
        <w:bottom w:val="none" w:sz="0" w:space="0" w:color="auto"/>
        <w:right w:val="none" w:sz="0" w:space="0" w:color="auto"/>
      </w:divBdr>
    </w:div>
    <w:div w:id="1073895150">
      <w:bodyDiv w:val="1"/>
      <w:marLeft w:val="0"/>
      <w:marRight w:val="0"/>
      <w:marTop w:val="0"/>
      <w:marBottom w:val="0"/>
      <w:divBdr>
        <w:top w:val="none" w:sz="0" w:space="0" w:color="auto"/>
        <w:left w:val="none" w:sz="0" w:space="0" w:color="auto"/>
        <w:bottom w:val="none" w:sz="0" w:space="0" w:color="auto"/>
        <w:right w:val="none" w:sz="0" w:space="0" w:color="auto"/>
      </w:divBdr>
    </w:div>
    <w:div w:id="1073963981">
      <w:bodyDiv w:val="1"/>
      <w:marLeft w:val="0"/>
      <w:marRight w:val="0"/>
      <w:marTop w:val="0"/>
      <w:marBottom w:val="0"/>
      <w:divBdr>
        <w:top w:val="none" w:sz="0" w:space="0" w:color="auto"/>
        <w:left w:val="none" w:sz="0" w:space="0" w:color="auto"/>
        <w:bottom w:val="none" w:sz="0" w:space="0" w:color="auto"/>
        <w:right w:val="none" w:sz="0" w:space="0" w:color="auto"/>
      </w:divBdr>
    </w:div>
    <w:div w:id="1074159611">
      <w:bodyDiv w:val="1"/>
      <w:marLeft w:val="0"/>
      <w:marRight w:val="0"/>
      <w:marTop w:val="0"/>
      <w:marBottom w:val="0"/>
      <w:divBdr>
        <w:top w:val="none" w:sz="0" w:space="0" w:color="auto"/>
        <w:left w:val="none" w:sz="0" w:space="0" w:color="auto"/>
        <w:bottom w:val="none" w:sz="0" w:space="0" w:color="auto"/>
        <w:right w:val="none" w:sz="0" w:space="0" w:color="auto"/>
      </w:divBdr>
    </w:div>
    <w:div w:id="1074356183">
      <w:bodyDiv w:val="1"/>
      <w:marLeft w:val="0"/>
      <w:marRight w:val="0"/>
      <w:marTop w:val="0"/>
      <w:marBottom w:val="0"/>
      <w:divBdr>
        <w:top w:val="none" w:sz="0" w:space="0" w:color="auto"/>
        <w:left w:val="none" w:sz="0" w:space="0" w:color="auto"/>
        <w:bottom w:val="none" w:sz="0" w:space="0" w:color="auto"/>
        <w:right w:val="none" w:sz="0" w:space="0" w:color="auto"/>
      </w:divBdr>
    </w:div>
    <w:div w:id="1074859984">
      <w:bodyDiv w:val="1"/>
      <w:marLeft w:val="0"/>
      <w:marRight w:val="0"/>
      <w:marTop w:val="0"/>
      <w:marBottom w:val="0"/>
      <w:divBdr>
        <w:top w:val="none" w:sz="0" w:space="0" w:color="auto"/>
        <w:left w:val="none" w:sz="0" w:space="0" w:color="auto"/>
        <w:bottom w:val="none" w:sz="0" w:space="0" w:color="auto"/>
        <w:right w:val="none" w:sz="0" w:space="0" w:color="auto"/>
      </w:divBdr>
    </w:div>
    <w:div w:id="1075472309">
      <w:bodyDiv w:val="1"/>
      <w:marLeft w:val="0"/>
      <w:marRight w:val="0"/>
      <w:marTop w:val="0"/>
      <w:marBottom w:val="0"/>
      <w:divBdr>
        <w:top w:val="none" w:sz="0" w:space="0" w:color="auto"/>
        <w:left w:val="none" w:sz="0" w:space="0" w:color="auto"/>
        <w:bottom w:val="none" w:sz="0" w:space="0" w:color="auto"/>
        <w:right w:val="none" w:sz="0" w:space="0" w:color="auto"/>
      </w:divBdr>
    </w:div>
    <w:div w:id="1077704798">
      <w:bodyDiv w:val="1"/>
      <w:marLeft w:val="0"/>
      <w:marRight w:val="0"/>
      <w:marTop w:val="0"/>
      <w:marBottom w:val="0"/>
      <w:divBdr>
        <w:top w:val="none" w:sz="0" w:space="0" w:color="auto"/>
        <w:left w:val="none" w:sz="0" w:space="0" w:color="auto"/>
        <w:bottom w:val="none" w:sz="0" w:space="0" w:color="auto"/>
        <w:right w:val="none" w:sz="0" w:space="0" w:color="auto"/>
      </w:divBdr>
    </w:div>
    <w:div w:id="1078021173">
      <w:bodyDiv w:val="1"/>
      <w:marLeft w:val="0"/>
      <w:marRight w:val="0"/>
      <w:marTop w:val="0"/>
      <w:marBottom w:val="0"/>
      <w:divBdr>
        <w:top w:val="none" w:sz="0" w:space="0" w:color="auto"/>
        <w:left w:val="none" w:sz="0" w:space="0" w:color="auto"/>
        <w:bottom w:val="none" w:sz="0" w:space="0" w:color="auto"/>
        <w:right w:val="none" w:sz="0" w:space="0" w:color="auto"/>
      </w:divBdr>
    </w:div>
    <w:div w:id="1079644493">
      <w:bodyDiv w:val="1"/>
      <w:marLeft w:val="0"/>
      <w:marRight w:val="0"/>
      <w:marTop w:val="0"/>
      <w:marBottom w:val="0"/>
      <w:divBdr>
        <w:top w:val="none" w:sz="0" w:space="0" w:color="auto"/>
        <w:left w:val="none" w:sz="0" w:space="0" w:color="auto"/>
        <w:bottom w:val="none" w:sz="0" w:space="0" w:color="auto"/>
        <w:right w:val="none" w:sz="0" w:space="0" w:color="auto"/>
      </w:divBdr>
    </w:div>
    <w:div w:id="1079865985">
      <w:bodyDiv w:val="1"/>
      <w:marLeft w:val="0"/>
      <w:marRight w:val="0"/>
      <w:marTop w:val="0"/>
      <w:marBottom w:val="0"/>
      <w:divBdr>
        <w:top w:val="none" w:sz="0" w:space="0" w:color="auto"/>
        <w:left w:val="none" w:sz="0" w:space="0" w:color="auto"/>
        <w:bottom w:val="none" w:sz="0" w:space="0" w:color="auto"/>
        <w:right w:val="none" w:sz="0" w:space="0" w:color="auto"/>
      </w:divBdr>
    </w:div>
    <w:div w:id="1080365541">
      <w:bodyDiv w:val="1"/>
      <w:marLeft w:val="0"/>
      <w:marRight w:val="0"/>
      <w:marTop w:val="0"/>
      <w:marBottom w:val="0"/>
      <w:divBdr>
        <w:top w:val="none" w:sz="0" w:space="0" w:color="auto"/>
        <w:left w:val="none" w:sz="0" w:space="0" w:color="auto"/>
        <w:bottom w:val="none" w:sz="0" w:space="0" w:color="auto"/>
        <w:right w:val="none" w:sz="0" w:space="0" w:color="auto"/>
      </w:divBdr>
    </w:div>
    <w:div w:id="1080371743">
      <w:bodyDiv w:val="1"/>
      <w:marLeft w:val="0"/>
      <w:marRight w:val="0"/>
      <w:marTop w:val="0"/>
      <w:marBottom w:val="0"/>
      <w:divBdr>
        <w:top w:val="none" w:sz="0" w:space="0" w:color="auto"/>
        <w:left w:val="none" w:sz="0" w:space="0" w:color="auto"/>
        <w:bottom w:val="none" w:sz="0" w:space="0" w:color="auto"/>
        <w:right w:val="none" w:sz="0" w:space="0" w:color="auto"/>
      </w:divBdr>
    </w:div>
    <w:div w:id="1081173129">
      <w:bodyDiv w:val="1"/>
      <w:marLeft w:val="0"/>
      <w:marRight w:val="0"/>
      <w:marTop w:val="0"/>
      <w:marBottom w:val="0"/>
      <w:divBdr>
        <w:top w:val="none" w:sz="0" w:space="0" w:color="auto"/>
        <w:left w:val="none" w:sz="0" w:space="0" w:color="auto"/>
        <w:bottom w:val="none" w:sz="0" w:space="0" w:color="auto"/>
        <w:right w:val="none" w:sz="0" w:space="0" w:color="auto"/>
      </w:divBdr>
    </w:div>
    <w:div w:id="1082414922">
      <w:bodyDiv w:val="1"/>
      <w:marLeft w:val="0"/>
      <w:marRight w:val="0"/>
      <w:marTop w:val="0"/>
      <w:marBottom w:val="0"/>
      <w:divBdr>
        <w:top w:val="none" w:sz="0" w:space="0" w:color="auto"/>
        <w:left w:val="none" w:sz="0" w:space="0" w:color="auto"/>
        <w:bottom w:val="none" w:sz="0" w:space="0" w:color="auto"/>
        <w:right w:val="none" w:sz="0" w:space="0" w:color="auto"/>
      </w:divBdr>
    </w:div>
    <w:div w:id="1082526237">
      <w:bodyDiv w:val="1"/>
      <w:marLeft w:val="0"/>
      <w:marRight w:val="0"/>
      <w:marTop w:val="0"/>
      <w:marBottom w:val="0"/>
      <w:divBdr>
        <w:top w:val="none" w:sz="0" w:space="0" w:color="auto"/>
        <w:left w:val="none" w:sz="0" w:space="0" w:color="auto"/>
        <w:bottom w:val="none" w:sz="0" w:space="0" w:color="auto"/>
        <w:right w:val="none" w:sz="0" w:space="0" w:color="auto"/>
      </w:divBdr>
    </w:div>
    <w:div w:id="1082995855">
      <w:bodyDiv w:val="1"/>
      <w:marLeft w:val="0"/>
      <w:marRight w:val="0"/>
      <w:marTop w:val="0"/>
      <w:marBottom w:val="0"/>
      <w:divBdr>
        <w:top w:val="none" w:sz="0" w:space="0" w:color="auto"/>
        <w:left w:val="none" w:sz="0" w:space="0" w:color="auto"/>
        <w:bottom w:val="none" w:sz="0" w:space="0" w:color="auto"/>
        <w:right w:val="none" w:sz="0" w:space="0" w:color="auto"/>
      </w:divBdr>
    </w:div>
    <w:div w:id="1083453507">
      <w:bodyDiv w:val="1"/>
      <w:marLeft w:val="0"/>
      <w:marRight w:val="0"/>
      <w:marTop w:val="0"/>
      <w:marBottom w:val="0"/>
      <w:divBdr>
        <w:top w:val="none" w:sz="0" w:space="0" w:color="auto"/>
        <w:left w:val="none" w:sz="0" w:space="0" w:color="auto"/>
        <w:bottom w:val="none" w:sz="0" w:space="0" w:color="auto"/>
        <w:right w:val="none" w:sz="0" w:space="0" w:color="auto"/>
      </w:divBdr>
    </w:div>
    <w:div w:id="1087775386">
      <w:bodyDiv w:val="1"/>
      <w:marLeft w:val="0"/>
      <w:marRight w:val="0"/>
      <w:marTop w:val="0"/>
      <w:marBottom w:val="0"/>
      <w:divBdr>
        <w:top w:val="none" w:sz="0" w:space="0" w:color="auto"/>
        <w:left w:val="none" w:sz="0" w:space="0" w:color="auto"/>
        <w:bottom w:val="none" w:sz="0" w:space="0" w:color="auto"/>
        <w:right w:val="none" w:sz="0" w:space="0" w:color="auto"/>
      </w:divBdr>
    </w:div>
    <w:div w:id="1090472740">
      <w:bodyDiv w:val="1"/>
      <w:marLeft w:val="0"/>
      <w:marRight w:val="0"/>
      <w:marTop w:val="0"/>
      <w:marBottom w:val="0"/>
      <w:divBdr>
        <w:top w:val="none" w:sz="0" w:space="0" w:color="auto"/>
        <w:left w:val="none" w:sz="0" w:space="0" w:color="auto"/>
        <w:bottom w:val="none" w:sz="0" w:space="0" w:color="auto"/>
        <w:right w:val="none" w:sz="0" w:space="0" w:color="auto"/>
      </w:divBdr>
    </w:div>
    <w:div w:id="1090584603">
      <w:bodyDiv w:val="1"/>
      <w:marLeft w:val="0"/>
      <w:marRight w:val="0"/>
      <w:marTop w:val="0"/>
      <w:marBottom w:val="0"/>
      <w:divBdr>
        <w:top w:val="none" w:sz="0" w:space="0" w:color="auto"/>
        <w:left w:val="none" w:sz="0" w:space="0" w:color="auto"/>
        <w:bottom w:val="none" w:sz="0" w:space="0" w:color="auto"/>
        <w:right w:val="none" w:sz="0" w:space="0" w:color="auto"/>
      </w:divBdr>
    </w:div>
    <w:div w:id="1091314918">
      <w:bodyDiv w:val="1"/>
      <w:marLeft w:val="0"/>
      <w:marRight w:val="0"/>
      <w:marTop w:val="0"/>
      <w:marBottom w:val="0"/>
      <w:divBdr>
        <w:top w:val="none" w:sz="0" w:space="0" w:color="auto"/>
        <w:left w:val="none" w:sz="0" w:space="0" w:color="auto"/>
        <w:bottom w:val="none" w:sz="0" w:space="0" w:color="auto"/>
        <w:right w:val="none" w:sz="0" w:space="0" w:color="auto"/>
      </w:divBdr>
    </w:div>
    <w:div w:id="1092311448">
      <w:bodyDiv w:val="1"/>
      <w:marLeft w:val="0"/>
      <w:marRight w:val="0"/>
      <w:marTop w:val="0"/>
      <w:marBottom w:val="0"/>
      <w:divBdr>
        <w:top w:val="none" w:sz="0" w:space="0" w:color="auto"/>
        <w:left w:val="none" w:sz="0" w:space="0" w:color="auto"/>
        <w:bottom w:val="none" w:sz="0" w:space="0" w:color="auto"/>
        <w:right w:val="none" w:sz="0" w:space="0" w:color="auto"/>
      </w:divBdr>
    </w:div>
    <w:div w:id="1094476718">
      <w:bodyDiv w:val="1"/>
      <w:marLeft w:val="0"/>
      <w:marRight w:val="0"/>
      <w:marTop w:val="0"/>
      <w:marBottom w:val="0"/>
      <w:divBdr>
        <w:top w:val="none" w:sz="0" w:space="0" w:color="auto"/>
        <w:left w:val="none" w:sz="0" w:space="0" w:color="auto"/>
        <w:bottom w:val="none" w:sz="0" w:space="0" w:color="auto"/>
        <w:right w:val="none" w:sz="0" w:space="0" w:color="auto"/>
      </w:divBdr>
    </w:div>
    <w:div w:id="1094667581">
      <w:bodyDiv w:val="1"/>
      <w:marLeft w:val="0"/>
      <w:marRight w:val="0"/>
      <w:marTop w:val="0"/>
      <w:marBottom w:val="0"/>
      <w:divBdr>
        <w:top w:val="none" w:sz="0" w:space="0" w:color="auto"/>
        <w:left w:val="none" w:sz="0" w:space="0" w:color="auto"/>
        <w:bottom w:val="none" w:sz="0" w:space="0" w:color="auto"/>
        <w:right w:val="none" w:sz="0" w:space="0" w:color="auto"/>
      </w:divBdr>
    </w:div>
    <w:div w:id="1095631008">
      <w:bodyDiv w:val="1"/>
      <w:marLeft w:val="0"/>
      <w:marRight w:val="0"/>
      <w:marTop w:val="0"/>
      <w:marBottom w:val="0"/>
      <w:divBdr>
        <w:top w:val="none" w:sz="0" w:space="0" w:color="auto"/>
        <w:left w:val="none" w:sz="0" w:space="0" w:color="auto"/>
        <w:bottom w:val="none" w:sz="0" w:space="0" w:color="auto"/>
        <w:right w:val="none" w:sz="0" w:space="0" w:color="auto"/>
      </w:divBdr>
    </w:div>
    <w:div w:id="1097680205">
      <w:bodyDiv w:val="1"/>
      <w:marLeft w:val="0"/>
      <w:marRight w:val="0"/>
      <w:marTop w:val="0"/>
      <w:marBottom w:val="0"/>
      <w:divBdr>
        <w:top w:val="none" w:sz="0" w:space="0" w:color="auto"/>
        <w:left w:val="none" w:sz="0" w:space="0" w:color="auto"/>
        <w:bottom w:val="none" w:sz="0" w:space="0" w:color="auto"/>
        <w:right w:val="none" w:sz="0" w:space="0" w:color="auto"/>
      </w:divBdr>
    </w:div>
    <w:div w:id="1097752302">
      <w:bodyDiv w:val="1"/>
      <w:marLeft w:val="0"/>
      <w:marRight w:val="0"/>
      <w:marTop w:val="0"/>
      <w:marBottom w:val="0"/>
      <w:divBdr>
        <w:top w:val="none" w:sz="0" w:space="0" w:color="auto"/>
        <w:left w:val="none" w:sz="0" w:space="0" w:color="auto"/>
        <w:bottom w:val="none" w:sz="0" w:space="0" w:color="auto"/>
        <w:right w:val="none" w:sz="0" w:space="0" w:color="auto"/>
      </w:divBdr>
    </w:div>
    <w:div w:id="1097752949">
      <w:bodyDiv w:val="1"/>
      <w:marLeft w:val="0"/>
      <w:marRight w:val="0"/>
      <w:marTop w:val="0"/>
      <w:marBottom w:val="0"/>
      <w:divBdr>
        <w:top w:val="none" w:sz="0" w:space="0" w:color="auto"/>
        <w:left w:val="none" w:sz="0" w:space="0" w:color="auto"/>
        <w:bottom w:val="none" w:sz="0" w:space="0" w:color="auto"/>
        <w:right w:val="none" w:sz="0" w:space="0" w:color="auto"/>
      </w:divBdr>
    </w:div>
    <w:div w:id="1098915593">
      <w:bodyDiv w:val="1"/>
      <w:marLeft w:val="0"/>
      <w:marRight w:val="0"/>
      <w:marTop w:val="0"/>
      <w:marBottom w:val="0"/>
      <w:divBdr>
        <w:top w:val="none" w:sz="0" w:space="0" w:color="auto"/>
        <w:left w:val="none" w:sz="0" w:space="0" w:color="auto"/>
        <w:bottom w:val="none" w:sz="0" w:space="0" w:color="auto"/>
        <w:right w:val="none" w:sz="0" w:space="0" w:color="auto"/>
      </w:divBdr>
    </w:div>
    <w:div w:id="1099914420">
      <w:bodyDiv w:val="1"/>
      <w:marLeft w:val="0"/>
      <w:marRight w:val="0"/>
      <w:marTop w:val="0"/>
      <w:marBottom w:val="0"/>
      <w:divBdr>
        <w:top w:val="none" w:sz="0" w:space="0" w:color="auto"/>
        <w:left w:val="none" w:sz="0" w:space="0" w:color="auto"/>
        <w:bottom w:val="none" w:sz="0" w:space="0" w:color="auto"/>
        <w:right w:val="none" w:sz="0" w:space="0" w:color="auto"/>
      </w:divBdr>
    </w:div>
    <w:div w:id="1100952948">
      <w:bodyDiv w:val="1"/>
      <w:marLeft w:val="0"/>
      <w:marRight w:val="0"/>
      <w:marTop w:val="0"/>
      <w:marBottom w:val="0"/>
      <w:divBdr>
        <w:top w:val="none" w:sz="0" w:space="0" w:color="auto"/>
        <w:left w:val="none" w:sz="0" w:space="0" w:color="auto"/>
        <w:bottom w:val="none" w:sz="0" w:space="0" w:color="auto"/>
        <w:right w:val="none" w:sz="0" w:space="0" w:color="auto"/>
      </w:divBdr>
    </w:div>
    <w:div w:id="1101605144">
      <w:bodyDiv w:val="1"/>
      <w:marLeft w:val="0"/>
      <w:marRight w:val="0"/>
      <w:marTop w:val="0"/>
      <w:marBottom w:val="0"/>
      <w:divBdr>
        <w:top w:val="none" w:sz="0" w:space="0" w:color="auto"/>
        <w:left w:val="none" w:sz="0" w:space="0" w:color="auto"/>
        <w:bottom w:val="none" w:sz="0" w:space="0" w:color="auto"/>
        <w:right w:val="none" w:sz="0" w:space="0" w:color="auto"/>
      </w:divBdr>
    </w:div>
    <w:div w:id="1101799111">
      <w:bodyDiv w:val="1"/>
      <w:marLeft w:val="0"/>
      <w:marRight w:val="0"/>
      <w:marTop w:val="0"/>
      <w:marBottom w:val="0"/>
      <w:divBdr>
        <w:top w:val="none" w:sz="0" w:space="0" w:color="auto"/>
        <w:left w:val="none" w:sz="0" w:space="0" w:color="auto"/>
        <w:bottom w:val="none" w:sz="0" w:space="0" w:color="auto"/>
        <w:right w:val="none" w:sz="0" w:space="0" w:color="auto"/>
      </w:divBdr>
    </w:div>
    <w:div w:id="1101804798">
      <w:bodyDiv w:val="1"/>
      <w:marLeft w:val="0"/>
      <w:marRight w:val="0"/>
      <w:marTop w:val="0"/>
      <w:marBottom w:val="0"/>
      <w:divBdr>
        <w:top w:val="none" w:sz="0" w:space="0" w:color="auto"/>
        <w:left w:val="none" w:sz="0" w:space="0" w:color="auto"/>
        <w:bottom w:val="none" w:sz="0" w:space="0" w:color="auto"/>
        <w:right w:val="none" w:sz="0" w:space="0" w:color="auto"/>
      </w:divBdr>
    </w:div>
    <w:div w:id="1102914973">
      <w:bodyDiv w:val="1"/>
      <w:marLeft w:val="0"/>
      <w:marRight w:val="0"/>
      <w:marTop w:val="0"/>
      <w:marBottom w:val="0"/>
      <w:divBdr>
        <w:top w:val="none" w:sz="0" w:space="0" w:color="auto"/>
        <w:left w:val="none" w:sz="0" w:space="0" w:color="auto"/>
        <w:bottom w:val="none" w:sz="0" w:space="0" w:color="auto"/>
        <w:right w:val="none" w:sz="0" w:space="0" w:color="auto"/>
      </w:divBdr>
    </w:div>
    <w:div w:id="1103841258">
      <w:bodyDiv w:val="1"/>
      <w:marLeft w:val="0"/>
      <w:marRight w:val="0"/>
      <w:marTop w:val="0"/>
      <w:marBottom w:val="0"/>
      <w:divBdr>
        <w:top w:val="none" w:sz="0" w:space="0" w:color="auto"/>
        <w:left w:val="none" w:sz="0" w:space="0" w:color="auto"/>
        <w:bottom w:val="none" w:sz="0" w:space="0" w:color="auto"/>
        <w:right w:val="none" w:sz="0" w:space="0" w:color="auto"/>
      </w:divBdr>
    </w:div>
    <w:div w:id="1104033371">
      <w:bodyDiv w:val="1"/>
      <w:marLeft w:val="0"/>
      <w:marRight w:val="0"/>
      <w:marTop w:val="0"/>
      <w:marBottom w:val="0"/>
      <w:divBdr>
        <w:top w:val="none" w:sz="0" w:space="0" w:color="auto"/>
        <w:left w:val="none" w:sz="0" w:space="0" w:color="auto"/>
        <w:bottom w:val="none" w:sz="0" w:space="0" w:color="auto"/>
        <w:right w:val="none" w:sz="0" w:space="0" w:color="auto"/>
      </w:divBdr>
    </w:div>
    <w:div w:id="1104349629">
      <w:bodyDiv w:val="1"/>
      <w:marLeft w:val="0"/>
      <w:marRight w:val="0"/>
      <w:marTop w:val="0"/>
      <w:marBottom w:val="0"/>
      <w:divBdr>
        <w:top w:val="none" w:sz="0" w:space="0" w:color="auto"/>
        <w:left w:val="none" w:sz="0" w:space="0" w:color="auto"/>
        <w:bottom w:val="none" w:sz="0" w:space="0" w:color="auto"/>
        <w:right w:val="none" w:sz="0" w:space="0" w:color="auto"/>
      </w:divBdr>
    </w:div>
    <w:div w:id="1104572244">
      <w:bodyDiv w:val="1"/>
      <w:marLeft w:val="0"/>
      <w:marRight w:val="0"/>
      <w:marTop w:val="0"/>
      <w:marBottom w:val="0"/>
      <w:divBdr>
        <w:top w:val="none" w:sz="0" w:space="0" w:color="auto"/>
        <w:left w:val="none" w:sz="0" w:space="0" w:color="auto"/>
        <w:bottom w:val="none" w:sz="0" w:space="0" w:color="auto"/>
        <w:right w:val="none" w:sz="0" w:space="0" w:color="auto"/>
      </w:divBdr>
    </w:div>
    <w:div w:id="1104620016">
      <w:bodyDiv w:val="1"/>
      <w:marLeft w:val="0"/>
      <w:marRight w:val="0"/>
      <w:marTop w:val="0"/>
      <w:marBottom w:val="0"/>
      <w:divBdr>
        <w:top w:val="none" w:sz="0" w:space="0" w:color="auto"/>
        <w:left w:val="none" w:sz="0" w:space="0" w:color="auto"/>
        <w:bottom w:val="none" w:sz="0" w:space="0" w:color="auto"/>
        <w:right w:val="none" w:sz="0" w:space="0" w:color="auto"/>
      </w:divBdr>
    </w:div>
    <w:div w:id="1104809441">
      <w:bodyDiv w:val="1"/>
      <w:marLeft w:val="0"/>
      <w:marRight w:val="0"/>
      <w:marTop w:val="0"/>
      <w:marBottom w:val="0"/>
      <w:divBdr>
        <w:top w:val="none" w:sz="0" w:space="0" w:color="auto"/>
        <w:left w:val="none" w:sz="0" w:space="0" w:color="auto"/>
        <w:bottom w:val="none" w:sz="0" w:space="0" w:color="auto"/>
        <w:right w:val="none" w:sz="0" w:space="0" w:color="auto"/>
      </w:divBdr>
    </w:div>
    <w:div w:id="1105811619">
      <w:bodyDiv w:val="1"/>
      <w:marLeft w:val="0"/>
      <w:marRight w:val="0"/>
      <w:marTop w:val="0"/>
      <w:marBottom w:val="0"/>
      <w:divBdr>
        <w:top w:val="none" w:sz="0" w:space="0" w:color="auto"/>
        <w:left w:val="none" w:sz="0" w:space="0" w:color="auto"/>
        <w:bottom w:val="none" w:sz="0" w:space="0" w:color="auto"/>
        <w:right w:val="none" w:sz="0" w:space="0" w:color="auto"/>
      </w:divBdr>
    </w:div>
    <w:div w:id="1106118396">
      <w:bodyDiv w:val="1"/>
      <w:marLeft w:val="0"/>
      <w:marRight w:val="0"/>
      <w:marTop w:val="0"/>
      <w:marBottom w:val="0"/>
      <w:divBdr>
        <w:top w:val="none" w:sz="0" w:space="0" w:color="auto"/>
        <w:left w:val="none" w:sz="0" w:space="0" w:color="auto"/>
        <w:bottom w:val="none" w:sz="0" w:space="0" w:color="auto"/>
        <w:right w:val="none" w:sz="0" w:space="0" w:color="auto"/>
      </w:divBdr>
    </w:div>
    <w:div w:id="1106659567">
      <w:bodyDiv w:val="1"/>
      <w:marLeft w:val="0"/>
      <w:marRight w:val="0"/>
      <w:marTop w:val="0"/>
      <w:marBottom w:val="0"/>
      <w:divBdr>
        <w:top w:val="none" w:sz="0" w:space="0" w:color="auto"/>
        <w:left w:val="none" w:sz="0" w:space="0" w:color="auto"/>
        <w:bottom w:val="none" w:sz="0" w:space="0" w:color="auto"/>
        <w:right w:val="none" w:sz="0" w:space="0" w:color="auto"/>
      </w:divBdr>
    </w:div>
    <w:div w:id="1108089271">
      <w:bodyDiv w:val="1"/>
      <w:marLeft w:val="0"/>
      <w:marRight w:val="0"/>
      <w:marTop w:val="0"/>
      <w:marBottom w:val="0"/>
      <w:divBdr>
        <w:top w:val="none" w:sz="0" w:space="0" w:color="auto"/>
        <w:left w:val="none" w:sz="0" w:space="0" w:color="auto"/>
        <w:bottom w:val="none" w:sz="0" w:space="0" w:color="auto"/>
        <w:right w:val="none" w:sz="0" w:space="0" w:color="auto"/>
      </w:divBdr>
    </w:div>
    <w:div w:id="1108890628">
      <w:bodyDiv w:val="1"/>
      <w:marLeft w:val="0"/>
      <w:marRight w:val="0"/>
      <w:marTop w:val="0"/>
      <w:marBottom w:val="0"/>
      <w:divBdr>
        <w:top w:val="none" w:sz="0" w:space="0" w:color="auto"/>
        <w:left w:val="none" w:sz="0" w:space="0" w:color="auto"/>
        <w:bottom w:val="none" w:sz="0" w:space="0" w:color="auto"/>
        <w:right w:val="none" w:sz="0" w:space="0" w:color="auto"/>
      </w:divBdr>
    </w:div>
    <w:div w:id="1109546835">
      <w:bodyDiv w:val="1"/>
      <w:marLeft w:val="0"/>
      <w:marRight w:val="0"/>
      <w:marTop w:val="0"/>
      <w:marBottom w:val="0"/>
      <w:divBdr>
        <w:top w:val="none" w:sz="0" w:space="0" w:color="auto"/>
        <w:left w:val="none" w:sz="0" w:space="0" w:color="auto"/>
        <w:bottom w:val="none" w:sz="0" w:space="0" w:color="auto"/>
        <w:right w:val="none" w:sz="0" w:space="0" w:color="auto"/>
      </w:divBdr>
    </w:div>
    <w:div w:id="1112091800">
      <w:bodyDiv w:val="1"/>
      <w:marLeft w:val="0"/>
      <w:marRight w:val="0"/>
      <w:marTop w:val="0"/>
      <w:marBottom w:val="0"/>
      <w:divBdr>
        <w:top w:val="none" w:sz="0" w:space="0" w:color="auto"/>
        <w:left w:val="none" w:sz="0" w:space="0" w:color="auto"/>
        <w:bottom w:val="none" w:sz="0" w:space="0" w:color="auto"/>
        <w:right w:val="none" w:sz="0" w:space="0" w:color="auto"/>
      </w:divBdr>
    </w:div>
    <w:div w:id="1112899234">
      <w:bodyDiv w:val="1"/>
      <w:marLeft w:val="0"/>
      <w:marRight w:val="0"/>
      <w:marTop w:val="0"/>
      <w:marBottom w:val="0"/>
      <w:divBdr>
        <w:top w:val="none" w:sz="0" w:space="0" w:color="auto"/>
        <w:left w:val="none" w:sz="0" w:space="0" w:color="auto"/>
        <w:bottom w:val="none" w:sz="0" w:space="0" w:color="auto"/>
        <w:right w:val="none" w:sz="0" w:space="0" w:color="auto"/>
      </w:divBdr>
    </w:div>
    <w:div w:id="1114329067">
      <w:bodyDiv w:val="1"/>
      <w:marLeft w:val="0"/>
      <w:marRight w:val="0"/>
      <w:marTop w:val="0"/>
      <w:marBottom w:val="0"/>
      <w:divBdr>
        <w:top w:val="none" w:sz="0" w:space="0" w:color="auto"/>
        <w:left w:val="none" w:sz="0" w:space="0" w:color="auto"/>
        <w:bottom w:val="none" w:sz="0" w:space="0" w:color="auto"/>
        <w:right w:val="none" w:sz="0" w:space="0" w:color="auto"/>
      </w:divBdr>
    </w:div>
    <w:div w:id="1114397816">
      <w:bodyDiv w:val="1"/>
      <w:marLeft w:val="0"/>
      <w:marRight w:val="0"/>
      <w:marTop w:val="0"/>
      <w:marBottom w:val="0"/>
      <w:divBdr>
        <w:top w:val="none" w:sz="0" w:space="0" w:color="auto"/>
        <w:left w:val="none" w:sz="0" w:space="0" w:color="auto"/>
        <w:bottom w:val="none" w:sz="0" w:space="0" w:color="auto"/>
        <w:right w:val="none" w:sz="0" w:space="0" w:color="auto"/>
      </w:divBdr>
    </w:div>
    <w:div w:id="1115363788">
      <w:bodyDiv w:val="1"/>
      <w:marLeft w:val="0"/>
      <w:marRight w:val="0"/>
      <w:marTop w:val="0"/>
      <w:marBottom w:val="0"/>
      <w:divBdr>
        <w:top w:val="none" w:sz="0" w:space="0" w:color="auto"/>
        <w:left w:val="none" w:sz="0" w:space="0" w:color="auto"/>
        <w:bottom w:val="none" w:sz="0" w:space="0" w:color="auto"/>
        <w:right w:val="none" w:sz="0" w:space="0" w:color="auto"/>
      </w:divBdr>
    </w:div>
    <w:div w:id="1115831498">
      <w:bodyDiv w:val="1"/>
      <w:marLeft w:val="0"/>
      <w:marRight w:val="0"/>
      <w:marTop w:val="0"/>
      <w:marBottom w:val="0"/>
      <w:divBdr>
        <w:top w:val="none" w:sz="0" w:space="0" w:color="auto"/>
        <w:left w:val="none" w:sz="0" w:space="0" w:color="auto"/>
        <w:bottom w:val="none" w:sz="0" w:space="0" w:color="auto"/>
        <w:right w:val="none" w:sz="0" w:space="0" w:color="auto"/>
      </w:divBdr>
    </w:div>
    <w:div w:id="1115978875">
      <w:bodyDiv w:val="1"/>
      <w:marLeft w:val="0"/>
      <w:marRight w:val="0"/>
      <w:marTop w:val="0"/>
      <w:marBottom w:val="0"/>
      <w:divBdr>
        <w:top w:val="none" w:sz="0" w:space="0" w:color="auto"/>
        <w:left w:val="none" w:sz="0" w:space="0" w:color="auto"/>
        <w:bottom w:val="none" w:sz="0" w:space="0" w:color="auto"/>
        <w:right w:val="none" w:sz="0" w:space="0" w:color="auto"/>
      </w:divBdr>
    </w:div>
    <w:div w:id="1116559293">
      <w:bodyDiv w:val="1"/>
      <w:marLeft w:val="0"/>
      <w:marRight w:val="0"/>
      <w:marTop w:val="0"/>
      <w:marBottom w:val="0"/>
      <w:divBdr>
        <w:top w:val="none" w:sz="0" w:space="0" w:color="auto"/>
        <w:left w:val="none" w:sz="0" w:space="0" w:color="auto"/>
        <w:bottom w:val="none" w:sz="0" w:space="0" w:color="auto"/>
        <w:right w:val="none" w:sz="0" w:space="0" w:color="auto"/>
      </w:divBdr>
    </w:div>
    <w:div w:id="1118373782">
      <w:bodyDiv w:val="1"/>
      <w:marLeft w:val="0"/>
      <w:marRight w:val="0"/>
      <w:marTop w:val="0"/>
      <w:marBottom w:val="0"/>
      <w:divBdr>
        <w:top w:val="none" w:sz="0" w:space="0" w:color="auto"/>
        <w:left w:val="none" w:sz="0" w:space="0" w:color="auto"/>
        <w:bottom w:val="none" w:sz="0" w:space="0" w:color="auto"/>
        <w:right w:val="none" w:sz="0" w:space="0" w:color="auto"/>
      </w:divBdr>
    </w:div>
    <w:div w:id="1119496289">
      <w:bodyDiv w:val="1"/>
      <w:marLeft w:val="0"/>
      <w:marRight w:val="0"/>
      <w:marTop w:val="0"/>
      <w:marBottom w:val="0"/>
      <w:divBdr>
        <w:top w:val="none" w:sz="0" w:space="0" w:color="auto"/>
        <w:left w:val="none" w:sz="0" w:space="0" w:color="auto"/>
        <w:bottom w:val="none" w:sz="0" w:space="0" w:color="auto"/>
        <w:right w:val="none" w:sz="0" w:space="0" w:color="auto"/>
      </w:divBdr>
    </w:div>
    <w:div w:id="1119761705">
      <w:bodyDiv w:val="1"/>
      <w:marLeft w:val="0"/>
      <w:marRight w:val="0"/>
      <w:marTop w:val="0"/>
      <w:marBottom w:val="0"/>
      <w:divBdr>
        <w:top w:val="none" w:sz="0" w:space="0" w:color="auto"/>
        <w:left w:val="none" w:sz="0" w:space="0" w:color="auto"/>
        <w:bottom w:val="none" w:sz="0" w:space="0" w:color="auto"/>
        <w:right w:val="none" w:sz="0" w:space="0" w:color="auto"/>
      </w:divBdr>
    </w:div>
    <w:div w:id="1120496854">
      <w:bodyDiv w:val="1"/>
      <w:marLeft w:val="0"/>
      <w:marRight w:val="0"/>
      <w:marTop w:val="0"/>
      <w:marBottom w:val="0"/>
      <w:divBdr>
        <w:top w:val="none" w:sz="0" w:space="0" w:color="auto"/>
        <w:left w:val="none" w:sz="0" w:space="0" w:color="auto"/>
        <w:bottom w:val="none" w:sz="0" w:space="0" w:color="auto"/>
        <w:right w:val="none" w:sz="0" w:space="0" w:color="auto"/>
      </w:divBdr>
    </w:div>
    <w:div w:id="1121455294">
      <w:bodyDiv w:val="1"/>
      <w:marLeft w:val="0"/>
      <w:marRight w:val="0"/>
      <w:marTop w:val="0"/>
      <w:marBottom w:val="0"/>
      <w:divBdr>
        <w:top w:val="none" w:sz="0" w:space="0" w:color="auto"/>
        <w:left w:val="none" w:sz="0" w:space="0" w:color="auto"/>
        <w:bottom w:val="none" w:sz="0" w:space="0" w:color="auto"/>
        <w:right w:val="none" w:sz="0" w:space="0" w:color="auto"/>
      </w:divBdr>
    </w:div>
    <w:div w:id="1123157488">
      <w:bodyDiv w:val="1"/>
      <w:marLeft w:val="0"/>
      <w:marRight w:val="0"/>
      <w:marTop w:val="0"/>
      <w:marBottom w:val="0"/>
      <w:divBdr>
        <w:top w:val="none" w:sz="0" w:space="0" w:color="auto"/>
        <w:left w:val="none" w:sz="0" w:space="0" w:color="auto"/>
        <w:bottom w:val="none" w:sz="0" w:space="0" w:color="auto"/>
        <w:right w:val="none" w:sz="0" w:space="0" w:color="auto"/>
      </w:divBdr>
    </w:div>
    <w:div w:id="1124155472">
      <w:bodyDiv w:val="1"/>
      <w:marLeft w:val="0"/>
      <w:marRight w:val="0"/>
      <w:marTop w:val="0"/>
      <w:marBottom w:val="0"/>
      <w:divBdr>
        <w:top w:val="none" w:sz="0" w:space="0" w:color="auto"/>
        <w:left w:val="none" w:sz="0" w:space="0" w:color="auto"/>
        <w:bottom w:val="none" w:sz="0" w:space="0" w:color="auto"/>
        <w:right w:val="none" w:sz="0" w:space="0" w:color="auto"/>
      </w:divBdr>
    </w:div>
    <w:div w:id="1125351401">
      <w:bodyDiv w:val="1"/>
      <w:marLeft w:val="0"/>
      <w:marRight w:val="0"/>
      <w:marTop w:val="0"/>
      <w:marBottom w:val="0"/>
      <w:divBdr>
        <w:top w:val="none" w:sz="0" w:space="0" w:color="auto"/>
        <w:left w:val="none" w:sz="0" w:space="0" w:color="auto"/>
        <w:bottom w:val="none" w:sz="0" w:space="0" w:color="auto"/>
        <w:right w:val="none" w:sz="0" w:space="0" w:color="auto"/>
      </w:divBdr>
    </w:div>
    <w:div w:id="1126580668">
      <w:bodyDiv w:val="1"/>
      <w:marLeft w:val="0"/>
      <w:marRight w:val="0"/>
      <w:marTop w:val="0"/>
      <w:marBottom w:val="0"/>
      <w:divBdr>
        <w:top w:val="none" w:sz="0" w:space="0" w:color="auto"/>
        <w:left w:val="none" w:sz="0" w:space="0" w:color="auto"/>
        <w:bottom w:val="none" w:sz="0" w:space="0" w:color="auto"/>
        <w:right w:val="none" w:sz="0" w:space="0" w:color="auto"/>
      </w:divBdr>
    </w:div>
    <w:div w:id="1126893723">
      <w:bodyDiv w:val="1"/>
      <w:marLeft w:val="0"/>
      <w:marRight w:val="0"/>
      <w:marTop w:val="0"/>
      <w:marBottom w:val="0"/>
      <w:divBdr>
        <w:top w:val="none" w:sz="0" w:space="0" w:color="auto"/>
        <w:left w:val="none" w:sz="0" w:space="0" w:color="auto"/>
        <w:bottom w:val="none" w:sz="0" w:space="0" w:color="auto"/>
        <w:right w:val="none" w:sz="0" w:space="0" w:color="auto"/>
      </w:divBdr>
    </w:div>
    <w:div w:id="1126971519">
      <w:bodyDiv w:val="1"/>
      <w:marLeft w:val="0"/>
      <w:marRight w:val="0"/>
      <w:marTop w:val="0"/>
      <w:marBottom w:val="0"/>
      <w:divBdr>
        <w:top w:val="none" w:sz="0" w:space="0" w:color="auto"/>
        <w:left w:val="none" w:sz="0" w:space="0" w:color="auto"/>
        <w:bottom w:val="none" w:sz="0" w:space="0" w:color="auto"/>
        <w:right w:val="none" w:sz="0" w:space="0" w:color="auto"/>
      </w:divBdr>
    </w:div>
    <w:div w:id="1127165508">
      <w:bodyDiv w:val="1"/>
      <w:marLeft w:val="0"/>
      <w:marRight w:val="0"/>
      <w:marTop w:val="0"/>
      <w:marBottom w:val="0"/>
      <w:divBdr>
        <w:top w:val="none" w:sz="0" w:space="0" w:color="auto"/>
        <w:left w:val="none" w:sz="0" w:space="0" w:color="auto"/>
        <w:bottom w:val="none" w:sz="0" w:space="0" w:color="auto"/>
        <w:right w:val="none" w:sz="0" w:space="0" w:color="auto"/>
      </w:divBdr>
    </w:div>
    <w:div w:id="1127239243">
      <w:bodyDiv w:val="1"/>
      <w:marLeft w:val="0"/>
      <w:marRight w:val="0"/>
      <w:marTop w:val="0"/>
      <w:marBottom w:val="0"/>
      <w:divBdr>
        <w:top w:val="none" w:sz="0" w:space="0" w:color="auto"/>
        <w:left w:val="none" w:sz="0" w:space="0" w:color="auto"/>
        <w:bottom w:val="none" w:sz="0" w:space="0" w:color="auto"/>
        <w:right w:val="none" w:sz="0" w:space="0" w:color="auto"/>
      </w:divBdr>
    </w:div>
    <w:div w:id="1129281690">
      <w:bodyDiv w:val="1"/>
      <w:marLeft w:val="0"/>
      <w:marRight w:val="0"/>
      <w:marTop w:val="0"/>
      <w:marBottom w:val="0"/>
      <w:divBdr>
        <w:top w:val="none" w:sz="0" w:space="0" w:color="auto"/>
        <w:left w:val="none" w:sz="0" w:space="0" w:color="auto"/>
        <w:bottom w:val="none" w:sz="0" w:space="0" w:color="auto"/>
        <w:right w:val="none" w:sz="0" w:space="0" w:color="auto"/>
      </w:divBdr>
    </w:div>
    <w:div w:id="1129398929">
      <w:bodyDiv w:val="1"/>
      <w:marLeft w:val="0"/>
      <w:marRight w:val="0"/>
      <w:marTop w:val="0"/>
      <w:marBottom w:val="0"/>
      <w:divBdr>
        <w:top w:val="none" w:sz="0" w:space="0" w:color="auto"/>
        <w:left w:val="none" w:sz="0" w:space="0" w:color="auto"/>
        <w:bottom w:val="none" w:sz="0" w:space="0" w:color="auto"/>
        <w:right w:val="none" w:sz="0" w:space="0" w:color="auto"/>
      </w:divBdr>
    </w:div>
    <w:div w:id="1129784742">
      <w:bodyDiv w:val="1"/>
      <w:marLeft w:val="0"/>
      <w:marRight w:val="0"/>
      <w:marTop w:val="0"/>
      <w:marBottom w:val="0"/>
      <w:divBdr>
        <w:top w:val="none" w:sz="0" w:space="0" w:color="auto"/>
        <w:left w:val="none" w:sz="0" w:space="0" w:color="auto"/>
        <w:bottom w:val="none" w:sz="0" w:space="0" w:color="auto"/>
        <w:right w:val="none" w:sz="0" w:space="0" w:color="auto"/>
      </w:divBdr>
    </w:div>
    <w:div w:id="1130053091">
      <w:bodyDiv w:val="1"/>
      <w:marLeft w:val="0"/>
      <w:marRight w:val="0"/>
      <w:marTop w:val="0"/>
      <w:marBottom w:val="0"/>
      <w:divBdr>
        <w:top w:val="none" w:sz="0" w:space="0" w:color="auto"/>
        <w:left w:val="none" w:sz="0" w:space="0" w:color="auto"/>
        <w:bottom w:val="none" w:sz="0" w:space="0" w:color="auto"/>
        <w:right w:val="none" w:sz="0" w:space="0" w:color="auto"/>
      </w:divBdr>
    </w:div>
    <w:div w:id="1130781476">
      <w:bodyDiv w:val="1"/>
      <w:marLeft w:val="0"/>
      <w:marRight w:val="0"/>
      <w:marTop w:val="0"/>
      <w:marBottom w:val="0"/>
      <w:divBdr>
        <w:top w:val="none" w:sz="0" w:space="0" w:color="auto"/>
        <w:left w:val="none" w:sz="0" w:space="0" w:color="auto"/>
        <w:bottom w:val="none" w:sz="0" w:space="0" w:color="auto"/>
        <w:right w:val="none" w:sz="0" w:space="0" w:color="auto"/>
      </w:divBdr>
    </w:div>
    <w:div w:id="1131051757">
      <w:bodyDiv w:val="1"/>
      <w:marLeft w:val="0"/>
      <w:marRight w:val="0"/>
      <w:marTop w:val="0"/>
      <w:marBottom w:val="0"/>
      <w:divBdr>
        <w:top w:val="none" w:sz="0" w:space="0" w:color="auto"/>
        <w:left w:val="none" w:sz="0" w:space="0" w:color="auto"/>
        <w:bottom w:val="none" w:sz="0" w:space="0" w:color="auto"/>
        <w:right w:val="none" w:sz="0" w:space="0" w:color="auto"/>
      </w:divBdr>
    </w:div>
    <w:div w:id="1132597949">
      <w:bodyDiv w:val="1"/>
      <w:marLeft w:val="0"/>
      <w:marRight w:val="0"/>
      <w:marTop w:val="0"/>
      <w:marBottom w:val="0"/>
      <w:divBdr>
        <w:top w:val="none" w:sz="0" w:space="0" w:color="auto"/>
        <w:left w:val="none" w:sz="0" w:space="0" w:color="auto"/>
        <w:bottom w:val="none" w:sz="0" w:space="0" w:color="auto"/>
        <w:right w:val="none" w:sz="0" w:space="0" w:color="auto"/>
      </w:divBdr>
    </w:div>
    <w:div w:id="1133868920">
      <w:bodyDiv w:val="1"/>
      <w:marLeft w:val="0"/>
      <w:marRight w:val="0"/>
      <w:marTop w:val="0"/>
      <w:marBottom w:val="0"/>
      <w:divBdr>
        <w:top w:val="none" w:sz="0" w:space="0" w:color="auto"/>
        <w:left w:val="none" w:sz="0" w:space="0" w:color="auto"/>
        <w:bottom w:val="none" w:sz="0" w:space="0" w:color="auto"/>
        <w:right w:val="none" w:sz="0" w:space="0" w:color="auto"/>
      </w:divBdr>
    </w:div>
    <w:div w:id="1134062132">
      <w:bodyDiv w:val="1"/>
      <w:marLeft w:val="0"/>
      <w:marRight w:val="0"/>
      <w:marTop w:val="0"/>
      <w:marBottom w:val="0"/>
      <w:divBdr>
        <w:top w:val="none" w:sz="0" w:space="0" w:color="auto"/>
        <w:left w:val="none" w:sz="0" w:space="0" w:color="auto"/>
        <w:bottom w:val="none" w:sz="0" w:space="0" w:color="auto"/>
        <w:right w:val="none" w:sz="0" w:space="0" w:color="auto"/>
      </w:divBdr>
    </w:div>
    <w:div w:id="1136024428">
      <w:bodyDiv w:val="1"/>
      <w:marLeft w:val="0"/>
      <w:marRight w:val="0"/>
      <w:marTop w:val="0"/>
      <w:marBottom w:val="0"/>
      <w:divBdr>
        <w:top w:val="none" w:sz="0" w:space="0" w:color="auto"/>
        <w:left w:val="none" w:sz="0" w:space="0" w:color="auto"/>
        <w:bottom w:val="none" w:sz="0" w:space="0" w:color="auto"/>
        <w:right w:val="none" w:sz="0" w:space="0" w:color="auto"/>
      </w:divBdr>
    </w:div>
    <w:div w:id="1136029073">
      <w:bodyDiv w:val="1"/>
      <w:marLeft w:val="0"/>
      <w:marRight w:val="0"/>
      <w:marTop w:val="0"/>
      <w:marBottom w:val="0"/>
      <w:divBdr>
        <w:top w:val="none" w:sz="0" w:space="0" w:color="auto"/>
        <w:left w:val="none" w:sz="0" w:space="0" w:color="auto"/>
        <w:bottom w:val="none" w:sz="0" w:space="0" w:color="auto"/>
        <w:right w:val="none" w:sz="0" w:space="0" w:color="auto"/>
      </w:divBdr>
    </w:div>
    <w:div w:id="1136527890">
      <w:bodyDiv w:val="1"/>
      <w:marLeft w:val="0"/>
      <w:marRight w:val="0"/>
      <w:marTop w:val="0"/>
      <w:marBottom w:val="0"/>
      <w:divBdr>
        <w:top w:val="none" w:sz="0" w:space="0" w:color="auto"/>
        <w:left w:val="none" w:sz="0" w:space="0" w:color="auto"/>
        <w:bottom w:val="none" w:sz="0" w:space="0" w:color="auto"/>
        <w:right w:val="none" w:sz="0" w:space="0" w:color="auto"/>
      </w:divBdr>
    </w:div>
    <w:div w:id="1137725830">
      <w:bodyDiv w:val="1"/>
      <w:marLeft w:val="0"/>
      <w:marRight w:val="0"/>
      <w:marTop w:val="0"/>
      <w:marBottom w:val="0"/>
      <w:divBdr>
        <w:top w:val="none" w:sz="0" w:space="0" w:color="auto"/>
        <w:left w:val="none" w:sz="0" w:space="0" w:color="auto"/>
        <w:bottom w:val="none" w:sz="0" w:space="0" w:color="auto"/>
        <w:right w:val="none" w:sz="0" w:space="0" w:color="auto"/>
      </w:divBdr>
    </w:div>
    <w:div w:id="1138451953">
      <w:bodyDiv w:val="1"/>
      <w:marLeft w:val="0"/>
      <w:marRight w:val="0"/>
      <w:marTop w:val="0"/>
      <w:marBottom w:val="0"/>
      <w:divBdr>
        <w:top w:val="none" w:sz="0" w:space="0" w:color="auto"/>
        <w:left w:val="none" w:sz="0" w:space="0" w:color="auto"/>
        <w:bottom w:val="none" w:sz="0" w:space="0" w:color="auto"/>
        <w:right w:val="none" w:sz="0" w:space="0" w:color="auto"/>
      </w:divBdr>
    </w:div>
    <w:div w:id="1138493387">
      <w:bodyDiv w:val="1"/>
      <w:marLeft w:val="0"/>
      <w:marRight w:val="0"/>
      <w:marTop w:val="0"/>
      <w:marBottom w:val="0"/>
      <w:divBdr>
        <w:top w:val="none" w:sz="0" w:space="0" w:color="auto"/>
        <w:left w:val="none" w:sz="0" w:space="0" w:color="auto"/>
        <w:bottom w:val="none" w:sz="0" w:space="0" w:color="auto"/>
        <w:right w:val="none" w:sz="0" w:space="0" w:color="auto"/>
      </w:divBdr>
    </w:div>
    <w:div w:id="1138497699">
      <w:bodyDiv w:val="1"/>
      <w:marLeft w:val="0"/>
      <w:marRight w:val="0"/>
      <w:marTop w:val="0"/>
      <w:marBottom w:val="0"/>
      <w:divBdr>
        <w:top w:val="none" w:sz="0" w:space="0" w:color="auto"/>
        <w:left w:val="none" w:sz="0" w:space="0" w:color="auto"/>
        <w:bottom w:val="none" w:sz="0" w:space="0" w:color="auto"/>
        <w:right w:val="none" w:sz="0" w:space="0" w:color="auto"/>
      </w:divBdr>
    </w:div>
    <w:div w:id="1139228177">
      <w:bodyDiv w:val="1"/>
      <w:marLeft w:val="0"/>
      <w:marRight w:val="0"/>
      <w:marTop w:val="0"/>
      <w:marBottom w:val="0"/>
      <w:divBdr>
        <w:top w:val="none" w:sz="0" w:space="0" w:color="auto"/>
        <w:left w:val="none" w:sz="0" w:space="0" w:color="auto"/>
        <w:bottom w:val="none" w:sz="0" w:space="0" w:color="auto"/>
        <w:right w:val="none" w:sz="0" w:space="0" w:color="auto"/>
      </w:divBdr>
    </w:div>
    <w:div w:id="1141114973">
      <w:bodyDiv w:val="1"/>
      <w:marLeft w:val="0"/>
      <w:marRight w:val="0"/>
      <w:marTop w:val="0"/>
      <w:marBottom w:val="0"/>
      <w:divBdr>
        <w:top w:val="none" w:sz="0" w:space="0" w:color="auto"/>
        <w:left w:val="none" w:sz="0" w:space="0" w:color="auto"/>
        <w:bottom w:val="none" w:sz="0" w:space="0" w:color="auto"/>
        <w:right w:val="none" w:sz="0" w:space="0" w:color="auto"/>
      </w:divBdr>
    </w:div>
    <w:div w:id="1141845917">
      <w:bodyDiv w:val="1"/>
      <w:marLeft w:val="0"/>
      <w:marRight w:val="0"/>
      <w:marTop w:val="0"/>
      <w:marBottom w:val="0"/>
      <w:divBdr>
        <w:top w:val="none" w:sz="0" w:space="0" w:color="auto"/>
        <w:left w:val="none" w:sz="0" w:space="0" w:color="auto"/>
        <w:bottom w:val="none" w:sz="0" w:space="0" w:color="auto"/>
        <w:right w:val="none" w:sz="0" w:space="0" w:color="auto"/>
      </w:divBdr>
    </w:div>
    <w:div w:id="1146707249">
      <w:bodyDiv w:val="1"/>
      <w:marLeft w:val="0"/>
      <w:marRight w:val="0"/>
      <w:marTop w:val="0"/>
      <w:marBottom w:val="0"/>
      <w:divBdr>
        <w:top w:val="none" w:sz="0" w:space="0" w:color="auto"/>
        <w:left w:val="none" w:sz="0" w:space="0" w:color="auto"/>
        <w:bottom w:val="none" w:sz="0" w:space="0" w:color="auto"/>
        <w:right w:val="none" w:sz="0" w:space="0" w:color="auto"/>
      </w:divBdr>
    </w:div>
    <w:div w:id="1146817408">
      <w:bodyDiv w:val="1"/>
      <w:marLeft w:val="0"/>
      <w:marRight w:val="0"/>
      <w:marTop w:val="0"/>
      <w:marBottom w:val="0"/>
      <w:divBdr>
        <w:top w:val="none" w:sz="0" w:space="0" w:color="auto"/>
        <w:left w:val="none" w:sz="0" w:space="0" w:color="auto"/>
        <w:bottom w:val="none" w:sz="0" w:space="0" w:color="auto"/>
        <w:right w:val="none" w:sz="0" w:space="0" w:color="auto"/>
      </w:divBdr>
    </w:div>
    <w:div w:id="1147086095">
      <w:bodyDiv w:val="1"/>
      <w:marLeft w:val="0"/>
      <w:marRight w:val="0"/>
      <w:marTop w:val="0"/>
      <w:marBottom w:val="0"/>
      <w:divBdr>
        <w:top w:val="none" w:sz="0" w:space="0" w:color="auto"/>
        <w:left w:val="none" w:sz="0" w:space="0" w:color="auto"/>
        <w:bottom w:val="none" w:sz="0" w:space="0" w:color="auto"/>
        <w:right w:val="none" w:sz="0" w:space="0" w:color="auto"/>
      </w:divBdr>
    </w:div>
    <w:div w:id="1147094120">
      <w:bodyDiv w:val="1"/>
      <w:marLeft w:val="0"/>
      <w:marRight w:val="0"/>
      <w:marTop w:val="0"/>
      <w:marBottom w:val="0"/>
      <w:divBdr>
        <w:top w:val="none" w:sz="0" w:space="0" w:color="auto"/>
        <w:left w:val="none" w:sz="0" w:space="0" w:color="auto"/>
        <w:bottom w:val="none" w:sz="0" w:space="0" w:color="auto"/>
        <w:right w:val="none" w:sz="0" w:space="0" w:color="auto"/>
      </w:divBdr>
    </w:div>
    <w:div w:id="1147166289">
      <w:bodyDiv w:val="1"/>
      <w:marLeft w:val="0"/>
      <w:marRight w:val="0"/>
      <w:marTop w:val="0"/>
      <w:marBottom w:val="0"/>
      <w:divBdr>
        <w:top w:val="none" w:sz="0" w:space="0" w:color="auto"/>
        <w:left w:val="none" w:sz="0" w:space="0" w:color="auto"/>
        <w:bottom w:val="none" w:sz="0" w:space="0" w:color="auto"/>
        <w:right w:val="none" w:sz="0" w:space="0" w:color="auto"/>
      </w:divBdr>
    </w:div>
    <w:div w:id="1147281194">
      <w:bodyDiv w:val="1"/>
      <w:marLeft w:val="0"/>
      <w:marRight w:val="0"/>
      <w:marTop w:val="0"/>
      <w:marBottom w:val="0"/>
      <w:divBdr>
        <w:top w:val="none" w:sz="0" w:space="0" w:color="auto"/>
        <w:left w:val="none" w:sz="0" w:space="0" w:color="auto"/>
        <w:bottom w:val="none" w:sz="0" w:space="0" w:color="auto"/>
        <w:right w:val="none" w:sz="0" w:space="0" w:color="auto"/>
      </w:divBdr>
    </w:div>
    <w:div w:id="1149131133">
      <w:bodyDiv w:val="1"/>
      <w:marLeft w:val="0"/>
      <w:marRight w:val="0"/>
      <w:marTop w:val="0"/>
      <w:marBottom w:val="0"/>
      <w:divBdr>
        <w:top w:val="none" w:sz="0" w:space="0" w:color="auto"/>
        <w:left w:val="none" w:sz="0" w:space="0" w:color="auto"/>
        <w:bottom w:val="none" w:sz="0" w:space="0" w:color="auto"/>
        <w:right w:val="none" w:sz="0" w:space="0" w:color="auto"/>
      </w:divBdr>
    </w:div>
    <w:div w:id="1150361855">
      <w:bodyDiv w:val="1"/>
      <w:marLeft w:val="0"/>
      <w:marRight w:val="0"/>
      <w:marTop w:val="0"/>
      <w:marBottom w:val="0"/>
      <w:divBdr>
        <w:top w:val="none" w:sz="0" w:space="0" w:color="auto"/>
        <w:left w:val="none" w:sz="0" w:space="0" w:color="auto"/>
        <w:bottom w:val="none" w:sz="0" w:space="0" w:color="auto"/>
        <w:right w:val="none" w:sz="0" w:space="0" w:color="auto"/>
      </w:divBdr>
    </w:div>
    <w:div w:id="1151560232">
      <w:bodyDiv w:val="1"/>
      <w:marLeft w:val="0"/>
      <w:marRight w:val="0"/>
      <w:marTop w:val="0"/>
      <w:marBottom w:val="0"/>
      <w:divBdr>
        <w:top w:val="none" w:sz="0" w:space="0" w:color="auto"/>
        <w:left w:val="none" w:sz="0" w:space="0" w:color="auto"/>
        <w:bottom w:val="none" w:sz="0" w:space="0" w:color="auto"/>
        <w:right w:val="none" w:sz="0" w:space="0" w:color="auto"/>
      </w:divBdr>
    </w:div>
    <w:div w:id="1153520043">
      <w:bodyDiv w:val="1"/>
      <w:marLeft w:val="0"/>
      <w:marRight w:val="0"/>
      <w:marTop w:val="0"/>
      <w:marBottom w:val="0"/>
      <w:divBdr>
        <w:top w:val="none" w:sz="0" w:space="0" w:color="auto"/>
        <w:left w:val="none" w:sz="0" w:space="0" w:color="auto"/>
        <w:bottom w:val="none" w:sz="0" w:space="0" w:color="auto"/>
        <w:right w:val="none" w:sz="0" w:space="0" w:color="auto"/>
      </w:divBdr>
    </w:div>
    <w:div w:id="1153788753">
      <w:bodyDiv w:val="1"/>
      <w:marLeft w:val="0"/>
      <w:marRight w:val="0"/>
      <w:marTop w:val="0"/>
      <w:marBottom w:val="0"/>
      <w:divBdr>
        <w:top w:val="none" w:sz="0" w:space="0" w:color="auto"/>
        <w:left w:val="none" w:sz="0" w:space="0" w:color="auto"/>
        <w:bottom w:val="none" w:sz="0" w:space="0" w:color="auto"/>
        <w:right w:val="none" w:sz="0" w:space="0" w:color="auto"/>
      </w:divBdr>
    </w:div>
    <w:div w:id="1154224785">
      <w:bodyDiv w:val="1"/>
      <w:marLeft w:val="0"/>
      <w:marRight w:val="0"/>
      <w:marTop w:val="0"/>
      <w:marBottom w:val="0"/>
      <w:divBdr>
        <w:top w:val="none" w:sz="0" w:space="0" w:color="auto"/>
        <w:left w:val="none" w:sz="0" w:space="0" w:color="auto"/>
        <w:bottom w:val="none" w:sz="0" w:space="0" w:color="auto"/>
        <w:right w:val="none" w:sz="0" w:space="0" w:color="auto"/>
      </w:divBdr>
    </w:div>
    <w:div w:id="1154298294">
      <w:bodyDiv w:val="1"/>
      <w:marLeft w:val="0"/>
      <w:marRight w:val="0"/>
      <w:marTop w:val="0"/>
      <w:marBottom w:val="0"/>
      <w:divBdr>
        <w:top w:val="none" w:sz="0" w:space="0" w:color="auto"/>
        <w:left w:val="none" w:sz="0" w:space="0" w:color="auto"/>
        <w:bottom w:val="none" w:sz="0" w:space="0" w:color="auto"/>
        <w:right w:val="none" w:sz="0" w:space="0" w:color="auto"/>
      </w:divBdr>
    </w:div>
    <w:div w:id="1154688383">
      <w:bodyDiv w:val="1"/>
      <w:marLeft w:val="0"/>
      <w:marRight w:val="0"/>
      <w:marTop w:val="0"/>
      <w:marBottom w:val="0"/>
      <w:divBdr>
        <w:top w:val="none" w:sz="0" w:space="0" w:color="auto"/>
        <w:left w:val="none" w:sz="0" w:space="0" w:color="auto"/>
        <w:bottom w:val="none" w:sz="0" w:space="0" w:color="auto"/>
        <w:right w:val="none" w:sz="0" w:space="0" w:color="auto"/>
      </w:divBdr>
    </w:div>
    <w:div w:id="1154755464">
      <w:bodyDiv w:val="1"/>
      <w:marLeft w:val="0"/>
      <w:marRight w:val="0"/>
      <w:marTop w:val="0"/>
      <w:marBottom w:val="0"/>
      <w:divBdr>
        <w:top w:val="none" w:sz="0" w:space="0" w:color="auto"/>
        <w:left w:val="none" w:sz="0" w:space="0" w:color="auto"/>
        <w:bottom w:val="none" w:sz="0" w:space="0" w:color="auto"/>
        <w:right w:val="none" w:sz="0" w:space="0" w:color="auto"/>
      </w:divBdr>
    </w:div>
    <w:div w:id="1155489644">
      <w:bodyDiv w:val="1"/>
      <w:marLeft w:val="0"/>
      <w:marRight w:val="0"/>
      <w:marTop w:val="0"/>
      <w:marBottom w:val="0"/>
      <w:divBdr>
        <w:top w:val="none" w:sz="0" w:space="0" w:color="auto"/>
        <w:left w:val="none" w:sz="0" w:space="0" w:color="auto"/>
        <w:bottom w:val="none" w:sz="0" w:space="0" w:color="auto"/>
        <w:right w:val="none" w:sz="0" w:space="0" w:color="auto"/>
      </w:divBdr>
    </w:div>
    <w:div w:id="1156452519">
      <w:bodyDiv w:val="1"/>
      <w:marLeft w:val="0"/>
      <w:marRight w:val="0"/>
      <w:marTop w:val="0"/>
      <w:marBottom w:val="0"/>
      <w:divBdr>
        <w:top w:val="none" w:sz="0" w:space="0" w:color="auto"/>
        <w:left w:val="none" w:sz="0" w:space="0" w:color="auto"/>
        <w:bottom w:val="none" w:sz="0" w:space="0" w:color="auto"/>
        <w:right w:val="none" w:sz="0" w:space="0" w:color="auto"/>
      </w:divBdr>
    </w:div>
    <w:div w:id="1157460728">
      <w:bodyDiv w:val="1"/>
      <w:marLeft w:val="0"/>
      <w:marRight w:val="0"/>
      <w:marTop w:val="0"/>
      <w:marBottom w:val="0"/>
      <w:divBdr>
        <w:top w:val="none" w:sz="0" w:space="0" w:color="auto"/>
        <w:left w:val="none" w:sz="0" w:space="0" w:color="auto"/>
        <w:bottom w:val="none" w:sz="0" w:space="0" w:color="auto"/>
        <w:right w:val="none" w:sz="0" w:space="0" w:color="auto"/>
      </w:divBdr>
    </w:div>
    <w:div w:id="1159158063">
      <w:bodyDiv w:val="1"/>
      <w:marLeft w:val="0"/>
      <w:marRight w:val="0"/>
      <w:marTop w:val="0"/>
      <w:marBottom w:val="0"/>
      <w:divBdr>
        <w:top w:val="none" w:sz="0" w:space="0" w:color="auto"/>
        <w:left w:val="none" w:sz="0" w:space="0" w:color="auto"/>
        <w:bottom w:val="none" w:sz="0" w:space="0" w:color="auto"/>
        <w:right w:val="none" w:sz="0" w:space="0" w:color="auto"/>
      </w:divBdr>
    </w:div>
    <w:div w:id="1159888640">
      <w:bodyDiv w:val="1"/>
      <w:marLeft w:val="0"/>
      <w:marRight w:val="0"/>
      <w:marTop w:val="0"/>
      <w:marBottom w:val="0"/>
      <w:divBdr>
        <w:top w:val="none" w:sz="0" w:space="0" w:color="auto"/>
        <w:left w:val="none" w:sz="0" w:space="0" w:color="auto"/>
        <w:bottom w:val="none" w:sz="0" w:space="0" w:color="auto"/>
        <w:right w:val="none" w:sz="0" w:space="0" w:color="auto"/>
      </w:divBdr>
    </w:div>
    <w:div w:id="1161698826">
      <w:bodyDiv w:val="1"/>
      <w:marLeft w:val="0"/>
      <w:marRight w:val="0"/>
      <w:marTop w:val="0"/>
      <w:marBottom w:val="0"/>
      <w:divBdr>
        <w:top w:val="none" w:sz="0" w:space="0" w:color="auto"/>
        <w:left w:val="none" w:sz="0" w:space="0" w:color="auto"/>
        <w:bottom w:val="none" w:sz="0" w:space="0" w:color="auto"/>
        <w:right w:val="none" w:sz="0" w:space="0" w:color="auto"/>
      </w:divBdr>
    </w:div>
    <w:div w:id="1165822226">
      <w:bodyDiv w:val="1"/>
      <w:marLeft w:val="0"/>
      <w:marRight w:val="0"/>
      <w:marTop w:val="0"/>
      <w:marBottom w:val="0"/>
      <w:divBdr>
        <w:top w:val="none" w:sz="0" w:space="0" w:color="auto"/>
        <w:left w:val="none" w:sz="0" w:space="0" w:color="auto"/>
        <w:bottom w:val="none" w:sz="0" w:space="0" w:color="auto"/>
        <w:right w:val="none" w:sz="0" w:space="0" w:color="auto"/>
      </w:divBdr>
    </w:div>
    <w:div w:id="1166752610">
      <w:bodyDiv w:val="1"/>
      <w:marLeft w:val="0"/>
      <w:marRight w:val="0"/>
      <w:marTop w:val="0"/>
      <w:marBottom w:val="0"/>
      <w:divBdr>
        <w:top w:val="none" w:sz="0" w:space="0" w:color="auto"/>
        <w:left w:val="none" w:sz="0" w:space="0" w:color="auto"/>
        <w:bottom w:val="none" w:sz="0" w:space="0" w:color="auto"/>
        <w:right w:val="none" w:sz="0" w:space="0" w:color="auto"/>
      </w:divBdr>
    </w:div>
    <w:div w:id="1168055335">
      <w:bodyDiv w:val="1"/>
      <w:marLeft w:val="0"/>
      <w:marRight w:val="0"/>
      <w:marTop w:val="0"/>
      <w:marBottom w:val="0"/>
      <w:divBdr>
        <w:top w:val="none" w:sz="0" w:space="0" w:color="auto"/>
        <w:left w:val="none" w:sz="0" w:space="0" w:color="auto"/>
        <w:bottom w:val="none" w:sz="0" w:space="0" w:color="auto"/>
        <w:right w:val="none" w:sz="0" w:space="0" w:color="auto"/>
      </w:divBdr>
    </w:div>
    <w:div w:id="1168207942">
      <w:bodyDiv w:val="1"/>
      <w:marLeft w:val="0"/>
      <w:marRight w:val="0"/>
      <w:marTop w:val="0"/>
      <w:marBottom w:val="0"/>
      <w:divBdr>
        <w:top w:val="none" w:sz="0" w:space="0" w:color="auto"/>
        <w:left w:val="none" w:sz="0" w:space="0" w:color="auto"/>
        <w:bottom w:val="none" w:sz="0" w:space="0" w:color="auto"/>
        <w:right w:val="none" w:sz="0" w:space="0" w:color="auto"/>
      </w:divBdr>
    </w:div>
    <w:div w:id="1171069148">
      <w:bodyDiv w:val="1"/>
      <w:marLeft w:val="0"/>
      <w:marRight w:val="0"/>
      <w:marTop w:val="0"/>
      <w:marBottom w:val="0"/>
      <w:divBdr>
        <w:top w:val="none" w:sz="0" w:space="0" w:color="auto"/>
        <w:left w:val="none" w:sz="0" w:space="0" w:color="auto"/>
        <w:bottom w:val="none" w:sz="0" w:space="0" w:color="auto"/>
        <w:right w:val="none" w:sz="0" w:space="0" w:color="auto"/>
      </w:divBdr>
    </w:div>
    <w:div w:id="1171339225">
      <w:bodyDiv w:val="1"/>
      <w:marLeft w:val="0"/>
      <w:marRight w:val="0"/>
      <w:marTop w:val="0"/>
      <w:marBottom w:val="0"/>
      <w:divBdr>
        <w:top w:val="none" w:sz="0" w:space="0" w:color="auto"/>
        <w:left w:val="none" w:sz="0" w:space="0" w:color="auto"/>
        <w:bottom w:val="none" w:sz="0" w:space="0" w:color="auto"/>
        <w:right w:val="none" w:sz="0" w:space="0" w:color="auto"/>
      </w:divBdr>
    </w:div>
    <w:div w:id="1172256877">
      <w:bodyDiv w:val="1"/>
      <w:marLeft w:val="0"/>
      <w:marRight w:val="0"/>
      <w:marTop w:val="0"/>
      <w:marBottom w:val="0"/>
      <w:divBdr>
        <w:top w:val="none" w:sz="0" w:space="0" w:color="auto"/>
        <w:left w:val="none" w:sz="0" w:space="0" w:color="auto"/>
        <w:bottom w:val="none" w:sz="0" w:space="0" w:color="auto"/>
        <w:right w:val="none" w:sz="0" w:space="0" w:color="auto"/>
      </w:divBdr>
    </w:div>
    <w:div w:id="1172796956">
      <w:bodyDiv w:val="1"/>
      <w:marLeft w:val="0"/>
      <w:marRight w:val="0"/>
      <w:marTop w:val="0"/>
      <w:marBottom w:val="0"/>
      <w:divBdr>
        <w:top w:val="none" w:sz="0" w:space="0" w:color="auto"/>
        <w:left w:val="none" w:sz="0" w:space="0" w:color="auto"/>
        <w:bottom w:val="none" w:sz="0" w:space="0" w:color="auto"/>
        <w:right w:val="none" w:sz="0" w:space="0" w:color="auto"/>
      </w:divBdr>
    </w:div>
    <w:div w:id="1172985404">
      <w:bodyDiv w:val="1"/>
      <w:marLeft w:val="0"/>
      <w:marRight w:val="0"/>
      <w:marTop w:val="0"/>
      <w:marBottom w:val="0"/>
      <w:divBdr>
        <w:top w:val="none" w:sz="0" w:space="0" w:color="auto"/>
        <w:left w:val="none" w:sz="0" w:space="0" w:color="auto"/>
        <w:bottom w:val="none" w:sz="0" w:space="0" w:color="auto"/>
        <w:right w:val="none" w:sz="0" w:space="0" w:color="auto"/>
      </w:divBdr>
    </w:div>
    <w:div w:id="1173376137">
      <w:bodyDiv w:val="1"/>
      <w:marLeft w:val="0"/>
      <w:marRight w:val="0"/>
      <w:marTop w:val="0"/>
      <w:marBottom w:val="0"/>
      <w:divBdr>
        <w:top w:val="none" w:sz="0" w:space="0" w:color="auto"/>
        <w:left w:val="none" w:sz="0" w:space="0" w:color="auto"/>
        <w:bottom w:val="none" w:sz="0" w:space="0" w:color="auto"/>
        <w:right w:val="none" w:sz="0" w:space="0" w:color="auto"/>
      </w:divBdr>
    </w:div>
    <w:div w:id="1174494248">
      <w:bodyDiv w:val="1"/>
      <w:marLeft w:val="0"/>
      <w:marRight w:val="0"/>
      <w:marTop w:val="0"/>
      <w:marBottom w:val="0"/>
      <w:divBdr>
        <w:top w:val="none" w:sz="0" w:space="0" w:color="auto"/>
        <w:left w:val="none" w:sz="0" w:space="0" w:color="auto"/>
        <w:bottom w:val="none" w:sz="0" w:space="0" w:color="auto"/>
        <w:right w:val="none" w:sz="0" w:space="0" w:color="auto"/>
      </w:divBdr>
    </w:div>
    <w:div w:id="1175077021">
      <w:bodyDiv w:val="1"/>
      <w:marLeft w:val="0"/>
      <w:marRight w:val="0"/>
      <w:marTop w:val="0"/>
      <w:marBottom w:val="0"/>
      <w:divBdr>
        <w:top w:val="none" w:sz="0" w:space="0" w:color="auto"/>
        <w:left w:val="none" w:sz="0" w:space="0" w:color="auto"/>
        <w:bottom w:val="none" w:sz="0" w:space="0" w:color="auto"/>
        <w:right w:val="none" w:sz="0" w:space="0" w:color="auto"/>
      </w:divBdr>
    </w:div>
    <w:div w:id="1175923499">
      <w:bodyDiv w:val="1"/>
      <w:marLeft w:val="0"/>
      <w:marRight w:val="0"/>
      <w:marTop w:val="0"/>
      <w:marBottom w:val="0"/>
      <w:divBdr>
        <w:top w:val="none" w:sz="0" w:space="0" w:color="auto"/>
        <w:left w:val="none" w:sz="0" w:space="0" w:color="auto"/>
        <w:bottom w:val="none" w:sz="0" w:space="0" w:color="auto"/>
        <w:right w:val="none" w:sz="0" w:space="0" w:color="auto"/>
      </w:divBdr>
    </w:div>
    <w:div w:id="1177232674">
      <w:bodyDiv w:val="1"/>
      <w:marLeft w:val="0"/>
      <w:marRight w:val="0"/>
      <w:marTop w:val="0"/>
      <w:marBottom w:val="0"/>
      <w:divBdr>
        <w:top w:val="none" w:sz="0" w:space="0" w:color="auto"/>
        <w:left w:val="none" w:sz="0" w:space="0" w:color="auto"/>
        <w:bottom w:val="none" w:sz="0" w:space="0" w:color="auto"/>
        <w:right w:val="none" w:sz="0" w:space="0" w:color="auto"/>
      </w:divBdr>
    </w:div>
    <w:div w:id="1177689206">
      <w:bodyDiv w:val="1"/>
      <w:marLeft w:val="0"/>
      <w:marRight w:val="0"/>
      <w:marTop w:val="0"/>
      <w:marBottom w:val="0"/>
      <w:divBdr>
        <w:top w:val="none" w:sz="0" w:space="0" w:color="auto"/>
        <w:left w:val="none" w:sz="0" w:space="0" w:color="auto"/>
        <w:bottom w:val="none" w:sz="0" w:space="0" w:color="auto"/>
        <w:right w:val="none" w:sz="0" w:space="0" w:color="auto"/>
      </w:divBdr>
    </w:div>
    <w:div w:id="1178302358">
      <w:bodyDiv w:val="1"/>
      <w:marLeft w:val="0"/>
      <w:marRight w:val="0"/>
      <w:marTop w:val="0"/>
      <w:marBottom w:val="0"/>
      <w:divBdr>
        <w:top w:val="none" w:sz="0" w:space="0" w:color="auto"/>
        <w:left w:val="none" w:sz="0" w:space="0" w:color="auto"/>
        <w:bottom w:val="none" w:sz="0" w:space="0" w:color="auto"/>
        <w:right w:val="none" w:sz="0" w:space="0" w:color="auto"/>
      </w:divBdr>
    </w:div>
    <w:div w:id="1180776209">
      <w:bodyDiv w:val="1"/>
      <w:marLeft w:val="0"/>
      <w:marRight w:val="0"/>
      <w:marTop w:val="0"/>
      <w:marBottom w:val="0"/>
      <w:divBdr>
        <w:top w:val="none" w:sz="0" w:space="0" w:color="auto"/>
        <w:left w:val="none" w:sz="0" w:space="0" w:color="auto"/>
        <w:bottom w:val="none" w:sz="0" w:space="0" w:color="auto"/>
        <w:right w:val="none" w:sz="0" w:space="0" w:color="auto"/>
      </w:divBdr>
    </w:div>
    <w:div w:id="1181092065">
      <w:bodyDiv w:val="1"/>
      <w:marLeft w:val="0"/>
      <w:marRight w:val="0"/>
      <w:marTop w:val="0"/>
      <w:marBottom w:val="0"/>
      <w:divBdr>
        <w:top w:val="none" w:sz="0" w:space="0" w:color="auto"/>
        <w:left w:val="none" w:sz="0" w:space="0" w:color="auto"/>
        <w:bottom w:val="none" w:sz="0" w:space="0" w:color="auto"/>
        <w:right w:val="none" w:sz="0" w:space="0" w:color="auto"/>
      </w:divBdr>
    </w:div>
    <w:div w:id="1181820801">
      <w:bodyDiv w:val="1"/>
      <w:marLeft w:val="0"/>
      <w:marRight w:val="0"/>
      <w:marTop w:val="0"/>
      <w:marBottom w:val="0"/>
      <w:divBdr>
        <w:top w:val="none" w:sz="0" w:space="0" w:color="auto"/>
        <w:left w:val="none" w:sz="0" w:space="0" w:color="auto"/>
        <w:bottom w:val="none" w:sz="0" w:space="0" w:color="auto"/>
        <w:right w:val="none" w:sz="0" w:space="0" w:color="auto"/>
      </w:divBdr>
    </w:div>
    <w:div w:id="1183010666">
      <w:bodyDiv w:val="1"/>
      <w:marLeft w:val="0"/>
      <w:marRight w:val="0"/>
      <w:marTop w:val="0"/>
      <w:marBottom w:val="0"/>
      <w:divBdr>
        <w:top w:val="none" w:sz="0" w:space="0" w:color="auto"/>
        <w:left w:val="none" w:sz="0" w:space="0" w:color="auto"/>
        <w:bottom w:val="none" w:sz="0" w:space="0" w:color="auto"/>
        <w:right w:val="none" w:sz="0" w:space="0" w:color="auto"/>
      </w:divBdr>
    </w:div>
    <w:div w:id="1183282226">
      <w:bodyDiv w:val="1"/>
      <w:marLeft w:val="0"/>
      <w:marRight w:val="0"/>
      <w:marTop w:val="0"/>
      <w:marBottom w:val="0"/>
      <w:divBdr>
        <w:top w:val="none" w:sz="0" w:space="0" w:color="auto"/>
        <w:left w:val="none" w:sz="0" w:space="0" w:color="auto"/>
        <w:bottom w:val="none" w:sz="0" w:space="0" w:color="auto"/>
        <w:right w:val="none" w:sz="0" w:space="0" w:color="auto"/>
      </w:divBdr>
    </w:div>
    <w:div w:id="1184438705">
      <w:bodyDiv w:val="1"/>
      <w:marLeft w:val="0"/>
      <w:marRight w:val="0"/>
      <w:marTop w:val="0"/>
      <w:marBottom w:val="0"/>
      <w:divBdr>
        <w:top w:val="none" w:sz="0" w:space="0" w:color="auto"/>
        <w:left w:val="none" w:sz="0" w:space="0" w:color="auto"/>
        <w:bottom w:val="none" w:sz="0" w:space="0" w:color="auto"/>
        <w:right w:val="none" w:sz="0" w:space="0" w:color="auto"/>
      </w:divBdr>
    </w:div>
    <w:div w:id="1184587021">
      <w:bodyDiv w:val="1"/>
      <w:marLeft w:val="0"/>
      <w:marRight w:val="0"/>
      <w:marTop w:val="0"/>
      <w:marBottom w:val="0"/>
      <w:divBdr>
        <w:top w:val="none" w:sz="0" w:space="0" w:color="auto"/>
        <w:left w:val="none" w:sz="0" w:space="0" w:color="auto"/>
        <w:bottom w:val="none" w:sz="0" w:space="0" w:color="auto"/>
        <w:right w:val="none" w:sz="0" w:space="0" w:color="auto"/>
      </w:divBdr>
    </w:div>
    <w:div w:id="1184782831">
      <w:bodyDiv w:val="1"/>
      <w:marLeft w:val="0"/>
      <w:marRight w:val="0"/>
      <w:marTop w:val="0"/>
      <w:marBottom w:val="0"/>
      <w:divBdr>
        <w:top w:val="none" w:sz="0" w:space="0" w:color="auto"/>
        <w:left w:val="none" w:sz="0" w:space="0" w:color="auto"/>
        <w:bottom w:val="none" w:sz="0" w:space="0" w:color="auto"/>
        <w:right w:val="none" w:sz="0" w:space="0" w:color="auto"/>
      </w:divBdr>
    </w:div>
    <w:div w:id="1186479232">
      <w:bodyDiv w:val="1"/>
      <w:marLeft w:val="0"/>
      <w:marRight w:val="0"/>
      <w:marTop w:val="0"/>
      <w:marBottom w:val="0"/>
      <w:divBdr>
        <w:top w:val="none" w:sz="0" w:space="0" w:color="auto"/>
        <w:left w:val="none" w:sz="0" w:space="0" w:color="auto"/>
        <w:bottom w:val="none" w:sz="0" w:space="0" w:color="auto"/>
        <w:right w:val="none" w:sz="0" w:space="0" w:color="auto"/>
      </w:divBdr>
    </w:div>
    <w:div w:id="1186557957">
      <w:bodyDiv w:val="1"/>
      <w:marLeft w:val="0"/>
      <w:marRight w:val="0"/>
      <w:marTop w:val="0"/>
      <w:marBottom w:val="0"/>
      <w:divBdr>
        <w:top w:val="none" w:sz="0" w:space="0" w:color="auto"/>
        <w:left w:val="none" w:sz="0" w:space="0" w:color="auto"/>
        <w:bottom w:val="none" w:sz="0" w:space="0" w:color="auto"/>
        <w:right w:val="none" w:sz="0" w:space="0" w:color="auto"/>
      </w:divBdr>
    </w:div>
    <w:div w:id="1188173665">
      <w:bodyDiv w:val="1"/>
      <w:marLeft w:val="0"/>
      <w:marRight w:val="0"/>
      <w:marTop w:val="0"/>
      <w:marBottom w:val="0"/>
      <w:divBdr>
        <w:top w:val="none" w:sz="0" w:space="0" w:color="auto"/>
        <w:left w:val="none" w:sz="0" w:space="0" w:color="auto"/>
        <w:bottom w:val="none" w:sz="0" w:space="0" w:color="auto"/>
        <w:right w:val="none" w:sz="0" w:space="0" w:color="auto"/>
      </w:divBdr>
    </w:div>
    <w:div w:id="1189031169">
      <w:bodyDiv w:val="1"/>
      <w:marLeft w:val="0"/>
      <w:marRight w:val="0"/>
      <w:marTop w:val="0"/>
      <w:marBottom w:val="0"/>
      <w:divBdr>
        <w:top w:val="none" w:sz="0" w:space="0" w:color="auto"/>
        <w:left w:val="none" w:sz="0" w:space="0" w:color="auto"/>
        <w:bottom w:val="none" w:sz="0" w:space="0" w:color="auto"/>
        <w:right w:val="none" w:sz="0" w:space="0" w:color="auto"/>
      </w:divBdr>
    </w:div>
    <w:div w:id="1190149071">
      <w:bodyDiv w:val="1"/>
      <w:marLeft w:val="0"/>
      <w:marRight w:val="0"/>
      <w:marTop w:val="0"/>
      <w:marBottom w:val="0"/>
      <w:divBdr>
        <w:top w:val="none" w:sz="0" w:space="0" w:color="auto"/>
        <w:left w:val="none" w:sz="0" w:space="0" w:color="auto"/>
        <w:bottom w:val="none" w:sz="0" w:space="0" w:color="auto"/>
        <w:right w:val="none" w:sz="0" w:space="0" w:color="auto"/>
      </w:divBdr>
    </w:div>
    <w:div w:id="1191917067">
      <w:bodyDiv w:val="1"/>
      <w:marLeft w:val="0"/>
      <w:marRight w:val="0"/>
      <w:marTop w:val="0"/>
      <w:marBottom w:val="0"/>
      <w:divBdr>
        <w:top w:val="none" w:sz="0" w:space="0" w:color="auto"/>
        <w:left w:val="none" w:sz="0" w:space="0" w:color="auto"/>
        <w:bottom w:val="none" w:sz="0" w:space="0" w:color="auto"/>
        <w:right w:val="none" w:sz="0" w:space="0" w:color="auto"/>
      </w:divBdr>
    </w:div>
    <w:div w:id="1194344835">
      <w:bodyDiv w:val="1"/>
      <w:marLeft w:val="0"/>
      <w:marRight w:val="0"/>
      <w:marTop w:val="0"/>
      <w:marBottom w:val="0"/>
      <w:divBdr>
        <w:top w:val="none" w:sz="0" w:space="0" w:color="auto"/>
        <w:left w:val="none" w:sz="0" w:space="0" w:color="auto"/>
        <w:bottom w:val="none" w:sz="0" w:space="0" w:color="auto"/>
        <w:right w:val="none" w:sz="0" w:space="0" w:color="auto"/>
      </w:divBdr>
    </w:div>
    <w:div w:id="1194880850">
      <w:bodyDiv w:val="1"/>
      <w:marLeft w:val="0"/>
      <w:marRight w:val="0"/>
      <w:marTop w:val="0"/>
      <w:marBottom w:val="0"/>
      <w:divBdr>
        <w:top w:val="none" w:sz="0" w:space="0" w:color="auto"/>
        <w:left w:val="none" w:sz="0" w:space="0" w:color="auto"/>
        <w:bottom w:val="none" w:sz="0" w:space="0" w:color="auto"/>
        <w:right w:val="none" w:sz="0" w:space="0" w:color="auto"/>
      </w:divBdr>
    </w:div>
    <w:div w:id="1196769815">
      <w:bodyDiv w:val="1"/>
      <w:marLeft w:val="0"/>
      <w:marRight w:val="0"/>
      <w:marTop w:val="0"/>
      <w:marBottom w:val="0"/>
      <w:divBdr>
        <w:top w:val="none" w:sz="0" w:space="0" w:color="auto"/>
        <w:left w:val="none" w:sz="0" w:space="0" w:color="auto"/>
        <w:bottom w:val="none" w:sz="0" w:space="0" w:color="auto"/>
        <w:right w:val="none" w:sz="0" w:space="0" w:color="auto"/>
      </w:divBdr>
    </w:div>
    <w:div w:id="1196849097">
      <w:bodyDiv w:val="1"/>
      <w:marLeft w:val="0"/>
      <w:marRight w:val="0"/>
      <w:marTop w:val="0"/>
      <w:marBottom w:val="0"/>
      <w:divBdr>
        <w:top w:val="none" w:sz="0" w:space="0" w:color="auto"/>
        <w:left w:val="none" w:sz="0" w:space="0" w:color="auto"/>
        <w:bottom w:val="none" w:sz="0" w:space="0" w:color="auto"/>
        <w:right w:val="none" w:sz="0" w:space="0" w:color="auto"/>
      </w:divBdr>
    </w:div>
    <w:div w:id="1197543185">
      <w:bodyDiv w:val="1"/>
      <w:marLeft w:val="0"/>
      <w:marRight w:val="0"/>
      <w:marTop w:val="0"/>
      <w:marBottom w:val="0"/>
      <w:divBdr>
        <w:top w:val="none" w:sz="0" w:space="0" w:color="auto"/>
        <w:left w:val="none" w:sz="0" w:space="0" w:color="auto"/>
        <w:bottom w:val="none" w:sz="0" w:space="0" w:color="auto"/>
        <w:right w:val="none" w:sz="0" w:space="0" w:color="auto"/>
      </w:divBdr>
    </w:div>
    <w:div w:id="1199272122">
      <w:bodyDiv w:val="1"/>
      <w:marLeft w:val="0"/>
      <w:marRight w:val="0"/>
      <w:marTop w:val="0"/>
      <w:marBottom w:val="0"/>
      <w:divBdr>
        <w:top w:val="none" w:sz="0" w:space="0" w:color="auto"/>
        <w:left w:val="none" w:sz="0" w:space="0" w:color="auto"/>
        <w:bottom w:val="none" w:sz="0" w:space="0" w:color="auto"/>
        <w:right w:val="none" w:sz="0" w:space="0" w:color="auto"/>
      </w:divBdr>
    </w:div>
    <w:div w:id="1200046983">
      <w:bodyDiv w:val="1"/>
      <w:marLeft w:val="0"/>
      <w:marRight w:val="0"/>
      <w:marTop w:val="0"/>
      <w:marBottom w:val="0"/>
      <w:divBdr>
        <w:top w:val="none" w:sz="0" w:space="0" w:color="auto"/>
        <w:left w:val="none" w:sz="0" w:space="0" w:color="auto"/>
        <w:bottom w:val="none" w:sz="0" w:space="0" w:color="auto"/>
        <w:right w:val="none" w:sz="0" w:space="0" w:color="auto"/>
      </w:divBdr>
    </w:div>
    <w:div w:id="1200510669">
      <w:bodyDiv w:val="1"/>
      <w:marLeft w:val="0"/>
      <w:marRight w:val="0"/>
      <w:marTop w:val="0"/>
      <w:marBottom w:val="0"/>
      <w:divBdr>
        <w:top w:val="none" w:sz="0" w:space="0" w:color="auto"/>
        <w:left w:val="none" w:sz="0" w:space="0" w:color="auto"/>
        <w:bottom w:val="none" w:sz="0" w:space="0" w:color="auto"/>
        <w:right w:val="none" w:sz="0" w:space="0" w:color="auto"/>
      </w:divBdr>
    </w:div>
    <w:div w:id="1200511489">
      <w:bodyDiv w:val="1"/>
      <w:marLeft w:val="0"/>
      <w:marRight w:val="0"/>
      <w:marTop w:val="0"/>
      <w:marBottom w:val="0"/>
      <w:divBdr>
        <w:top w:val="none" w:sz="0" w:space="0" w:color="auto"/>
        <w:left w:val="none" w:sz="0" w:space="0" w:color="auto"/>
        <w:bottom w:val="none" w:sz="0" w:space="0" w:color="auto"/>
        <w:right w:val="none" w:sz="0" w:space="0" w:color="auto"/>
      </w:divBdr>
    </w:div>
    <w:div w:id="1201284551">
      <w:bodyDiv w:val="1"/>
      <w:marLeft w:val="0"/>
      <w:marRight w:val="0"/>
      <w:marTop w:val="0"/>
      <w:marBottom w:val="0"/>
      <w:divBdr>
        <w:top w:val="none" w:sz="0" w:space="0" w:color="auto"/>
        <w:left w:val="none" w:sz="0" w:space="0" w:color="auto"/>
        <w:bottom w:val="none" w:sz="0" w:space="0" w:color="auto"/>
        <w:right w:val="none" w:sz="0" w:space="0" w:color="auto"/>
      </w:divBdr>
    </w:div>
    <w:div w:id="1202594376">
      <w:bodyDiv w:val="1"/>
      <w:marLeft w:val="0"/>
      <w:marRight w:val="0"/>
      <w:marTop w:val="0"/>
      <w:marBottom w:val="0"/>
      <w:divBdr>
        <w:top w:val="none" w:sz="0" w:space="0" w:color="auto"/>
        <w:left w:val="none" w:sz="0" w:space="0" w:color="auto"/>
        <w:bottom w:val="none" w:sz="0" w:space="0" w:color="auto"/>
        <w:right w:val="none" w:sz="0" w:space="0" w:color="auto"/>
      </w:divBdr>
    </w:div>
    <w:div w:id="1202941259">
      <w:bodyDiv w:val="1"/>
      <w:marLeft w:val="0"/>
      <w:marRight w:val="0"/>
      <w:marTop w:val="0"/>
      <w:marBottom w:val="0"/>
      <w:divBdr>
        <w:top w:val="none" w:sz="0" w:space="0" w:color="auto"/>
        <w:left w:val="none" w:sz="0" w:space="0" w:color="auto"/>
        <w:bottom w:val="none" w:sz="0" w:space="0" w:color="auto"/>
        <w:right w:val="none" w:sz="0" w:space="0" w:color="auto"/>
      </w:divBdr>
    </w:div>
    <w:div w:id="1203130193">
      <w:bodyDiv w:val="1"/>
      <w:marLeft w:val="0"/>
      <w:marRight w:val="0"/>
      <w:marTop w:val="0"/>
      <w:marBottom w:val="0"/>
      <w:divBdr>
        <w:top w:val="none" w:sz="0" w:space="0" w:color="auto"/>
        <w:left w:val="none" w:sz="0" w:space="0" w:color="auto"/>
        <w:bottom w:val="none" w:sz="0" w:space="0" w:color="auto"/>
        <w:right w:val="none" w:sz="0" w:space="0" w:color="auto"/>
      </w:divBdr>
    </w:div>
    <w:div w:id="1203251249">
      <w:bodyDiv w:val="1"/>
      <w:marLeft w:val="0"/>
      <w:marRight w:val="0"/>
      <w:marTop w:val="0"/>
      <w:marBottom w:val="0"/>
      <w:divBdr>
        <w:top w:val="none" w:sz="0" w:space="0" w:color="auto"/>
        <w:left w:val="none" w:sz="0" w:space="0" w:color="auto"/>
        <w:bottom w:val="none" w:sz="0" w:space="0" w:color="auto"/>
        <w:right w:val="none" w:sz="0" w:space="0" w:color="auto"/>
      </w:divBdr>
    </w:div>
    <w:div w:id="1204640050">
      <w:bodyDiv w:val="1"/>
      <w:marLeft w:val="0"/>
      <w:marRight w:val="0"/>
      <w:marTop w:val="0"/>
      <w:marBottom w:val="0"/>
      <w:divBdr>
        <w:top w:val="none" w:sz="0" w:space="0" w:color="auto"/>
        <w:left w:val="none" w:sz="0" w:space="0" w:color="auto"/>
        <w:bottom w:val="none" w:sz="0" w:space="0" w:color="auto"/>
        <w:right w:val="none" w:sz="0" w:space="0" w:color="auto"/>
      </w:divBdr>
    </w:div>
    <w:div w:id="1205141536">
      <w:bodyDiv w:val="1"/>
      <w:marLeft w:val="0"/>
      <w:marRight w:val="0"/>
      <w:marTop w:val="0"/>
      <w:marBottom w:val="0"/>
      <w:divBdr>
        <w:top w:val="none" w:sz="0" w:space="0" w:color="auto"/>
        <w:left w:val="none" w:sz="0" w:space="0" w:color="auto"/>
        <w:bottom w:val="none" w:sz="0" w:space="0" w:color="auto"/>
        <w:right w:val="none" w:sz="0" w:space="0" w:color="auto"/>
      </w:divBdr>
    </w:div>
    <w:div w:id="1205562546">
      <w:bodyDiv w:val="1"/>
      <w:marLeft w:val="0"/>
      <w:marRight w:val="0"/>
      <w:marTop w:val="0"/>
      <w:marBottom w:val="0"/>
      <w:divBdr>
        <w:top w:val="none" w:sz="0" w:space="0" w:color="auto"/>
        <w:left w:val="none" w:sz="0" w:space="0" w:color="auto"/>
        <w:bottom w:val="none" w:sz="0" w:space="0" w:color="auto"/>
        <w:right w:val="none" w:sz="0" w:space="0" w:color="auto"/>
      </w:divBdr>
    </w:div>
    <w:div w:id="1205749748">
      <w:bodyDiv w:val="1"/>
      <w:marLeft w:val="0"/>
      <w:marRight w:val="0"/>
      <w:marTop w:val="0"/>
      <w:marBottom w:val="0"/>
      <w:divBdr>
        <w:top w:val="none" w:sz="0" w:space="0" w:color="auto"/>
        <w:left w:val="none" w:sz="0" w:space="0" w:color="auto"/>
        <w:bottom w:val="none" w:sz="0" w:space="0" w:color="auto"/>
        <w:right w:val="none" w:sz="0" w:space="0" w:color="auto"/>
      </w:divBdr>
    </w:div>
    <w:div w:id="1207836738">
      <w:bodyDiv w:val="1"/>
      <w:marLeft w:val="0"/>
      <w:marRight w:val="0"/>
      <w:marTop w:val="0"/>
      <w:marBottom w:val="0"/>
      <w:divBdr>
        <w:top w:val="none" w:sz="0" w:space="0" w:color="auto"/>
        <w:left w:val="none" w:sz="0" w:space="0" w:color="auto"/>
        <w:bottom w:val="none" w:sz="0" w:space="0" w:color="auto"/>
        <w:right w:val="none" w:sz="0" w:space="0" w:color="auto"/>
      </w:divBdr>
    </w:div>
    <w:div w:id="1208254140">
      <w:bodyDiv w:val="1"/>
      <w:marLeft w:val="0"/>
      <w:marRight w:val="0"/>
      <w:marTop w:val="0"/>
      <w:marBottom w:val="0"/>
      <w:divBdr>
        <w:top w:val="none" w:sz="0" w:space="0" w:color="auto"/>
        <w:left w:val="none" w:sz="0" w:space="0" w:color="auto"/>
        <w:bottom w:val="none" w:sz="0" w:space="0" w:color="auto"/>
        <w:right w:val="none" w:sz="0" w:space="0" w:color="auto"/>
      </w:divBdr>
    </w:div>
    <w:div w:id="1208836959">
      <w:bodyDiv w:val="1"/>
      <w:marLeft w:val="0"/>
      <w:marRight w:val="0"/>
      <w:marTop w:val="0"/>
      <w:marBottom w:val="0"/>
      <w:divBdr>
        <w:top w:val="none" w:sz="0" w:space="0" w:color="auto"/>
        <w:left w:val="none" w:sz="0" w:space="0" w:color="auto"/>
        <w:bottom w:val="none" w:sz="0" w:space="0" w:color="auto"/>
        <w:right w:val="none" w:sz="0" w:space="0" w:color="auto"/>
      </w:divBdr>
    </w:div>
    <w:div w:id="1209992722">
      <w:bodyDiv w:val="1"/>
      <w:marLeft w:val="0"/>
      <w:marRight w:val="0"/>
      <w:marTop w:val="0"/>
      <w:marBottom w:val="0"/>
      <w:divBdr>
        <w:top w:val="none" w:sz="0" w:space="0" w:color="auto"/>
        <w:left w:val="none" w:sz="0" w:space="0" w:color="auto"/>
        <w:bottom w:val="none" w:sz="0" w:space="0" w:color="auto"/>
        <w:right w:val="none" w:sz="0" w:space="0" w:color="auto"/>
      </w:divBdr>
    </w:div>
    <w:div w:id="1211184512">
      <w:bodyDiv w:val="1"/>
      <w:marLeft w:val="0"/>
      <w:marRight w:val="0"/>
      <w:marTop w:val="0"/>
      <w:marBottom w:val="0"/>
      <w:divBdr>
        <w:top w:val="none" w:sz="0" w:space="0" w:color="auto"/>
        <w:left w:val="none" w:sz="0" w:space="0" w:color="auto"/>
        <w:bottom w:val="none" w:sz="0" w:space="0" w:color="auto"/>
        <w:right w:val="none" w:sz="0" w:space="0" w:color="auto"/>
      </w:divBdr>
    </w:div>
    <w:div w:id="1212303215">
      <w:bodyDiv w:val="1"/>
      <w:marLeft w:val="0"/>
      <w:marRight w:val="0"/>
      <w:marTop w:val="0"/>
      <w:marBottom w:val="0"/>
      <w:divBdr>
        <w:top w:val="none" w:sz="0" w:space="0" w:color="auto"/>
        <w:left w:val="none" w:sz="0" w:space="0" w:color="auto"/>
        <w:bottom w:val="none" w:sz="0" w:space="0" w:color="auto"/>
        <w:right w:val="none" w:sz="0" w:space="0" w:color="auto"/>
      </w:divBdr>
    </w:div>
    <w:div w:id="1212303500">
      <w:bodyDiv w:val="1"/>
      <w:marLeft w:val="0"/>
      <w:marRight w:val="0"/>
      <w:marTop w:val="0"/>
      <w:marBottom w:val="0"/>
      <w:divBdr>
        <w:top w:val="none" w:sz="0" w:space="0" w:color="auto"/>
        <w:left w:val="none" w:sz="0" w:space="0" w:color="auto"/>
        <w:bottom w:val="none" w:sz="0" w:space="0" w:color="auto"/>
        <w:right w:val="none" w:sz="0" w:space="0" w:color="auto"/>
      </w:divBdr>
    </w:div>
    <w:div w:id="1213037410">
      <w:bodyDiv w:val="1"/>
      <w:marLeft w:val="0"/>
      <w:marRight w:val="0"/>
      <w:marTop w:val="0"/>
      <w:marBottom w:val="0"/>
      <w:divBdr>
        <w:top w:val="none" w:sz="0" w:space="0" w:color="auto"/>
        <w:left w:val="none" w:sz="0" w:space="0" w:color="auto"/>
        <w:bottom w:val="none" w:sz="0" w:space="0" w:color="auto"/>
        <w:right w:val="none" w:sz="0" w:space="0" w:color="auto"/>
      </w:divBdr>
    </w:div>
    <w:div w:id="1213661967">
      <w:bodyDiv w:val="1"/>
      <w:marLeft w:val="0"/>
      <w:marRight w:val="0"/>
      <w:marTop w:val="0"/>
      <w:marBottom w:val="0"/>
      <w:divBdr>
        <w:top w:val="none" w:sz="0" w:space="0" w:color="auto"/>
        <w:left w:val="none" w:sz="0" w:space="0" w:color="auto"/>
        <w:bottom w:val="none" w:sz="0" w:space="0" w:color="auto"/>
        <w:right w:val="none" w:sz="0" w:space="0" w:color="auto"/>
      </w:divBdr>
    </w:div>
    <w:div w:id="1219122378">
      <w:bodyDiv w:val="1"/>
      <w:marLeft w:val="0"/>
      <w:marRight w:val="0"/>
      <w:marTop w:val="0"/>
      <w:marBottom w:val="0"/>
      <w:divBdr>
        <w:top w:val="none" w:sz="0" w:space="0" w:color="auto"/>
        <w:left w:val="none" w:sz="0" w:space="0" w:color="auto"/>
        <w:bottom w:val="none" w:sz="0" w:space="0" w:color="auto"/>
        <w:right w:val="none" w:sz="0" w:space="0" w:color="auto"/>
      </w:divBdr>
    </w:div>
    <w:div w:id="1219172056">
      <w:bodyDiv w:val="1"/>
      <w:marLeft w:val="0"/>
      <w:marRight w:val="0"/>
      <w:marTop w:val="0"/>
      <w:marBottom w:val="0"/>
      <w:divBdr>
        <w:top w:val="none" w:sz="0" w:space="0" w:color="auto"/>
        <w:left w:val="none" w:sz="0" w:space="0" w:color="auto"/>
        <w:bottom w:val="none" w:sz="0" w:space="0" w:color="auto"/>
        <w:right w:val="none" w:sz="0" w:space="0" w:color="auto"/>
      </w:divBdr>
    </w:div>
    <w:div w:id="1222060577">
      <w:bodyDiv w:val="1"/>
      <w:marLeft w:val="0"/>
      <w:marRight w:val="0"/>
      <w:marTop w:val="0"/>
      <w:marBottom w:val="0"/>
      <w:divBdr>
        <w:top w:val="none" w:sz="0" w:space="0" w:color="auto"/>
        <w:left w:val="none" w:sz="0" w:space="0" w:color="auto"/>
        <w:bottom w:val="none" w:sz="0" w:space="0" w:color="auto"/>
        <w:right w:val="none" w:sz="0" w:space="0" w:color="auto"/>
      </w:divBdr>
    </w:div>
    <w:div w:id="1223642384">
      <w:bodyDiv w:val="1"/>
      <w:marLeft w:val="0"/>
      <w:marRight w:val="0"/>
      <w:marTop w:val="0"/>
      <w:marBottom w:val="0"/>
      <w:divBdr>
        <w:top w:val="none" w:sz="0" w:space="0" w:color="auto"/>
        <w:left w:val="none" w:sz="0" w:space="0" w:color="auto"/>
        <w:bottom w:val="none" w:sz="0" w:space="0" w:color="auto"/>
        <w:right w:val="none" w:sz="0" w:space="0" w:color="auto"/>
      </w:divBdr>
    </w:div>
    <w:div w:id="1224097294">
      <w:bodyDiv w:val="1"/>
      <w:marLeft w:val="0"/>
      <w:marRight w:val="0"/>
      <w:marTop w:val="0"/>
      <w:marBottom w:val="0"/>
      <w:divBdr>
        <w:top w:val="none" w:sz="0" w:space="0" w:color="auto"/>
        <w:left w:val="none" w:sz="0" w:space="0" w:color="auto"/>
        <w:bottom w:val="none" w:sz="0" w:space="0" w:color="auto"/>
        <w:right w:val="none" w:sz="0" w:space="0" w:color="auto"/>
      </w:divBdr>
    </w:div>
    <w:div w:id="1225917771">
      <w:bodyDiv w:val="1"/>
      <w:marLeft w:val="0"/>
      <w:marRight w:val="0"/>
      <w:marTop w:val="0"/>
      <w:marBottom w:val="0"/>
      <w:divBdr>
        <w:top w:val="none" w:sz="0" w:space="0" w:color="auto"/>
        <w:left w:val="none" w:sz="0" w:space="0" w:color="auto"/>
        <w:bottom w:val="none" w:sz="0" w:space="0" w:color="auto"/>
        <w:right w:val="none" w:sz="0" w:space="0" w:color="auto"/>
      </w:divBdr>
    </w:div>
    <w:div w:id="1226793415">
      <w:bodyDiv w:val="1"/>
      <w:marLeft w:val="0"/>
      <w:marRight w:val="0"/>
      <w:marTop w:val="0"/>
      <w:marBottom w:val="0"/>
      <w:divBdr>
        <w:top w:val="none" w:sz="0" w:space="0" w:color="auto"/>
        <w:left w:val="none" w:sz="0" w:space="0" w:color="auto"/>
        <w:bottom w:val="none" w:sz="0" w:space="0" w:color="auto"/>
        <w:right w:val="none" w:sz="0" w:space="0" w:color="auto"/>
      </w:divBdr>
    </w:div>
    <w:div w:id="1227574549">
      <w:bodyDiv w:val="1"/>
      <w:marLeft w:val="0"/>
      <w:marRight w:val="0"/>
      <w:marTop w:val="0"/>
      <w:marBottom w:val="0"/>
      <w:divBdr>
        <w:top w:val="none" w:sz="0" w:space="0" w:color="auto"/>
        <w:left w:val="none" w:sz="0" w:space="0" w:color="auto"/>
        <w:bottom w:val="none" w:sz="0" w:space="0" w:color="auto"/>
        <w:right w:val="none" w:sz="0" w:space="0" w:color="auto"/>
      </w:divBdr>
    </w:div>
    <w:div w:id="1228146218">
      <w:bodyDiv w:val="1"/>
      <w:marLeft w:val="0"/>
      <w:marRight w:val="0"/>
      <w:marTop w:val="0"/>
      <w:marBottom w:val="0"/>
      <w:divBdr>
        <w:top w:val="none" w:sz="0" w:space="0" w:color="auto"/>
        <w:left w:val="none" w:sz="0" w:space="0" w:color="auto"/>
        <w:bottom w:val="none" w:sz="0" w:space="0" w:color="auto"/>
        <w:right w:val="none" w:sz="0" w:space="0" w:color="auto"/>
      </w:divBdr>
    </w:div>
    <w:div w:id="1228227731">
      <w:bodyDiv w:val="1"/>
      <w:marLeft w:val="0"/>
      <w:marRight w:val="0"/>
      <w:marTop w:val="0"/>
      <w:marBottom w:val="0"/>
      <w:divBdr>
        <w:top w:val="none" w:sz="0" w:space="0" w:color="auto"/>
        <w:left w:val="none" w:sz="0" w:space="0" w:color="auto"/>
        <w:bottom w:val="none" w:sz="0" w:space="0" w:color="auto"/>
        <w:right w:val="none" w:sz="0" w:space="0" w:color="auto"/>
      </w:divBdr>
    </w:div>
    <w:div w:id="1228761309">
      <w:bodyDiv w:val="1"/>
      <w:marLeft w:val="0"/>
      <w:marRight w:val="0"/>
      <w:marTop w:val="0"/>
      <w:marBottom w:val="0"/>
      <w:divBdr>
        <w:top w:val="none" w:sz="0" w:space="0" w:color="auto"/>
        <w:left w:val="none" w:sz="0" w:space="0" w:color="auto"/>
        <w:bottom w:val="none" w:sz="0" w:space="0" w:color="auto"/>
        <w:right w:val="none" w:sz="0" w:space="0" w:color="auto"/>
      </w:divBdr>
    </w:div>
    <w:div w:id="1228802287">
      <w:bodyDiv w:val="1"/>
      <w:marLeft w:val="0"/>
      <w:marRight w:val="0"/>
      <w:marTop w:val="0"/>
      <w:marBottom w:val="0"/>
      <w:divBdr>
        <w:top w:val="none" w:sz="0" w:space="0" w:color="auto"/>
        <w:left w:val="none" w:sz="0" w:space="0" w:color="auto"/>
        <w:bottom w:val="none" w:sz="0" w:space="0" w:color="auto"/>
        <w:right w:val="none" w:sz="0" w:space="0" w:color="auto"/>
      </w:divBdr>
    </w:div>
    <w:div w:id="1229342706">
      <w:bodyDiv w:val="1"/>
      <w:marLeft w:val="0"/>
      <w:marRight w:val="0"/>
      <w:marTop w:val="0"/>
      <w:marBottom w:val="0"/>
      <w:divBdr>
        <w:top w:val="none" w:sz="0" w:space="0" w:color="auto"/>
        <w:left w:val="none" w:sz="0" w:space="0" w:color="auto"/>
        <w:bottom w:val="none" w:sz="0" w:space="0" w:color="auto"/>
        <w:right w:val="none" w:sz="0" w:space="0" w:color="auto"/>
      </w:divBdr>
    </w:div>
    <w:div w:id="1230849192">
      <w:bodyDiv w:val="1"/>
      <w:marLeft w:val="0"/>
      <w:marRight w:val="0"/>
      <w:marTop w:val="0"/>
      <w:marBottom w:val="0"/>
      <w:divBdr>
        <w:top w:val="none" w:sz="0" w:space="0" w:color="auto"/>
        <w:left w:val="none" w:sz="0" w:space="0" w:color="auto"/>
        <w:bottom w:val="none" w:sz="0" w:space="0" w:color="auto"/>
        <w:right w:val="none" w:sz="0" w:space="0" w:color="auto"/>
      </w:divBdr>
    </w:div>
    <w:div w:id="1230916795">
      <w:bodyDiv w:val="1"/>
      <w:marLeft w:val="0"/>
      <w:marRight w:val="0"/>
      <w:marTop w:val="0"/>
      <w:marBottom w:val="0"/>
      <w:divBdr>
        <w:top w:val="none" w:sz="0" w:space="0" w:color="auto"/>
        <w:left w:val="none" w:sz="0" w:space="0" w:color="auto"/>
        <w:bottom w:val="none" w:sz="0" w:space="0" w:color="auto"/>
        <w:right w:val="none" w:sz="0" w:space="0" w:color="auto"/>
      </w:divBdr>
    </w:div>
    <w:div w:id="1232883882">
      <w:bodyDiv w:val="1"/>
      <w:marLeft w:val="0"/>
      <w:marRight w:val="0"/>
      <w:marTop w:val="0"/>
      <w:marBottom w:val="0"/>
      <w:divBdr>
        <w:top w:val="none" w:sz="0" w:space="0" w:color="auto"/>
        <w:left w:val="none" w:sz="0" w:space="0" w:color="auto"/>
        <w:bottom w:val="none" w:sz="0" w:space="0" w:color="auto"/>
        <w:right w:val="none" w:sz="0" w:space="0" w:color="auto"/>
      </w:divBdr>
    </w:div>
    <w:div w:id="1233470479">
      <w:bodyDiv w:val="1"/>
      <w:marLeft w:val="0"/>
      <w:marRight w:val="0"/>
      <w:marTop w:val="0"/>
      <w:marBottom w:val="0"/>
      <w:divBdr>
        <w:top w:val="none" w:sz="0" w:space="0" w:color="auto"/>
        <w:left w:val="none" w:sz="0" w:space="0" w:color="auto"/>
        <w:bottom w:val="none" w:sz="0" w:space="0" w:color="auto"/>
        <w:right w:val="none" w:sz="0" w:space="0" w:color="auto"/>
      </w:divBdr>
    </w:div>
    <w:div w:id="1234586240">
      <w:bodyDiv w:val="1"/>
      <w:marLeft w:val="0"/>
      <w:marRight w:val="0"/>
      <w:marTop w:val="0"/>
      <w:marBottom w:val="0"/>
      <w:divBdr>
        <w:top w:val="none" w:sz="0" w:space="0" w:color="auto"/>
        <w:left w:val="none" w:sz="0" w:space="0" w:color="auto"/>
        <w:bottom w:val="none" w:sz="0" w:space="0" w:color="auto"/>
        <w:right w:val="none" w:sz="0" w:space="0" w:color="auto"/>
      </w:divBdr>
    </w:div>
    <w:div w:id="1235628740">
      <w:bodyDiv w:val="1"/>
      <w:marLeft w:val="0"/>
      <w:marRight w:val="0"/>
      <w:marTop w:val="0"/>
      <w:marBottom w:val="0"/>
      <w:divBdr>
        <w:top w:val="none" w:sz="0" w:space="0" w:color="auto"/>
        <w:left w:val="none" w:sz="0" w:space="0" w:color="auto"/>
        <w:bottom w:val="none" w:sz="0" w:space="0" w:color="auto"/>
        <w:right w:val="none" w:sz="0" w:space="0" w:color="auto"/>
      </w:divBdr>
    </w:div>
    <w:div w:id="1240288770">
      <w:bodyDiv w:val="1"/>
      <w:marLeft w:val="0"/>
      <w:marRight w:val="0"/>
      <w:marTop w:val="0"/>
      <w:marBottom w:val="0"/>
      <w:divBdr>
        <w:top w:val="none" w:sz="0" w:space="0" w:color="auto"/>
        <w:left w:val="none" w:sz="0" w:space="0" w:color="auto"/>
        <w:bottom w:val="none" w:sz="0" w:space="0" w:color="auto"/>
        <w:right w:val="none" w:sz="0" w:space="0" w:color="auto"/>
      </w:divBdr>
    </w:div>
    <w:div w:id="1240747490">
      <w:bodyDiv w:val="1"/>
      <w:marLeft w:val="0"/>
      <w:marRight w:val="0"/>
      <w:marTop w:val="0"/>
      <w:marBottom w:val="0"/>
      <w:divBdr>
        <w:top w:val="none" w:sz="0" w:space="0" w:color="auto"/>
        <w:left w:val="none" w:sz="0" w:space="0" w:color="auto"/>
        <w:bottom w:val="none" w:sz="0" w:space="0" w:color="auto"/>
        <w:right w:val="none" w:sz="0" w:space="0" w:color="auto"/>
      </w:divBdr>
    </w:div>
    <w:div w:id="1241060126">
      <w:bodyDiv w:val="1"/>
      <w:marLeft w:val="0"/>
      <w:marRight w:val="0"/>
      <w:marTop w:val="0"/>
      <w:marBottom w:val="0"/>
      <w:divBdr>
        <w:top w:val="none" w:sz="0" w:space="0" w:color="auto"/>
        <w:left w:val="none" w:sz="0" w:space="0" w:color="auto"/>
        <w:bottom w:val="none" w:sz="0" w:space="0" w:color="auto"/>
        <w:right w:val="none" w:sz="0" w:space="0" w:color="auto"/>
      </w:divBdr>
    </w:div>
    <w:div w:id="1241139429">
      <w:bodyDiv w:val="1"/>
      <w:marLeft w:val="0"/>
      <w:marRight w:val="0"/>
      <w:marTop w:val="0"/>
      <w:marBottom w:val="0"/>
      <w:divBdr>
        <w:top w:val="none" w:sz="0" w:space="0" w:color="auto"/>
        <w:left w:val="none" w:sz="0" w:space="0" w:color="auto"/>
        <w:bottom w:val="none" w:sz="0" w:space="0" w:color="auto"/>
        <w:right w:val="none" w:sz="0" w:space="0" w:color="auto"/>
      </w:divBdr>
    </w:div>
    <w:div w:id="1242377036">
      <w:bodyDiv w:val="1"/>
      <w:marLeft w:val="0"/>
      <w:marRight w:val="0"/>
      <w:marTop w:val="0"/>
      <w:marBottom w:val="0"/>
      <w:divBdr>
        <w:top w:val="none" w:sz="0" w:space="0" w:color="auto"/>
        <w:left w:val="none" w:sz="0" w:space="0" w:color="auto"/>
        <w:bottom w:val="none" w:sz="0" w:space="0" w:color="auto"/>
        <w:right w:val="none" w:sz="0" w:space="0" w:color="auto"/>
      </w:divBdr>
    </w:div>
    <w:div w:id="1243218408">
      <w:bodyDiv w:val="1"/>
      <w:marLeft w:val="0"/>
      <w:marRight w:val="0"/>
      <w:marTop w:val="0"/>
      <w:marBottom w:val="0"/>
      <w:divBdr>
        <w:top w:val="none" w:sz="0" w:space="0" w:color="auto"/>
        <w:left w:val="none" w:sz="0" w:space="0" w:color="auto"/>
        <w:bottom w:val="none" w:sz="0" w:space="0" w:color="auto"/>
        <w:right w:val="none" w:sz="0" w:space="0" w:color="auto"/>
      </w:divBdr>
    </w:div>
    <w:div w:id="1244030528">
      <w:bodyDiv w:val="1"/>
      <w:marLeft w:val="0"/>
      <w:marRight w:val="0"/>
      <w:marTop w:val="0"/>
      <w:marBottom w:val="0"/>
      <w:divBdr>
        <w:top w:val="none" w:sz="0" w:space="0" w:color="auto"/>
        <w:left w:val="none" w:sz="0" w:space="0" w:color="auto"/>
        <w:bottom w:val="none" w:sz="0" w:space="0" w:color="auto"/>
        <w:right w:val="none" w:sz="0" w:space="0" w:color="auto"/>
      </w:divBdr>
    </w:div>
    <w:div w:id="1244753266">
      <w:bodyDiv w:val="1"/>
      <w:marLeft w:val="0"/>
      <w:marRight w:val="0"/>
      <w:marTop w:val="0"/>
      <w:marBottom w:val="0"/>
      <w:divBdr>
        <w:top w:val="none" w:sz="0" w:space="0" w:color="auto"/>
        <w:left w:val="none" w:sz="0" w:space="0" w:color="auto"/>
        <w:bottom w:val="none" w:sz="0" w:space="0" w:color="auto"/>
        <w:right w:val="none" w:sz="0" w:space="0" w:color="auto"/>
      </w:divBdr>
    </w:div>
    <w:div w:id="1247613126">
      <w:bodyDiv w:val="1"/>
      <w:marLeft w:val="0"/>
      <w:marRight w:val="0"/>
      <w:marTop w:val="0"/>
      <w:marBottom w:val="0"/>
      <w:divBdr>
        <w:top w:val="none" w:sz="0" w:space="0" w:color="auto"/>
        <w:left w:val="none" w:sz="0" w:space="0" w:color="auto"/>
        <w:bottom w:val="none" w:sz="0" w:space="0" w:color="auto"/>
        <w:right w:val="none" w:sz="0" w:space="0" w:color="auto"/>
      </w:divBdr>
    </w:div>
    <w:div w:id="1247808505">
      <w:bodyDiv w:val="1"/>
      <w:marLeft w:val="0"/>
      <w:marRight w:val="0"/>
      <w:marTop w:val="0"/>
      <w:marBottom w:val="0"/>
      <w:divBdr>
        <w:top w:val="none" w:sz="0" w:space="0" w:color="auto"/>
        <w:left w:val="none" w:sz="0" w:space="0" w:color="auto"/>
        <w:bottom w:val="none" w:sz="0" w:space="0" w:color="auto"/>
        <w:right w:val="none" w:sz="0" w:space="0" w:color="auto"/>
      </w:divBdr>
    </w:div>
    <w:div w:id="1248151806">
      <w:bodyDiv w:val="1"/>
      <w:marLeft w:val="0"/>
      <w:marRight w:val="0"/>
      <w:marTop w:val="0"/>
      <w:marBottom w:val="0"/>
      <w:divBdr>
        <w:top w:val="none" w:sz="0" w:space="0" w:color="auto"/>
        <w:left w:val="none" w:sz="0" w:space="0" w:color="auto"/>
        <w:bottom w:val="none" w:sz="0" w:space="0" w:color="auto"/>
        <w:right w:val="none" w:sz="0" w:space="0" w:color="auto"/>
      </w:divBdr>
    </w:div>
    <w:div w:id="1248229710">
      <w:bodyDiv w:val="1"/>
      <w:marLeft w:val="0"/>
      <w:marRight w:val="0"/>
      <w:marTop w:val="0"/>
      <w:marBottom w:val="0"/>
      <w:divBdr>
        <w:top w:val="none" w:sz="0" w:space="0" w:color="auto"/>
        <w:left w:val="none" w:sz="0" w:space="0" w:color="auto"/>
        <w:bottom w:val="none" w:sz="0" w:space="0" w:color="auto"/>
        <w:right w:val="none" w:sz="0" w:space="0" w:color="auto"/>
      </w:divBdr>
    </w:div>
    <w:div w:id="1248424213">
      <w:bodyDiv w:val="1"/>
      <w:marLeft w:val="0"/>
      <w:marRight w:val="0"/>
      <w:marTop w:val="0"/>
      <w:marBottom w:val="0"/>
      <w:divBdr>
        <w:top w:val="none" w:sz="0" w:space="0" w:color="auto"/>
        <w:left w:val="none" w:sz="0" w:space="0" w:color="auto"/>
        <w:bottom w:val="none" w:sz="0" w:space="0" w:color="auto"/>
        <w:right w:val="none" w:sz="0" w:space="0" w:color="auto"/>
      </w:divBdr>
    </w:div>
    <w:div w:id="1251156494">
      <w:bodyDiv w:val="1"/>
      <w:marLeft w:val="0"/>
      <w:marRight w:val="0"/>
      <w:marTop w:val="0"/>
      <w:marBottom w:val="0"/>
      <w:divBdr>
        <w:top w:val="none" w:sz="0" w:space="0" w:color="auto"/>
        <w:left w:val="none" w:sz="0" w:space="0" w:color="auto"/>
        <w:bottom w:val="none" w:sz="0" w:space="0" w:color="auto"/>
        <w:right w:val="none" w:sz="0" w:space="0" w:color="auto"/>
      </w:divBdr>
    </w:div>
    <w:div w:id="1252162568">
      <w:bodyDiv w:val="1"/>
      <w:marLeft w:val="0"/>
      <w:marRight w:val="0"/>
      <w:marTop w:val="0"/>
      <w:marBottom w:val="0"/>
      <w:divBdr>
        <w:top w:val="none" w:sz="0" w:space="0" w:color="auto"/>
        <w:left w:val="none" w:sz="0" w:space="0" w:color="auto"/>
        <w:bottom w:val="none" w:sz="0" w:space="0" w:color="auto"/>
        <w:right w:val="none" w:sz="0" w:space="0" w:color="auto"/>
      </w:divBdr>
    </w:div>
    <w:div w:id="1252469485">
      <w:bodyDiv w:val="1"/>
      <w:marLeft w:val="0"/>
      <w:marRight w:val="0"/>
      <w:marTop w:val="0"/>
      <w:marBottom w:val="0"/>
      <w:divBdr>
        <w:top w:val="none" w:sz="0" w:space="0" w:color="auto"/>
        <w:left w:val="none" w:sz="0" w:space="0" w:color="auto"/>
        <w:bottom w:val="none" w:sz="0" w:space="0" w:color="auto"/>
        <w:right w:val="none" w:sz="0" w:space="0" w:color="auto"/>
      </w:divBdr>
    </w:div>
    <w:div w:id="1254826327">
      <w:bodyDiv w:val="1"/>
      <w:marLeft w:val="0"/>
      <w:marRight w:val="0"/>
      <w:marTop w:val="0"/>
      <w:marBottom w:val="0"/>
      <w:divBdr>
        <w:top w:val="none" w:sz="0" w:space="0" w:color="auto"/>
        <w:left w:val="none" w:sz="0" w:space="0" w:color="auto"/>
        <w:bottom w:val="none" w:sz="0" w:space="0" w:color="auto"/>
        <w:right w:val="none" w:sz="0" w:space="0" w:color="auto"/>
      </w:divBdr>
    </w:div>
    <w:div w:id="1255551387">
      <w:bodyDiv w:val="1"/>
      <w:marLeft w:val="0"/>
      <w:marRight w:val="0"/>
      <w:marTop w:val="0"/>
      <w:marBottom w:val="0"/>
      <w:divBdr>
        <w:top w:val="none" w:sz="0" w:space="0" w:color="auto"/>
        <w:left w:val="none" w:sz="0" w:space="0" w:color="auto"/>
        <w:bottom w:val="none" w:sz="0" w:space="0" w:color="auto"/>
        <w:right w:val="none" w:sz="0" w:space="0" w:color="auto"/>
      </w:divBdr>
    </w:div>
    <w:div w:id="1256136608">
      <w:bodyDiv w:val="1"/>
      <w:marLeft w:val="0"/>
      <w:marRight w:val="0"/>
      <w:marTop w:val="0"/>
      <w:marBottom w:val="0"/>
      <w:divBdr>
        <w:top w:val="none" w:sz="0" w:space="0" w:color="auto"/>
        <w:left w:val="none" w:sz="0" w:space="0" w:color="auto"/>
        <w:bottom w:val="none" w:sz="0" w:space="0" w:color="auto"/>
        <w:right w:val="none" w:sz="0" w:space="0" w:color="auto"/>
      </w:divBdr>
    </w:div>
    <w:div w:id="1256283368">
      <w:bodyDiv w:val="1"/>
      <w:marLeft w:val="0"/>
      <w:marRight w:val="0"/>
      <w:marTop w:val="0"/>
      <w:marBottom w:val="0"/>
      <w:divBdr>
        <w:top w:val="none" w:sz="0" w:space="0" w:color="auto"/>
        <w:left w:val="none" w:sz="0" w:space="0" w:color="auto"/>
        <w:bottom w:val="none" w:sz="0" w:space="0" w:color="auto"/>
        <w:right w:val="none" w:sz="0" w:space="0" w:color="auto"/>
      </w:divBdr>
    </w:div>
    <w:div w:id="1256475543">
      <w:bodyDiv w:val="1"/>
      <w:marLeft w:val="0"/>
      <w:marRight w:val="0"/>
      <w:marTop w:val="0"/>
      <w:marBottom w:val="0"/>
      <w:divBdr>
        <w:top w:val="none" w:sz="0" w:space="0" w:color="auto"/>
        <w:left w:val="none" w:sz="0" w:space="0" w:color="auto"/>
        <w:bottom w:val="none" w:sz="0" w:space="0" w:color="auto"/>
        <w:right w:val="none" w:sz="0" w:space="0" w:color="auto"/>
      </w:divBdr>
    </w:div>
    <w:div w:id="1256594314">
      <w:bodyDiv w:val="1"/>
      <w:marLeft w:val="0"/>
      <w:marRight w:val="0"/>
      <w:marTop w:val="0"/>
      <w:marBottom w:val="0"/>
      <w:divBdr>
        <w:top w:val="none" w:sz="0" w:space="0" w:color="auto"/>
        <w:left w:val="none" w:sz="0" w:space="0" w:color="auto"/>
        <w:bottom w:val="none" w:sz="0" w:space="0" w:color="auto"/>
        <w:right w:val="none" w:sz="0" w:space="0" w:color="auto"/>
      </w:divBdr>
    </w:div>
    <w:div w:id="1256599902">
      <w:bodyDiv w:val="1"/>
      <w:marLeft w:val="0"/>
      <w:marRight w:val="0"/>
      <w:marTop w:val="0"/>
      <w:marBottom w:val="0"/>
      <w:divBdr>
        <w:top w:val="none" w:sz="0" w:space="0" w:color="auto"/>
        <w:left w:val="none" w:sz="0" w:space="0" w:color="auto"/>
        <w:bottom w:val="none" w:sz="0" w:space="0" w:color="auto"/>
        <w:right w:val="none" w:sz="0" w:space="0" w:color="auto"/>
      </w:divBdr>
    </w:div>
    <w:div w:id="1256941027">
      <w:bodyDiv w:val="1"/>
      <w:marLeft w:val="0"/>
      <w:marRight w:val="0"/>
      <w:marTop w:val="0"/>
      <w:marBottom w:val="0"/>
      <w:divBdr>
        <w:top w:val="none" w:sz="0" w:space="0" w:color="auto"/>
        <w:left w:val="none" w:sz="0" w:space="0" w:color="auto"/>
        <w:bottom w:val="none" w:sz="0" w:space="0" w:color="auto"/>
        <w:right w:val="none" w:sz="0" w:space="0" w:color="auto"/>
      </w:divBdr>
    </w:div>
    <w:div w:id="1258706921">
      <w:bodyDiv w:val="1"/>
      <w:marLeft w:val="0"/>
      <w:marRight w:val="0"/>
      <w:marTop w:val="0"/>
      <w:marBottom w:val="0"/>
      <w:divBdr>
        <w:top w:val="none" w:sz="0" w:space="0" w:color="auto"/>
        <w:left w:val="none" w:sz="0" w:space="0" w:color="auto"/>
        <w:bottom w:val="none" w:sz="0" w:space="0" w:color="auto"/>
        <w:right w:val="none" w:sz="0" w:space="0" w:color="auto"/>
      </w:divBdr>
    </w:div>
    <w:div w:id="1258900880">
      <w:bodyDiv w:val="1"/>
      <w:marLeft w:val="0"/>
      <w:marRight w:val="0"/>
      <w:marTop w:val="0"/>
      <w:marBottom w:val="0"/>
      <w:divBdr>
        <w:top w:val="none" w:sz="0" w:space="0" w:color="auto"/>
        <w:left w:val="none" w:sz="0" w:space="0" w:color="auto"/>
        <w:bottom w:val="none" w:sz="0" w:space="0" w:color="auto"/>
        <w:right w:val="none" w:sz="0" w:space="0" w:color="auto"/>
      </w:divBdr>
    </w:div>
    <w:div w:id="1260337941">
      <w:bodyDiv w:val="1"/>
      <w:marLeft w:val="0"/>
      <w:marRight w:val="0"/>
      <w:marTop w:val="0"/>
      <w:marBottom w:val="0"/>
      <w:divBdr>
        <w:top w:val="none" w:sz="0" w:space="0" w:color="auto"/>
        <w:left w:val="none" w:sz="0" w:space="0" w:color="auto"/>
        <w:bottom w:val="none" w:sz="0" w:space="0" w:color="auto"/>
        <w:right w:val="none" w:sz="0" w:space="0" w:color="auto"/>
      </w:divBdr>
    </w:div>
    <w:div w:id="1260790477">
      <w:bodyDiv w:val="1"/>
      <w:marLeft w:val="0"/>
      <w:marRight w:val="0"/>
      <w:marTop w:val="0"/>
      <w:marBottom w:val="0"/>
      <w:divBdr>
        <w:top w:val="none" w:sz="0" w:space="0" w:color="auto"/>
        <w:left w:val="none" w:sz="0" w:space="0" w:color="auto"/>
        <w:bottom w:val="none" w:sz="0" w:space="0" w:color="auto"/>
        <w:right w:val="none" w:sz="0" w:space="0" w:color="auto"/>
      </w:divBdr>
    </w:div>
    <w:div w:id="1260943027">
      <w:bodyDiv w:val="1"/>
      <w:marLeft w:val="0"/>
      <w:marRight w:val="0"/>
      <w:marTop w:val="0"/>
      <w:marBottom w:val="0"/>
      <w:divBdr>
        <w:top w:val="none" w:sz="0" w:space="0" w:color="auto"/>
        <w:left w:val="none" w:sz="0" w:space="0" w:color="auto"/>
        <w:bottom w:val="none" w:sz="0" w:space="0" w:color="auto"/>
        <w:right w:val="none" w:sz="0" w:space="0" w:color="auto"/>
      </w:divBdr>
    </w:div>
    <w:div w:id="1262105626">
      <w:bodyDiv w:val="1"/>
      <w:marLeft w:val="0"/>
      <w:marRight w:val="0"/>
      <w:marTop w:val="0"/>
      <w:marBottom w:val="0"/>
      <w:divBdr>
        <w:top w:val="none" w:sz="0" w:space="0" w:color="auto"/>
        <w:left w:val="none" w:sz="0" w:space="0" w:color="auto"/>
        <w:bottom w:val="none" w:sz="0" w:space="0" w:color="auto"/>
        <w:right w:val="none" w:sz="0" w:space="0" w:color="auto"/>
      </w:divBdr>
    </w:div>
    <w:div w:id="1265071482">
      <w:bodyDiv w:val="1"/>
      <w:marLeft w:val="0"/>
      <w:marRight w:val="0"/>
      <w:marTop w:val="0"/>
      <w:marBottom w:val="0"/>
      <w:divBdr>
        <w:top w:val="none" w:sz="0" w:space="0" w:color="auto"/>
        <w:left w:val="none" w:sz="0" w:space="0" w:color="auto"/>
        <w:bottom w:val="none" w:sz="0" w:space="0" w:color="auto"/>
        <w:right w:val="none" w:sz="0" w:space="0" w:color="auto"/>
      </w:divBdr>
    </w:div>
    <w:div w:id="1265453384">
      <w:bodyDiv w:val="1"/>
      <w:marLeft w:val="0"/>
      <w:marRight w:val="0"/>
      <w:marTop w:val="0"/>
      <w:marBottom w:val="0"/>
      <w:divBdr>
        <w:top w:val="none" w:sz="0" w:space="0" w:color="auto"/>
        <w:left w:val="none" w:sz="0" w:space="0" w:color="auto"/>
        <w:bottom w:val="none" w:sz="0" w:space="0" w:color="auto"/>
        <w:right w:val="none" w:sz="0" w:space="0" w:color="auto"/>
      </w:divBdr>
    </w:div>
    <w:div w:id="1266619919">
      <w:bodyDiv w:val="1"/>
      <w:marLeft w:val="0"/>
      <w:marRight w:val="0"/>
      <w:marTop w:val="0"/>
      <w:marBottom w:val="0"/>
      <w:divBdr>
        <w:top w:val="none" w:sz="0" w:space="0" w:color="auto"/>
        <w:left w:val="none" w:sz="0" w:space="0" w:color="auto"/>
        <w:bottom w:val="none" w:sz="0" w:space="0" w:color="auto"/>
        <w:right w:val="none" w:sz="0" w:space="0" w:color="auto"/>
      </w:divBdr>
    </w:div>
    <w:div w:id="1267348479">
      <w:bodyDiv w:val="1"/>
      <w:marLeft w:val="0"/>
      <w:marRight w:val="0"/>
      <w:marTop w:val="0"/>
      <w:marBottom w:val="0"/>
      <w:divBdr>
        <w:top w:val="none" w:sz="0" w:space="0" w:color="auto"/>
        <w:left w:val="none" w:sz="0" w:space="0" w:color="auto"/>
        <w:bottom w:val="none" w:sz="0" w:space="0" w:color="auto"/>
        <w:right w:val="none" w:sz="0" w:space="0" w:color="auto"/>
      </w:divBdr>
    </w:div>
    <w:div w:id="1268467250">
      <w:bodyDiv w:val="1"/>
      <w:marLeft w:val="0"/>
      <w:marRight w:val="0"/>
      <w:marTop w:val="0"/>
      <w:marBottom w:val="0"/>
      <w:divBdr>
        <w:top w:val="none" w:sz="0" w:space="0" w:color="auto"/>
        <w:left w:val="none" w:sz="0" w:space="0" w:color="auto"/>
        <w:bottom w:val="none" w:sz="0" w:space="0" w:color="auto"/>
        <w:right w:val="none" w:sz="0" w:space="0" w:color="auto"/>
      </w:divBdr>
      <w:divsChild>
        <w:div w:id="2141461508">
          <w:marLeft w:val="0"/>
          <w:marRight w:val="0"/>
          <w:marTop w:val="144"/>
          <w:marBottom w:val="144"/>
          <w:divBdr>
            <w:top w:val="none" w:sz="0" w:space="0" w:color="auto"/>
            <w:left w:val="none" w:sz="0" w:space="0" w:color="auto"/>
            <w:bottom w:val="none" w:sz="0" w:space="0" w:color="auto"/>
            <w:right w:val="none" w:sz="0" w:space="0" w:color="auto"/>
          </w:divBdr>
        </w:div>
      </w:divsChild>
    </w:div>
    <w:div w:id="1269045416">
      <w:bodyDiv w:val="1"/>
      <w:marLeft w:val="0"/>
      <w:marRight w:val="0"/>
      <w:marTop w:val="0"/>
      <w:marBottom w:val="0"/>
      <w:divBdr>
        <w:top w:val="none" w:sz="0" w:space="0" w:color="auto"/>
        <w:left w:val="none" w:sz="0" w:space="0" w:color="auto"/>
        <w:bottom w:val="none" w:sz="0" w:space="0" w:color="auto"/>
        <w:right w:val="none" w:sz="0" w:space="0" w:color="auto"/>
      </w:divBdr>
    </w:div>
    <w:div w:id="1269388268">
      <w:bodyDiv w:val="1"/>
      <w:marLeft w:val="0"/>
      <w:marRight w:val="0"/>
      <w:marTop w:val="0"/>
      <w:marBottom w:val="0"/>
      <w:divBdr>
        <w:top w:val="none" w:sz="0" w:space="0" w:color="auto"/>
        <w:left w:val="none" w:sz="0" w:space="0" w:color="auto"/>
        <w:bottom w:val="none" w:sz="0" w:space="0" w:color="auto"/>
        <w:right w:val="none" w:sz="0" w:space="0" w:color="auto"/>
      </w:divBdr>
    </w:div>
    <w:div w:id="1271815780">
      <w:bodyDiv w:val="1"/>
      <w:marLeft w:val="0"/>
      <w:marRight w:val="0"/>
      <w:marTop w:val="0"/>
      <w:marBottom w:val="0"/>
      <w:divBdr>
        <w:top w:val="none" w:sz="0" w:space="0" w:color="auto"/>
        <w:left w:val="none" w:sz="0" w:space="0" w:color="auto"/>
        <w:bottom w:val="none" w:sz="0" w:space="0" w:color="auto"/>
        <w:right w:val="none" w:sz="0" w:space="0" w:color="auto"/>
      </w:divBdr>
    </w:div>
    <w:div w:id="1271820063">
      <w:bodyDiv w:val="1"/>
      <w:marLeft w:val="0"/>
      <w:marRight w:val="0"/>
      <w:marTop w:val="0"/>
      <w:marBottom w:val="0"/>
      <w:divBdr>
        <w:top w:val="none" w:sz="0" w:space="0" w:color="auto"/>
        <w:left w:val="none" w:sz="0" w:space="0" w:color="auto"/>
        <w:bottom w:val="none" w:sz="0" w:space="0" w:color="auto"/>
        <w:right w:val="none" w:sz="0" w:space="0" w:color="auto"/>
      </w:divBdr>
    </w:div>
    <w:div w:id="1272785462">
      <w:bodyDiv w:val="1"/>
      <w:marLeft w:val="0"/>
      <w:marRight w:val="0"/>
      <w:marTop w:val="0"/>
      <w:marBottom w:val="0"/>
      <w:divBdr>
        <w:top w:val="none" w:sz="0" w:space="0" w:color="auto"/>
        <w:left w:val="none" w:sz="0" w:space="0" w:color="auto"/>
        <w:bottom w:val="none" w:sz="0" w:space="0" w:color="auto"/>
        <w:right w:val="none" w:sz="0" w:space="0" w:color="auto"/>
      </w:divBdr>
    </w:div>
    <w:div w:id="1272935657">
      <w:bodyDiv w:val="1"/>
      <w:marLeft w:val="0"/>
      <w:marRight w:val="0"/>
      <w:marTop w:val="0"/>
      <w:marBottom w:val="0"/>
      <w:divBdr>
        <w:top w:val="none" w:sz="0" w:space="0" w:color="auto"/>
        <w:left w:val="none" w:sz="0" w:space="0" w:color="auto"/>
        <w:bottom w:val="none" w:sz="0" w:space="0" w:color="auto"/>
        <w:right w:val="none" w:sz="0" w:space="0" w:color="auto"/>
      </w:divBdr>
    </w:div>
    <w:div w:id="1273364881">
      <w:bodyDiv w:val="1"/>
      <w:marLeft w:val="0"/>
      <w:marRight w:val="0"/>
      <w:marTop w:val="0"/>
      <w:marBottom w:val="0"/>
      <w:divBdr>
        <w:top w:val="none" w:sz="0" w:space="0" w:color="auto"/>
        <w:left w:val="none" w:sz="0" w:space="0" w:color="auto"/>
        <w:bottom w:val="none" w:sz="0" w:space="0" w:color="auto"/>
        <w:right w:val="none" w:sz="0" w:space="0" w:color="auto"/>
      </w:divBdr>
    </w:div>
    <w:div w:id="1277787985">
      <w:bodyDiv w:val="1"/>
      <w:marLeft w:val="0"/>
      <w:marRight w:val="0"/>
      <w:marTop w:val="0"/>
      <w:marBottom w:val="0"/>
      <w:divBdr>
        <w:top w:val="none" w:sz="0" w:space="0" w:color="auto"/>
        <w:left w:val="none" w:sz="0" w:space="0" w:color="auto"/>
        <w:bottom w:val="none" w:sz="0" w:space="0" w:color="auto"/>
        <w:right w:val="none" w:sz="0" w:space="0" w:color="auto"/>
      </w:divBdr>
    </w:div>
    <w:div w:id="1278947651">
      <w:bodyDiv w:val="1"/>
      <w:marLeft w:val="0"/>
      <w:marRight w:val="0"/>
      <w:marTop w:val="0"/>
      <w:marBottom w:val="0"/>
      <w:divBdr>
        <w:top w:val="none" w:sz="0" w:space="0" w:color="auto"/>
        <w:left w:val="none" w:sz="0" w:space="0" w:color="auto"/>
        <w:bottom w:val="none" w:sz="0" w:space="0" w:color="auto"/>
        <w:right w:val="none" w:sz="0" w:space="0" w:color="auto"/>
      </w:divBdr>
    </w:div>
    <w:div w:id="1280257535">
      <w:bodyDiv w:val="1"/>
      <w:marLeft w:val="0"/>
      <w:marRight w:val="0"/>
      <w:marTop w:val="0"/>
      <w:marBottom w:val="0"/>
      <w:divBdr>
        <w:top w:val="none" w:sz="0" w:space="0" w:color="auto"/>
        <w:left w:val="none" w:sz="0" w:space="0" w:color="auto"/>
        <w:bottom w:val="none" w:sz="0" w:space="0" w:color="auto"/>
        <w:right w:val="none" w:sz="0" w:space="0" w:color="auto"/>
      </w:divBdr>
    </w:div>
    <w:div w:id="1281909752">
      <w:bodyDiv w:val="1"/>
      <w:marLeft w:val="0"/>
      <w:marRight w:val="0"/>
      <w:marTop w:val="0"/>
      <w:marBottom w:val="0"/>
      <w:divBdr>
        <w:top w:val="none" w:sz="0" w:space="0" w:color="auto"/>
        <w:left w:val="none" w:sz="0" w:space="0" w:color="auto"/>
        <w:bottom w:val="none" w:sz="0" w:space="0" w:color="auto"/>
        <w:right w:val="none" w:sz="0" w:space="0" w:color="auto"/>
      </w:divBdr>
    </w:div>
    <w:div w:id="1282107809">
      <w:bodyDiv w:val="1"/>
      <w:marLeft w:val="0"/>
      <w:marRight w:val="0"/>
      <w:marTop w:val="0"/>
      <w:marBottom w:val="0"/>
      <w:divBdr>
        <w:top w:val="none" w:sz="0" w:space="0" w:color="auto"/>
        <w:left w:val="none" w:sz="0" w:space="0" w:color="auto"/>
        <w:bottom w:val="none" w:sz="0" w:space="0" w:color="auto"/>
        <w:right w:val="none" w:sz="0" w:space="0" w:color="auto"/>
      </w:divBdr>
    </w:div>
    <w:div w:id="1282612332">
      <w:bodyDiv w:val="1"/>
      <w:marLeft w:val="0"/>
      <w:marRight w:val="0"/>
      <w:marTop w:val="0"/>
      <w:marBottom w:val="0"/>
      <w:divBdr>
        <w:top w:val="none" w:sz="0" w:space="0" w:color="auto"/>
        <w:left w:val="none" w:sz="0" w:space="0" w:color="auto"/>
        <w:bottom w:val="none" w:sz="0" w:space="0" w:color="auto"/>
        <w:right w:val="none" w:sz="0" w:space="0" w:color="auto"/>
      </w:divBdr>
    </w:div>
    <w:div w:id="1284768017">
      <w:bodyDiv w:val="1"/>
      <w:marLeft w:val="0"/>
      <w:marRight w:val="0"/>
      <w:marTop w:val="0"/>
      <w:marBottom w:val="0"/>
      <w:divBdr>
        <w:top w:val="none" w:sz="0" w:space="0" w:color="auto"/>
        <w:left w:val="none" w:sz="0" w:space="0" w:color="auto"/>
        <w:bottom w:val="none" w:sz="0" w:space="0" w:color="auto"/>
        <w:right w:val="none" w:sz="0" w:space="0" w:color="auto"/>
      </w:divBdr>
    </w:div>
    <w:div w:id="1284775793">
      <w:bodyDiv w:val="1"/>
      <w:marLeft w:val="0"/>
      <w:marRight w:val="0"/>
      <w:marTop w:val="0"/>
      <w:marBottom w:val="0"/>
      <w:divBdr>
        <w:top w:val="none" w:sz="0" w:space="0" w:color="auto"/>
        <w:left w:val="none" w:sz="0" w:space="0" w:color="auto"/>
        <w:bottom w:val="none" w:sz="0" w:space="0" w:color="auto"/>
        <w:right w:val="none" w:sz="0" w:space="0" w:color="auto"/>
      </w:divBdr>
    </w:div>
    <w:div w:id="1285190513">
      <w:bodyDiv w:val="1"/>
      <w:marLeft w:val="0"/>
      <w:marRight w:val="0"/>
      <w:marTop w:val="0"/>
      <w:marBottom w:val="0"/>
      <w:divBdr>
        <w:top w:val="none" w:sz="0" w:space="0" w:color="auto"/>
        <w:left w:val="none" w:sz="0" w:space="0" w:color="auto"/>
        <w:bottom w:val="none" w:sz="0" w:space="0" w:color="auto"/>
        <w:right w:val="none" w:sz="0" w:space="0" w:color="auto"/>
      </w:divBdr>
    </w:div>
    <w:div w:id="1286085592">
      <w:bodyDiv w:val="1"/>
      <w:marLeft w:val="0"/>
      <w:marRight w:val="0"/>
      <w:marTop w:val="0"/>
      <w:marBottom w:val="0"/>
      <w:divBdr>
        <w:top w:val="none" w:sz="0" w:space="0" w:color="auto"/>
        <w:left w:val="none" w:sz="0" w:space="0" w:color="auto"/>
        <w:bottom w:val="none" w:sz="0" w:space="0" w:color="auto"/>
        <w:right w:val="none" w:sz="0" w:space="0" w:color="auto"/>
      </w:divBdr>
    </w:div>
    <w:div w:id="1286428305">
      <w:bodyDiv w:val="1"/>
      <w:marLeft w:val="0"/>
      <w:marRight w:val="0"/>
      <w:marTop w:val="0"/>
      <w:marBottom w:val="0"/>
      <w:divBdr>
        <w:top w:val="none" w:sz="0" w:space="0" w:color="auto"/>
        <w:left w:val="none" w:sz="0" w:space="0" w:color="auto"/>
        <w:bottom w:val="none" w:sz="0" w:space="0" w:color="auto"/>
        <w:right w:val="none" w:sz="0" w:space="0" w:color="auto"/>
      </w:divBdr>
    </w:div>
    <w:div w:id="1287348518">
      <w:bodyDiv w:val="1"/>
      <w:marLeft w:val="0"/>
      <w:marRight w:val="0"/>
      <w:marTop w:val="0"/>
      <w:marBottom w:val="0"/>
      <w:divBdr>
        <w:top w:val="none" w:sz="0" w:space="0" w:color="auto"/>
        <w:left w:val="none" w:sz="0" w:space="0" w:color="auto"/>
        <w:bottom w:val="none" w:sz="0" w:space="0" w:color="auto"/>
        <w:right w:val="none" w:sz="0" w:space="0" w:color="auto"/>
      </w:divBdr>
    </w:div>
    <w:div w:id="1288118718">
      <w:bodyDiv w:val="1"/>
      <w:marLeft w:val="0"/>
      <w:marRight w:val="0"/>
      <w:marTop w:val="0"/>
      <w:marBottom w:val="0"/>
      <w:divBdr>
        <w:top w:val="none" w:sz="0" w:space="0" w:color="auto"/>
        <w:left w:val="none" w:sz="0" w:space="0" w:color="auto"/>
        <w:bottom w:val="none" w:sz="0" w:space="0" w:color="auto"/>
        <w:right w:val="none" w:sz="0" w:space="0" w:color="auto"/>
      </w:divBdr>
    </w:div>
    <w:div w:id="1288120860">
      <w:bodyDiv w:val="1"/>
      <w:marLeft w:val="0"/>
      <w:marRight w:val="0"/>
      <w:marTop w:val="0"/>
      <w:marBottom w:val="0"/>
      <w:divBdr>
        <w:top w:val="none" w:sz="0" w:space="0" w:color="auto"/>
        <w:left w:val="none" w:sz="0" w:space="0" w:color="auto"/>
        <w:bottom w:val="none" w:sz="0" w:space="0" w:color="auto"/>
        <w:right w:val="none" w:sz="0" w:space="0" w:color="auto"/>
      </w:divBdr>
    </w:div>
    <w:div w:id="1289622789">
      <w:bodyDiv w:val="1"/>
      <w:marLeft w:val="0"/>
      <w:marRight w:val="0"/>
      <w:marTop w:val="0"/>
      <w:marBottom w:val="0"/>
      <w:divBdr>
        <w:top w:val="none" w:sz="0" w:space="0" w:color="auto"/>
        <w:left w:val="none" w:sz="0" w:space="0" w:color="auto"/>
        <w:bottom w:val="none" w:sz="0" w:space="0" w:color="auto"/>
        <w:right w:val="none" w:sz="0" w:space="0" w:color="auto"/>
      </w:divBdr>
    </w:div>
    <w:div w:id="1289748509">
      <w:bodyDiv w:val="1"/>
      <w:marLeft w:val="0"/>
      <w:marRight w:val="0"/>
      <w:marTop w:val="0"/>
      <w:marBottom w:val="0"/>
      <w:divBdr>
        <w:top w:val="none" w:sz="0" w:space="0" w:color="auto"/>
        <w:left w:val="none" w:sz="0" w:space="0" w:color="auto"/>
        <w:bottom w:val="none" w:sz="0" w:space="0" w:color="auto"/>
        <w:right w:val="none" w:sz="0" w:space="0" w:color="auto"/>
      </w:divBdr>
    </w:div>
    <w:div w:id="1289974705">
      <w:bodyDiv w:val="1"/>
      <w:marLeft w:val="0"/>
      <w:marRight w:val="0"/>
      <w:marTop w:val="0"/>
      <w:marBottom w:val="0"/>
      <w:divBdr>
        <w:top w:val="none" w:sz="0" w:space="0" w:color="auto"/>
        <w:left w:val="none" w:sz="0" w:space="0" w:color="auto"/>
        <w:bottom w:val="none" w:sz="0" w:space="0" w:color="auto"/>
        <w:right w:val="none" w:sz="0" w:space="0" w:color="auto"/>
      </w:divBdr>
    </w:div>
    <w:div w:id="1290015510">
      <w:bodyDiv w:val="1"/>
      <w:marLeft w:val="0"/>
      <w:marRight w:val="0"/>
      <w:marTop w:val="0"/>
      <w:marBottom w:val="0"/>
      <w:divBdr>
        <w:top w:val="none" w:sz="0" w:space="0" w:color="auto"/>
        <w:left w:val="none" w:sz="0" w:space="0" w:color="auto"/>
        <w:bottom w:val="none" w:sz="0" w:space="0" w:color="auto"/>
        <w:right w:val="none" w:sz="0" w:space="0" w:color="auto"/>
      </w:divBdr>
    </w:div>
    <w:div w:id="1290209921">
      <w:bodyDiv w:val="1"/>
      <w:marLeft w:val="0"/>
      <w:marRight w:val="0"/>
      <w:marTop w:val="0"/>
      <w:marBottom w:val="0"/>
      <w:divBdr>
        <w:top w:val="none" w:sz="0" w:space="0" w:color="auto"/>
        <w:left w:val="none" w:sz="0" w:space="0" w:color="auto"/>
        <w:bottom w:val="none" w:sz="0" w:space="0" w:color="auto"/>
        <w:right w:val="none" w:sz="0" w:space="0" w:color="auto"/>
      </w:divBdr>
    </w:div>
    <w:div w:id="1290667522">
      <w:bodyDiv w:val="1"/>
      <w:marLeft w:val="0"/>
      <w:marRight w:val="0"/>
      <w:marTop w:val="0"/>
      <w:marBottom w:val="0"/>
      <w:divBdr>
        <w:top w:val="none" w:sz="0" w:space="0" w:color="auto"/>
        <w:left w:val="none" w:sz="0" w:space="0" w:color="auto"/>
        <w:bottom w:val="none" w:sz="0" w:space="0" w:color="auto"/>
        <w:right w:val="none" w:sz="0" w:space="0" w:color="auto"/>
      </w:divBdr>
    </w:div>
    <w:div w:id="1291008155">
      <w:bodyDiv w:val="1"/>
      <w:marLeft w:val="0"/>
      <w:marRight w:val="0"/>
      <w:marTop w:val="0"/>
      <w:marBottom w:val="0"/>
      <w:divBdr>
        <w:top w:val="none" w:sz="0" w:space="0" w:color="auto"/>
        <w:left w:val="none" w:sz="0" w:space="0" w:color="auto"/>
        <w:bottom w:val="none" w:sz="0" w:space="0" w:color="auto"/>
        <w:right w:val="none" w:sz="0" w:space="0" w:color="auto"/>
      </w:divBdr>
    </w:div>
    <w:div w:id="1291398619">
      <w:bodyDiv w:val="1"/>
      <w:marLeft w:val="0"/>
      <w:marRight w:val="0"/>
      <w:marTop w:val="0"/>
      <w:marBottom w:val="0"/>
      <w:divBdr>
        <w:top w:val="none" w:sz="0" w:space="0" w:color="auto"/>
        <w:left w:val="none" w:sz="0" w:space="0" w:color="auto"/>
        <w:bottom w:val="none" w:sz="0" w:space="0" w:color="auto"/>
        <w:right w:val="none" w:sz="0" w:space="0" w:color="auto"/>
      </w:divBdr>
    </w:div>
    <w:div w:id="1291592549">
      <w:bodyDiv w:val="1"/>
      <w:marLeft w:val="0"/>
      <w:marRight w:val="0"/>
      <w:marTop w:val="0"/>
      <w:marBottom w:val="0"/>
      <w:divBdr>
        <w:top w:val="none" w:sz="0" w:space="0" w:color="auto"/>
        <w:left w:val="none" w:sz="0" w:space="0" w:color="auto"/>
        <w:bottom w:val="none" w:sz="0" w:space="0" w:color="auto"/>
        <w:right w:val="none" w:sz="0" w:space="0" w:color="auto"/>
      </w:divBdr>
    </w:div>
    <w:div w:id="1291860121">
      <w:bodyDiv w:val="1"/>
      <w:marLeft w:val="0"/>
      <w:marRight w:val="0"/>
      <w:marTop w:val="0"/>
      <w:marBottom w:val="0"/>
      <w:divBdr>
        <w:top w:val="none" w:sz="0" w:space="0" w:color="auto"/>
        <w:left w:val="none" w:sz="0" w:space="0" w:color="auto"/>
        <w:bottom w:val="none" w:sz="0" w:space="0" w:color="auto"/>
        <w:right w:val="none" w:sz="0" w:space="0" w:color="auto"/>
      </w:divBdr>
    </w:div>
    <w:div w:id="1291983536">
      <w:bodyDiv w:val="1"/>
      <w:marLeft w:val="0"/>
      <w:marRight w:val="0"/>
      <w:marTop w:val="0"/>
      <w:marBottom w:val="0"/>
      <w:divBdr>
        <w:top w:val="none" w:sz="0" w:space="0" w:color="auto"/>
        <w:left w:val="none" w:sz="0" w:space="0" w:color="auto"/>
        <w:bottom w:val="none" w:sz="0" w:space="0" w:color="auto"/>
        <w:right w:val="none" w:sz="0" w:space="0" w:color="auto"/>
      </w:divBdr>
    </w:div>
    <w:div w:id="1292713617">
      <w:bodyDiv w:val="1"/>
      <w:marLeft w:val="0"/>
      <w:marRight w:val="0"/>
      <w:marTop w:val="0"/>
      <w:marBottom w:val="0"/>
      <w:divBdr>
        <w:top w:val="none" w:sz="0" w:space="0" w:color="auto"/>
        <w:left w:val="none" w:sz="0" w:space="0" w:color="auto"/>
        <w:bottom w:val="none" w:sz="0" w:space="0" w:color="auto"/>
        <w:right w:val="none" w:sz="0" w:space="0" w:color="auto"/>
      </w:divBdr>
    </w:div>
    <w:div w:id="1294603421">
      <w:bodyDiv w:val="1"/>
      <w:marLeft w:val="0"/>
      <w:marRight w:val="0"/>
      <w:marTop w:val="0"/>
      <w:marBottom w:val="0"/>
      <w:divBdr>
        <w:top w:val="none" w:sz="0" w:space="0" w:color="auto"/>
        <w:left w:val="none" w:sz="0" w:space="0" w:color="auto"/>
        <w:bottom w:val="none" w:sz="0" w:space="0" w:color="auto"/>
        <w:right w:val="none" w:sz="0" w:space="0" w:color="auto"/>
      </w:divBdr>
    </w:div>
    <w:div w:id="1295065354">
      <w:bodyDiv w:val="1"/>
      <w:marLeft w:val="0"/>
      <w:marRight w:val="0"/>
      <w:marTop w:val="0"/>
      <w:marBottom w:val="0"/>
      <w:divBdr>
        <w:top w:val="none" w:sz="0" w:space="0" w:color="auto"/>
        <w:left w:val="none" w:sz="0" w:space="0" w:color="auto"/>
        <w:bottom w:val="none" w:sz="0" w:space="0" w:color="auto"/>
        <w:right w:val="none" w:sz="0" w:space="0" w:color="auto"/>
      </w:divBdr>
    </w:div>
    <w:div w:id="1295521120">
      <w:bodyDiv w:val="1"/>
      <w:marLeft w:val="0"/>
      <w:marRight w:val="0"/>
      <w:marTop w:val="0"/>
      <w:marBottom w:val="0"/>
      <w:divBdr>
        <w:top w:val="none" w:sz="0" w:space="0" w:color="auto"/>
        <w:left w:val="none" w:sz="0" w:space="0" w:color="auto"/>
        <w:bottom w:val="none" w:sz="0" w:space="0" w:color="auto"/>
        <w:right w:val="none" w:sz="0" w:space="0" w:color="auto"/>
      </w:divBdr>
    </w:div>
    <w:div w:id="1296989130">
      <w:bodyDiv w:val="1"/>
      <w:marLeft w:val="0"/>
      <w:marRight w:val="0"/>
      <w:marTop w:val="0"/>
      <w:marBottom w:val="0"/>
      <w:divBdr>
        <w:top w:val="none" w:sz="0" w:space="0" w:color="auto"/>
        <w:left w:val="none" w:sz="0" w:space="0" w:color="auto"/>
        <w:bottom w:val="none" w:sz="0" w:space="0" w:color="auto"/>
        <w:right w:val="none" w:sz="0" w:space="0" w:color="auto"/>
      </w:divBdr>
    </w:div>
    <w:div w:id="1297875947">
      <w:bodyDiv w:val="1"/>
      <w:marLeft w:val="0"/>
      <w:marRight w:val="0"/>
      <w:marTop w:val="0"/>
      <w:marBottom w:val="0"/>
      <w:divBdr>
        <w:top w:val="none" w:sz="0" w:space="0" w:color="auto"/>
        <w:left w:val="none" w:sz="0" w:space="0" w:color="auto"/>
        <w:bottom w:val="none" w:sz="0" w:space="0" w:color="auto"/>
        <w:right w:val="none" w:sz="0" w:space="0" w:color="auto"/>
      </w:divBdr>
    </w:div>
    <w:div w:id="1298291897">
      <w:bodyDiv w:val="1"/>
      <w:marLeft w:val="0"/>
      <w:marRight w:val="0"/>
      <w:marTop w:val="0"/>
      <w:marBottom w:val="0"/>
      <w:divBdr>
        <w:top w:val="none" w:sz="0" w:space="0" w:color="auto"/>
        <w:left w:val="none" w:sz="0" w:space="0" w:color="auto"/>
        <w:bottom w:val="none" w:sz="0" w:space="0" w:color="auto"/>
        <w:right w:val="none" w:sz="0" w:space="0" w:color="auto"/>
      </w:divBdr>
    </w:div>
    <w:div w:id="1300111922">
      <w:bodyDiv w:val="1"/>
      <w:marLeft w:val="0"/>
      <w:marRight w:val="0"/>
      <w:marTop w:val="0"/>
      <w:marBottom w:val="0"/>
      <w:divBdr>
        <w:top w:val="none" w:sz="0" w:space="0" w:color="auto"/>
        <w:left w:val="none" w:sz="0" w:space="0" w:color="auto"/>
        <w:bottom w:val="none" w:sz="0" w:space="0" w:color="auto"/>
        <w:right w:val="none" w:sz="0" w:space="0" w:color="auto"/>
      </w:divBdr>
    </w:div>
    <w:div w:id="1301380952">
      <w:bodyDiv w:val="1"/>
      <w:marLeft w:val="0"/>
      <w:marRight w:val="0"/>
      <w:marTop w:val="0"/>
      <w:marBottom w:val="0"/>
      <w:divBdr>
        <w:top w:val="none" w:sz="0" w:space="0" w:color="auto"/>
        <w:left w:val="none" w:sz="0" w:space="0" w:color="auto"/>
        <w:bottom w:val="none" w:sz="0" w:space="0" w:color="auto"/>
        <w:right w:val="none" w:sz="0" w:space="0" w:color="auto"/>
      </w:divBdr>
    </w:div>
    <w:div w:id="1302155164">
      <w:bodyDiv w:val="1"/>
      <w:marLeft w:val="0"/>
      <w:marRight w:val="0"/>
      <w:marTop w:val="0"/>
      <w:marBottom w:val="0"/>
      <w:divBdr>
        <w:top w:val="none" w:sz="0" w:space="0" w:color="auto"/>
        <w:left w:val="none" w:sz="0" w:space="0" w:color="auto"/>
        <w:bottom w:val="none" w:sz="0" w:space="0" w:color="auto"/>
        <w:right w:val="none" w:sz="0" w:space="0" w:color="auto"/>
      </w:divBdr>
    </w:div>
    <w:div w:id="1302229707">
      <w:bodyDiv w:val="1"/>
      <w:marLeft w:val="0"/>
      <w:marRight w:val="0"/>
      <w:marTop w:val="0"/>
      <w:marBottom w:val="0"/>
      <w:divBdr>
        <w:top w:val="none" w:sz="0" w:space="0" w:color="auto"/>
        <w:left w:val="none" w:sz="0" w:space="0" w:color="auto"/>
        <w:bottom w:val="none" w:sz="0" w:space="0" w:color="auto"/>
        <w:right w:val="none" w:sz="0" w:space="0" w:color="auto"/>
      </w:divBdr>
    </w:div>
    <w:div w:id="1304578183">
      <w:bodyDiv w:val="1"/>
      <w:marLeft w:val="0"/>
      <w:marRight w:val="0"/>
      <w:marTop w:val="0"/>
      <w:marBottom w:val="0"/>
      <w:divBdr>
        <w:top w:val="none" w:sz="0" w:space="0" w:color="auto"/>
        <w:left w:val="none" w:sz="0" w:space="0" w:color="auto"/>
        <w:bottom w:val="none" w:sz="0" w:space="0" w:color="auto"/>
        <w:right w:val="none" w:sz="0" w:space="0" w:color="auto"/>
      </w:divBdr>
    </w:div>
    <w:div w:id="1304655097">
      <w:bodyDiv w:val="1"/>
      <w:marLeft w:val="0"/>
      <w:marRight w:val="0"/>
      <w:marTop w:val="0"/>
      <w:marBottom w:val="0"/>
      <w:divBdr>
        <w:top w:val="none" w:sz="0" w:space="0" w:color="auto"/>
        <w:left w:val="none" w:sz="0" w:space="0" w:color="auto"/>
        <w:bottom w:val="none" w:sz="0" w:space="0" w:color="auto"/>
        <w:right w:val="none" w:sz="0" w:space="0" w:color="auto"/>
      </w:divBdr>
    </w:div>
    <w:div w:id="1304696150">
      <w:bodyDiv w:val="1"/>
      <w:marLeft w:val="0"/>
      <w:marRight w:val="0"/>
      <w:marTop w:val="0"/>
      <w:marBottom w:val="0"/>
      <w:divBdr>
        <w:top w:val="none" w:sz="0" w:space="0" w:color="auto"/>
        <w:left w:val="none" w:sz="0" w:space="0" w:color="auto"/>
        <w:bottom w:val="none" w:sz="0" w:space="0" w:color="auto"/>
        <w:right w:val="none" w:sz="0" w:space="0" w:color="auto"/>
      </w:divBdr>
    </w:div>
    <w:div w:id="1305358444">
      <w:bodyDiv w:val="1"/>
      <w:marLeft w:val="0"/>
      <w:marRight w:val="0"/>
      <w:marTop w:val="0"/>
      <w:marBottom w:val="0"/>
      <w:divBdr>
        <w:top w:val="none" w:sz="0" w:space="0" w:color="auto"/>
        <w:left w:val="none" w:sz="0" w:space="0" w:color="auto"/>
        <w:bottom w:val="none" w:sz="0" w:space="0" w:color="auto"/>
        <w:right w:val="none" w:sz="0" w:space="0" w:color="auto"/>
      </w:divBdr>
    </w:div>
    <w:div w:id="1305431778">
      <w:bodyDiv w:val="1"/>
      <w:marLeft w:val="0"/>
      <w:marRight w:val="0"/>
      <w:marTop w:val="0"/>
      <w:marBottom w:val="0"/>
      <w:divBdr>
        <w:top w:val="none" w:sz="0" w:space="0" w:color="auto"/>
        <w:left w:val="none" w:sz="0" w:space="0" w:color="auto"/>
        <w:bottom w:val="none" w:sz="0" w:space="0" w:color="auto"/>
        <w:right w:val="none" w:sz="0" w:space="0" w:color="auto"/>
      </w:divBdr>
    </w:div>
    <w:div w:id="1305547687">
      <w:bodyDiv w:val="1"/>
      <w:marLeft w:val="0"/>
      <w:marRight w:val="0"/>
      <w:marTop w:val="0"/>
      <w:marBottom w:val="0"/>
      <w:divBdr>
        <w:top w:val="none" w:sz="0" w:space="0" w:color="auto"/>
        <w:left w:val="none" w:sz="0" w:space="0" w:color="auto"/>
        <w:bottom w:val="none" w:sz="0" w:space="0" w:color="auto"/>
        <w:right w:val="none" w:sz="0" w:space="0" w:color="auto"/>
      </w:divBdr>
    </w:div>
    <w:div w:id="1306619485">
      <w:bodyDiv w:val="1"/>
      <w:marLeft w:val="0"/>
      <w:marRight w:val="0"/>
      <w:marTop w:val="0"/>
      <w:marBottom w:val="0"/>
      <w:divBdr>
        <w:top w:val="none" w:sz="0" w:space="0" w:color="auto"/>
        <w:left w:val="none" w:sz="0" w:space="0" w:color="auto"/>
        <w:bottom w:val="none" w:sz="0" w:space="0" w:color="auto"/>
        <w:right w:val="none" w:sz="0" w:space="0" w:color="auto"/>
      </w:divBdr>
    </w:div>
    <w:div w:id="1306814413">
      <w:bodyDiv w:val="1"/>
      <w:marLeft w:val="0"/>
      <w:marRight w:val="0"/>
      <w:marTop w:val="0"/>
      <w:marBottom w:val="0"/>
      <w:divBdr>
        <w:top w:val="none" w:sz="0" w:space="0" w:color="auto"/>
        <w:left w:val="none" w:sz="0" w:space="0" w:color="auto"/>
        <w:bottom w:val="none" w:sz="0" w:space="0" w:color="auto"/>
        <w:right w:val="none" w:sz="0" w:space="0" w:color="auto"/>
      </w:divBdr>
    </w:div>
    <w:div w:id="1307977515">
      <w:bodyDiv w:val="1"/>
      <w:marLeft w:val="0"/>
      <w:marRight w:val="0"/>
      <w:marTop w:val="0"/>
      <w:marBottom w:val="0"/>
      <w:divBdr>
        <w:top w:val="none" w:sz="0" w:space="0" w:color="auto"/>
        <w:left w:val="none" w:sz="0" w:space="0" w:color="auto"/>
        <w:bottom w:val="none" w:sz="0" w:space="0" w:color="auto"/>
        <w:right w:val="none" w:sz="0" w:space="0" w:color="auto"/>
      </w:divBdr>
    </w:div>
    <w:div w:id="1310669597">
      <w:bodyDiv w:val="1"/>
      <w:marLeft w:val="0"/>
      <w:marRight w:val="0"/>
      <w:marTop w:val="0"/>
      <w:marBottom w:val="0"/>
      <w:divBdr>
        <w:top w:val="none" w:sz="0" w:space="0" w:color="auto"/>
        <w:left w:val="none" w:sz="0" w:space="0" w:color="auto"/>
        <w:bottom w:val="none" w:sz="0" w:space="0" w:color="auto"/>
        <w:right w:val="none" w:sz="0" w:space="0" w:color="auto"/>
      </w:divBdr>
    </w:div>
    <w:div w:id="1310744398">
      <w:bodyDiv w:val="1"/>
      <w:marLeft w:val="0"/>
      <w:marRight w:val="0"/>
      <w:marTop w:val="0"/>
      <w:marBottom w:val="0"/>
      <w:divBdr>
        <w:top w:val="none" w:sz="0" w:space="0" w:color="auto"/>
        <w:left w:val="none" w:sz="0" w:space="0" w:color="auto"/>
        <w:bottom w:val="none" w:sz="0" w:space="0" w:color="auto"/>
        <w:right w:val="none" w:sz="0" w:space="0" w:color="auto"/>
      </w:divBdr>
    </w:div>
    <w:div w:id="1310791494">
      <w:bodyDiv w:val="1"/>
      <w:marLeft w:val="0"/>
      <w:marRight w:val="0"/>
      <w:marTop w:val="0"/>
      <w:marBottom w:val="0"/>
      <w:divBdr>
        <w:top w:val="none" w:sz="0" w:space="0" w:color="auto"/>
        <w:left w:val="none" w:sz="0" w:space="0" w:color="auto"/>
        <w:bottom w:val="none" w:sz="0" w:space="0" w:color="auto"/>
        <w:right w:val="none" w:sz="0" w:space="0" w:color="auto"/>
      </w:divBdr>
    </w:div>
    <w:div w:id="1312709769">
      <w:bodyDiv w:val="1"/>
      <w:marLeft w:val="0"/>
      <w:marRight w:val="0"/>
      <w:marTop w:val="0"/>
      <w:marBottom w:val="0"/>
      <w:divBdr>
        <w:top w:val="none" w:sz="0" w:space="0" w:color="auto"/>
        <w:left w:val="none" w:sz="0" w:space="0" w:color="auto"/>
        <w:bottom w:val="none" w:sz="0" w:space="0" w:color="auto"/>
        <w:right w:val="none" w:sz="0" w:space="0" w:color="auto"/>
      </w:divBdr>
    </w:div>
    <w:div w:id="1312906126">
      <w:bodyDiv w:val="1"/>
      <w:marLeft w:val="0"/>
      <w:marRight w:val="0"/>
      <w:marTop w:val="0"/>
      <w:marBottom w:val="0"/>
      <w:divBdr>
        <w:top w:val="none" w:sz="0" w:space="0" w:color="auto"/>
        <w:left w:val="none" w:sz="0" w:space="0" w:color="auto"/>
        <w:bottom w:val="none" w:sz="0" w:space="0" w:color="auto"/>
        <w:right w:val="none" w:sz="0" w:space="0" w:color="auto"/>
      </w:divBdr>
    </w:div>
    <w:div w:id="1314218791">
      <w:bodyDiv w:val="1"/>
      <w:marLeft w:val="0"/>
      <w:marRight w:val="0"/>
      <w:marTop w:val="0"/>
      <w:marBottom w:val="0"/>
      <w:divBdr>
        <w:top w:val="none" w:sz="0" w:space="0" w:color="auto"/>
        <w:left w:val="none" w:sz="0" w:space="0" w:color="auto"/>
        <w:bottom w:val="none" w:sz="0" w:space="0" w:color="auto"/>
        <w:right w:val="none" w:sz="0" w:space="0" w:color="auto"/>
      </w:divBdr>
    </w:div>
    <w:div w:id="1314676720">
      <w:bodyDiv w:val="1"/>
      <w:marLeft w:val="0"/>
      <w:marRight w:val="0"/>
      <w:marTop w:val="0"/>
      <w:marBottom w:val="0"/>
      <w:divBdr>
        <w:top w:val="none" w:sz="0" w:space="0" w:color="auto"/>
        <w:left w:val="none" w:sz="0" w:space="0" w:color="auto"/>
        <w:bottom w:val="none" w:sz="0" w:space="0" w:color="auto"/>
        <w:right w:val="none" w:sz="0" w:space="0" w:color="auto"/>
      </w:divBdr>
    </w:div>
    <w:div w:id="1314679037">
      <w:bodyDiv w:val="1"/>
      <w:marLeft w:val="0"/>
      <w:marRight w:val="0"/>
      <w:marTop w:val="0"/>
      <w:marBottom w:val="0"/>
      <w:divBdr>
        <w:top w:val="none" w:sz="0" w:space="0" w:color="auto"/>
        <w:left w:val="none" w:sz="0" w:space="0" w:color="auto"/>
        <w:bottom w:val="none" w:sz="0" w:space="0" w:color="auto"/>
        <w:right w:val="none" w:sz="0" w:space="0" w:color="auto"/>
      </w:divBdr>
    </w:div>
    <w:div w:id="1315766706">
      <w:bodyDiv w:val="1"/>
      <w:marLeft w:val="0"/>
      <w:marRight w:val="0"/>
      <w:marTop w:val="0"/>
      <w:marBottom w:val="0"/>
      <w:divBdr>
        <w:top w:val="none" w:sz="0" w:space="0" w:color="auto"/>
        <w:left w:val="none" w:sz="0" w:space="0" w:color="auto"/>
        <w:bottom w:val="none" w:sz="0" w:space="0" w:color="auto"/>
        <w:right w:val="none" w:sz="0" w:space="0" w:color="auto"/>
      </w:divBdr>
    </w:div>
    <w:div w:id="1316563687">
      <w:bodyDiv w:val="1"/>
      <w:marLeft w:val="0"/>
      <w:marRight w:val="0"/>
      <w:marTop w:val="0"/>
      <w:marBottom w:val="0"/>
      <w:divBdr>
        <w:top w:val="none" w:sz="0" w:space="0" w:color="auto"/>
        <w:left w:val="none" w:sz="0" w:space="0" w:color="auto"/>
        <w:bottom w:val="none" w:sz="0" w:space="0" w:color="auto"/>
        <w:right w:val="none" w:sz="0" w:space="0" w:color="auto"/>
      </w:divBdr>
    </w:div>
    <w:div w:id="1317077589">
      <w:bodyDiv w:val="1"/>
      <w:marLeft w:val="0"/>
      <w:marRight w:val="0"/>
      <w:marTop w:val="0"/>
      <w:marBottom w:val="0"/>
      <w:divBdr>
        <w:top w:val="none" w:sz="0" w:space="0" w:color="auto"/>
        <w:left w:val="none" w:sz="0" w:space="0" w:color="auto"/>
        <w:bottom w:val="none" w:sz="0" w:space="0" w:color="auto"/>
        <w:right w:val="none" w:sz="0" w:space="0" w:color="auto"/>
      </w:divBdr>
    </w:div>
    <w:div w:id="1318463360">
      <w:bodyDiv w:val="1"/>
      <w:marLeft w:val="0"/>
      <w:marRight w:val="0"/>
      <w:marTop w:val="0"/>
      <w:marBottom w:val="0"/>
      <w:divBdr>
        <w:top w:val="none" w:sz="0" w:space="0" w:color="auto"/>
        <w:left w:val="none" w:sz="0" w:space="0" w:color="auto"/>
        <w:bottom w:val="none" w:sz="0" w:space="0" w:color="auto"/>
        <w:right w:val="none" w:sz="0" w:space="0" w:color="auto"/>
      </w:divBdr>
    </w:div>
    <w:div w:id="1318999108">
      <w:bodyDiv w:val="1"/>
      <w:marLeft w:val="0"/>
      <w:marRight w:val="0"/>
      <w:marTop w:val="0"/>
      <w:marBottom w:val="0"/>
      <w:divBdr>
        <w:top w:val="none" w:sz="0" w:space="0" w:color="auto"/>
        <w:left w:val="none" w:sz="0" w:space="0" w:color="auto"/>
        <w:bottom w:val="none" w:sz="0" w:space="0" w:color="auto"/>
        <w:right w:val="none" w:sz="0" w:space="0" w:color="auto"/>
      </w:divBdr>
    </w:div>
    <w:div w:id="1319384641">
      <w:bodyDiv w:val="1"/>
      <w:marLeft w:val="0"/>
      <w:marRight w:val="0"/>
      <w:marTop w:val="0"/>
      <w:marBottom w:val="0"/>
      <w:divBdr>
        <w:top w:val="none" w:sz="0" w:space="0" w:color="auto"/>
        <w:left w:val="none" w:sz="0" w:space="0" w:color="auto"/>
        <w:bottom w:val="none" w:sz="0" w:space="0" w:color="auto"/>
        <w:right w:val="none" w:sz="0" w:space="0" w:color="auto"/>
      </w:divBdr>
    </w:div>
    <w:div w:id="1319846668">
      <w:bodyDiv w:val="1"/>
      <w:marLeft w:val="0"/>
      <w:marRight w:val="0"/>
      <w:marTop w:val="0"/>
      <w:marBottom w:val="0"/>
      <w:divBdr>
        <w:top w:val="none" w:sz="0" w:space="0" w:color="auto"/>
        <w:left w:val="none" w:sz="0" w:space="0" w:color="auto"/>
        <w:bottom w:val="none" w:sz="0" w:space="0" w:color="auto"/>
        <w:right w:val="none" w:sz="0" w:space="0" w:color="auto"/>
      </w:divBdr>
    </w:div>
    <w:div w:id="1322734797">
      <w:bodyDiv w:val="1"/>
      <w:marLeft w:val="0"/>
      <w:marRight w:val="0"/>
      <w:marTop w:val="0"/>
      <w:marBottom w:val="0"/>
      <w:divBdr>
        <w:top w:val="none" w:sz="0" w:space="0" w:color="auto"/>
        <w:left w:val="none" w:sz="0" w:space="0" w:color="auto"/>
        <w:bottom w:val="none" w:sz="0" w:space="0" w:color="auto"/>
        <w:right w:val="none" w:sz="0" w:space="0" w:color="auto"/>
      </w:divBdr>
    </w:div>
    <w:div w:id="1324167919">
      <w:bodyDiv w:val="1"/>
      <w:marLeft w:val="0"/>
      <w:marRight w:val="0"/>
      <w:marTop w:val="0"/>
      <w:marBottom w:val="0"/>
      <w:divBdr>
        <w:top w:val="none" w:sz="0" w:space="0" w:color="auto"/>
        <w:left w:val="none" w:sz="0" w:space="0" w:color="auto"/>
        <w:bottom w:val="none" w:sz="0" w:space="0" w:color="auto"/>
        <w:right w:val="none" w:sz="0" w:space="0" w:color="auto"/>
      </w:divBdr>
    </w:div>
    <w:div w:id="1326274965">
      <w:bodyDiv w:val="1"/>
      <w:marLeft w:val="0"/>
      <w:marRight w:val="0"/>
      <w:marTop w:val="0"/>
      <w:marBottom w:val="0"/>
      <w:divBdr>
        <w:top w:val="none" w:sz="0" w:space="0" w:color="auto"/>
        <w:left w:val="none" w:sz="0" w:space="0" w:color="auto"/>
        <w:bottom w:val="none" w:sz="0" w:space="0" w:color="auto"/>
        <w:right w:val="none" w:sz="0" w:space="0" w:color="auto"/>
      </w:divBdr>
    </w:div>
    <w:div w:id="1326743085">
      <w:bodyDiv w:val="1"/>
      <w:marLeft w:val="0"/>
      <w:marRight w:val="0"/>
      <w:marTop w:val="0"/>
      <w:marBottom w:val="0"/>
      <w:divBdr>
        <w:top w:val="none" w:sz="0" w:space="0" w:color="auto"/>
        <w:left w:val="none" w:sz="0" w:space="0" w:color="auto"/>
        <w:bottom w:val="none" w:sz="0" w:space="0" w:color="auto"/>
        <w:right w:val="none" w:sz="0" w:space="0" w:color="auto"/>
      </w:divBdr>
    </w:div>
    <w:div w:id="1327175443">
      <w:bodyDiv w:val="1"/>
      <w:marLeft w:val="0"/>
      <w:marRight w:val="0"/>
      <w:marTop w:val="0"/>
      <w:marBottom w:val="0"/>
      <w:divBdr>
        <w:top w:val="none" w:sz="0" w:space="0" w:color="auto"/>
        <w:left w:val="none" w:sz="0" w:space="0" w:color="auto"/>
        <w:bottom w:val="none" w:sz="0" w:space="0" w:color="auto"/>
        <w:right w:val="none" w:sz="0" w:space="0" w:color="auto"/>
      </w:divBdr>
    </w:div>
    <w:div w:id="1328021749">
      <w:bodyDiv w:val="1"/>
      <w:marLeft w:val="0"/>
      <w:marRight w:val="0"/>
      <w:marTop w:val="0"/>
      <w:marBottom w:val="0"/>
      <w:divBdr>
        <w:top w:val="none" w:sz="0" w:space="0" w:color="auto"/>
        <w:left w:val="none" w:sz="0" w:space="0" w:color="auto"/>
        <w:bottom w:val="none" w:sz="0" w:space="0" w:color="auto"/>
        <w:right w:val="none" w:sz="0" w:space="0" w:color="auto"/>
      </w:divBdr>
    </w:div>
    <w:div w:id="1328099334">
      <w:bodyDiv w:val="1"/>
      <w:marLeft w:val="0"/>
      <w:marRight w:val="0"/>
      <w:marTop w:val="0"/>
      <w:marBottom w:val="0"/>
      <w:divBdr>
        <w:top w:val="none" w:sz="0" w:space="0" w:color="auto"/>
        <w:left w:val="none" w:sz="0" w:space="0" w:color="auto"/>
        <w:bottom w:val="none" w:sz="0" w:space="0" w:color="auto"/>
        <w:right w:val="none" w:sz="0" w:space="0" w:color="auto"/>
      </w:divBdr>
    </w:div>
    <w:div w:id="1328480505">
      <w:bodyDiv w:val="1"/>
      <w:marLeft w:val="0"/>
      <w:marRight w:val="0"/>
      <w:marTop w:val="0"/>
      <w:marBottom w:val="0"/>
      <w:divBdr>
        <w:top w:val="none" w:sz="0" w:space="0" w:color="auto"/>
        <w:left w:val="none" w:sz="0" w:space="0" w:color="auto"/>
        <w:bottom w:val="none" w:sz="0" w:space="0" w:color="auto"/>
        <w:right w:val="none" w:sz="0" w:space="0" w:color="auto"/>
      </w:divBdr>
    </w:div>
    <w:div w:id="1330018922">
      <w:bodyDiv w:val="1"/>
      <w:marLeft w:val="0"/>
      <w:marRight w:val="0"/>
      <w:marTop w:val="0"/>
      <w:marBottom w:val="0"/>
      <w:divBdr>
        <w:top w:val="none" w:sz="0" w:space="0" w:color="auto"/>
        <w:left w:val="none" w:sz="0" w:space="0" w:color="auto"/>
        <w:bottom w:val="none" w:sz="0" w:space="0" w:color="auto"/>
        <w:right w:val="none" w:sz="0" w:space="0" w:color="auto"/>
      </w:divBdr>
    </w:div>
    <w:div w:id="1331062767">
      <w:bodyDiv w:val="1"/>
      <w:marLeft w:val="0"/>
      <w:marRight w:val="0"/>
      <w:marTop w:val="0"/>
      <w:marBottom w:val="0"/>
      <w:divBdr>
        <w:top w:val="none" w:sz="0" w:space="0" w:color="auto"/>
        <w:left w:val="none" w:sz="0" w:space="0" w:color="auto"/>
        <w:bottom w:val="none" w:sz="0" w:space="0" w:color="auto"/>
        <w:right w:val="none" w:sz="0" w:space="0" w:color="auto"/>
      </w:divBdr>
    </w:div>
    <w:div w:id="1331789571">
      <w:bodyDiv w:val="1"/>
      <w:marLeft w:val="0"/>
      <w:marRight w:val="0"/>
      <w:marTop w:val="0"/>
      <w:marBottom w:val="0"/>
      <w:divBdr>
        <w:top w:val="none" w:sz="0" w:space="0" w:color="auto"/>
        <w:left w:val="none" w:sz="0" w:space="0" w:color="auto"/>
        <w:bottom w:val="none" w:sz="0" w:space="0" w:color="auto"/>
        <w:right w:val="none" w:sz="0" w:space="0" w:color="auto"/>
      </w:divBdr>
    </w:div>
    <w:div w:id="1335718718">
      <w:bodyDiv w:val="1"/>
      <w:marLeft w:val="0"/>
      <w:marRight w:val="0"/>
      <w:marTop w:val="0"/>
      <w:marBottom w:val="0"/>
      <w:divBdr>
        <w:top w:val="none" w:sz="0" w:space="0" w:color="auto"/>
        <w:left w:val="none" w:sz="0" w:space="0" w:color="auto"/>
        <w:bottom w:val="none" w:sz="0" w:space="0" w:color="auto"/>
        <w:right w:val="none" w:sz="0" w:space="0" w:color="auto"/>
      </w:divBdr>
    </w:div>
    <w:div w:id="1335767541">
      <w:bodyDiv w:val="1"/>
      <w:marLeft w:val="0"/>
      <w:marRight w:val="0"/>
      <w:marTop w:val="0"/>
      <w:marBottom w:val="0"/>
      <w:divBdr>
        <w:top w:val="none" w:sz="0" w:space="0" w:color="auto"/>
        <w:left w:val="none" w:sz="0" w:space="0" w:color="auto"/>
        <w:bottom w:val="none" w:sz="0" w:space="0" w:color="auto"/>
        <w:right w:val="none" w:sz="0" w:space="0" w:color="auto"/>
      </w:divBdr>
    </w:div>
    <w:div w:id="1337802496">
      <w:bodyDiv w:val="1"/>
      <w:marLeft w:val="0"/>
      <w:marRight w:val="0"/>
      <w:marTop w:val="0"/>
      <w:marBottom w:val="0"/>
      <w:divBdr>
        <w:top w:val="none" w:sz="0" w:space="0" w:color="auto"/>
        <w:left w:val="none" w:sz="0" w:space="0" w:color="auto"/>
        <w:bottom w:val="none" w:sz="0" w:space="0" w:color="auto"/>
        <w:right w:val="none" w:sz="0" w:space="0" w:color="auto"/>
      </w:divBdr>
    </w:div>
    <w:div w:id="1338072484">
      <w:bodyDiv w:val="1"/>
      <w:marLeft w:val="0"/>
      <w:marRight w:val="0"/>
      <w:marTop w:val="0"/>
      <w:marBottom w:val="0"/>
      <w:divBdr>
        <w:top w:val="none" w:sz="0" w:space="0" w:color="auto"/>
        <w:left w:val="none" w:sz="0" w:space="0" w:color="auto"/>
        <w:bottom w:val="none" w:sz="0" w:space="0" w:color="auto"/>
        <w:right w:val="none" w:sz="0" w:space="0" w:color="auto"/>
      </w:divBdr>
    </w:div>
    <w:div w:id="1339121089">
      <w:bodyDiv w:val="1"/>
      <w:marLeft w:val="0"/>
      <w:marRight w:val="0"/>
      <w:marTop w:val="0"/>
      <w:marBottom w:val="0"/>
      <w:divBdr>
        <w:top w:val="none" w:sz="0" w:space="0" w:color="auto"/>
        <w:left w:val="none" w:sz="0" w:space="0" w:color="auto"/>
        <w:bottom w:val="none" w:sz="0" w:space="0" w:color="auto"/>
        <w:right w:val="none" w:sz="0" w:space="0" w:color="auto"/>
      </w:divBdr>
    </w:div>
    <w:div w:id="1340541464">
      <w:bodyDiv w:val="1"/>
      <w:marLeft w:val="0"/>
      <w:marRight w:val="0"/>
      <w:marTop w:val="0"/>
      <w:marBottom w:val="0"/>
      <w:divBdr>
        <w:top w:val="none" w:sz="0" w:space="0" w:color="auto"/>
        <w:left w:val="none" w:sz="0" w:space="0" w:color="auto"/>
        <w:bottom w:val="none" w:sz="0" w:space="0" w:color="auto"/>
        <w:right w:val="none" w:sz="0" w:space="0" w:color="auto"/>
      </w:divBdr>
    </w:div>
    <w:div w:id="1341273631">
      <w:bodyDiv w:val="1"/>
      <w:marLeft w:val="0"/>
      <w:marRight w:val="0"/>
      <w:marTop w:val="0"/>
      <w:marBottom w:val="0"/>
      <w:divBdr>
        <w:top w:val="none" w:sz="0" w:space="0" w:color="auto"/>
        <w:left w:val="none" w:sz="0" w:space="0" w:color="auto"/>
        <w:bottom w:val="none" w:sz="0" w:space="0" w:color="auto"/>
        <w:right w:val="none" w:sz="0" w:space="0" w:color="auto"/>
      </w:divBdr>
    </w:div>
    <w:div w:id="1342270634">
      <w:bodyDiv w:val="1"/>
      <w:marLeft w:val="0"/>
      <w:marRight w:val="0"/>
      <w:marTop w:val="0"/>
      <w:marBottom w:val="0"/>
      <w:divBdr>
        <w:top w:val="none" w:sz="0" w:space="0" w:color="auto"/>
        <w:left w:val="none" w:sz="0" w:space="0" w:color="auto"/>
        <w:bottom w:val="none" w:sz="0" w:space="0" w:color="auto"/>
        <w:right w:val="none" w:sz="0" w:space="0" w:color="auto"/>
      </w:divBdr>
    </w:div>
    <w:div w:id="1349020298">
      <w:bodyDiv w:val="1"/>
      <w:marLeft w:val="0"/>
      <w:marRight w:val="0"/>
      <w:marTop w:val="0"/>
      <w:marBottom w:val="0"/>
      <w:divBdr>
        <w:top w:val="none" w:sz="0" w:space="0" w:color="auto"/>
        <w:left w:val="none" w:sz="0" w:space="0" w:color="auto"/>
        <w:bottom w:val="none" w:sz="0" w:space="0" w:color="auto"/>
        <w:right w:val="none" w:sz="0" w:space="0" w:color="auto"/>
      </w:divBdr>
    </w:div>
    <w:div w:id="1349603620">
      <w:bodyDiv w:val="1"/>
      <w:marLeft w:val="0"/>
      <w:marRight w:val="0"/>
      <w:marTop w:val="0"/>
      <w:marBottom w:val="0"/>
      <w:divBdr>
        <w:top w:val="none" w:sz="0" w:space="0" w:color="auto"/>
        <w:left w:val="none" w:sz="0" w:space="0" w:color="auto"/>
        <w:bottom w:val="none" w:sz="0" w:space="0" w:color="auto"/>
        <w:right w:val="none" w:sz="0" w:space="0" w:color="auto"/>
      </w:divBdr>
    </w:div>
    <w:div w:id="1350175656">
      <w:bodyDiv w:val="1"/>
      <w:marLeft w:val="0"/>
      <w:marRight w:val="0"/>
      <w:marTop w:val="0"/>
      <w:marBottom w:val="0"/>
      <w:divBdr>
        <w:top w:val="none" w:sz="0" w:space="0" w:color="auto"/>
        <w:left w:val="none" w:sz="0" w:space="0" w:color="auto"/>
        <w:bottom w:val="none" w:sz="0" w:space="0" w:color="auto"/>
        <w:right w:val="none" w:sz="0" w:space="0" w:color="auto"/>
      </w:divBdr>
    </w:div>
    <w:div w:id="1351372516">
      <w:bodyDiv w:val="1"/>
      <w:marLeft w:val="0"/>
      <w:marRight w:val="0"/>
      <w:marTop w:val="0"/>
      <w:marBottom w:val="0"/>
      <w:divBdr>
        <w:top w:val="none" w:sz="0" w:space="0" w:color="auto"/>
        <w:left w:val="none" w:sz="0" w:space="0" w:color="auto"/>
        <w:bottom w:val="none" w:sz="0" w:space="0" w:color="auto"/>
        <w:right w:val="none" w:sz="0" w:space="0" w:color="auto"/>
      </w:divBdr>
    </w:div>
    <w:div w:id="1352341082">
      <w:bodyDiv w:val="1"/>
      <w:marLeft w:val="0"/>
      <w:marRight w:val="0"/>
      <w:marTop w:val="0"/>
      <w:marBottom w:val="0"/>
      <w:divBdr>
        <w:top w:val="none" w:sz="0" w:space="0" w:color="auto"/>
        <w:left w:val="none" w:sz="0" w:space="0" w:color="auto"/>
        <w:bottom w:val="none" w:sz="0" w:space="0" w:color="auto"/>
        <w:right w:val="none" w:sz="0" w:space="0" w:color="auto"/>
      </w:divBdr>
    </w:div>
    <w:div w:id="1353192224">
      <w:bodyDiv w:val="1"/>
      <w:marLeft w:val="0"/>
      <w:marRight w:val="0"/>
      <w:marTop w:val="0"/>
      <w:marBottom w:val="0"/>
      <w:divBdr>
        <w:top w:val="none" w:sz="0" w:space="0" w:color="auto"/>
        <w:left w:val="none" w:sz="0" w:space="0" w:color="auto"/>
        <w:bottom w:val="none" w:sz="0" w:space="0" w:color="auto"/>
        <w:right w:val="none" w:sz="0" w:space="0" w:color="auto"/>
      </w:divBdr>
    </w:div>
    <w:div w:id="1353844510">
      <w:bodyDiv w:val="1"/>
      <w:marLeft w:val="0"/>
      <w:marRight w:val="0"/>
      <w:marTop w:val="0"/>
      <w:marBottom w:val="0"/>
      <w:divBdr>
        <w:top w:val="none" w:sz="0" w:space="0" w:color="auto"/>
        <w:left w:val="none" w:sz="0" w:space="0" w:color="auto"/>
        <w:bottom w:val="none" w:sz="0" w:space="0" w:color="auto"/>
        <w:right w:val="none" w:sz="0" w:space="0" w:color="auto"/>
      </w:divBdr>
    </w:div>
    <w:div w:id="1354186621">
      <w:bodyDiv w:val="1"/>
      <w:marLeft w:val="0"/>
      <w:marRight w:val="0"/>
      <w:marTop w:val="0"/>
      <w:marBottom w:val="0"/>
      <w:divBdr>
        <w:top w:val="none" w:sz="0" w:space="0" w:color="auto"/>
        <w:left w:val="none" w:sz="0" w:space="0" w:color="auto"/>
        <w:bottom w:val="none" w:sz="0" w:space="0" w:color="auto"/>
        <w:right w:val="none" w:sz="0" w:space="0" w:color="auto"/>
      </w:divBdr>
    </w:div>
    <w:div w:id="1354648810">
      <w:bodyDiv w:val="1"/>
      <w:marLeft w:val="0"/>
      <w:marRight w:val="0"/>
      <w:marTop w:val="0"/>
      <w:marBottom w:val="0"/>
      <w:divBdr>
        <w:top w:val="none" w:sz="0" w:space="0" w:color="auto"/>
        <w:left w:val="none" w:sz="0" w:space="0" w:color="auto"/>
        <w:bottom w:val="none" w:sz="0" w:space="0" w:color="auto"/>
        <w:right w:val="none" w:sz="0" w:space="0" w:color="auto"/>
      </w:divBdr>
    </w:div>
    <w:div w:id="1356730656">
      <w:bodyDiv w:val="1"/>
      <w:marLeft w:val="0"/>
      <w:marRight w:val="0"/>
      <w:marTop w:val="0"/>
      <w:marBottom w:val="0"/>
      <w:divBdr>
        <w:top w:val="none" w:sz="0" w:space="0" w:color="auto"/>
        <w:left w:val="none" w:sz="0" w:space="0" w:color="auto"/>
        <w:bottom w:val="none" w:sz="0" w:space="0" w:color="auto"/>
        <w:right w:val="none" w:sz="0" w:space="0" w:color="auto"/>
      </w:divBdr>
    </w:div>
    <w:div w:id="1357658545">
      <w:bodyDiv w:val="1"/>
      <w:marLeft w:val="0"/>
      <w:marRight w:val="0"/>
      <w:marTop w:val="0"/>
      <w:marBottom w:val="0"/>
      <w:divBdr>
        <w:top w:val="none" w:sz="0" w:space="0" w:color="auto"/>
        <w:left w:val="none" w:sz="0" w:space="0" w:color="auto"/>
        <w:bottom w:val="none" w:sz="0" w:space="0" w:color="auto"/>
        <w:right w:val="none" w:sz="0" w:space="0" w:color="auto"/>
      </w:divBdr>
    </w:div>
    <w:div w:id="1360006798">
      <w:bodyDiv w:val="1"/>
      <w:marLeft w:val="0"/>
      <w:marRight w:val="0"/>
      <w:marTop w:val="0"/>
      <w:marBottom w:val="0"/>
      <w:divBdr>
        <w:top w:val="none" w:sz="0" w:space="0" w:color="auto"/>
        <w:left w:val="none" w:sz="0" w:space="0" w:color="auto"/>
        <w:bottom w:val="none" w:sz="0" w:space="0" w:color="auto"/>
        <w:right w:val="none" w:sz="0" w:space="0" w:color="auto"/>
      </w:divBdr>
    </w:div>
    <w:div w:id="1360080206">
      <w:bodyDiv w:val="1"/>
      <w:marLeft w:val="0"/>
      <w:marRight w:val="0"/>
      <w:marTop w:val="0"/>
      <w:marBottom w:val="0"/>
      <w:divBdr>
        <w:top w:val="none" w:sz="0" w:space="0" w:color="auto"/>
        <w:left w:val="none" w:sz="0" w:space="0" w:color="auto"/>
        <w:bottom w:val="none" w:sz="0" w:space="0" w:color="auto"/>
        <w:right w:val="none" w:sz="0" w:space="0" w:color="auto"/>
      </w:divBdr>
    </w:div>
    <w:div w:id="1362823675">
      <w:bodyDiv w:val="1"/>
      <w:marLeft w:val="0"/>
      <w:marRight w:val="0"/>
      <w:marTop w:val="0"/>
      <w:marBottom w:val="0"/>
      <w:divBdr>
        <w:top w:val="none" w:sz="0" w:space="0" w:color="auto"/>
        <w:left w:val="none" w:sz="0" w:space="0" w:color="auto"/>
        <w:bottom w:val="none" w:sz="0" w:space="0" w:color="auto"/>
        <w:right w:val="none" w:sz="0" w:space="0" w:color="auto"/>
      </w:divBdr>
    </w:div>
    <w:div w:id="1362975694">
      <w:bodyDiv w:val="1"/>
      <w:marLeft w:val="0"/>
      <w:marRight w:val="0"/>
      <w:marTop w:val="0"/>
      <w:marBottom w:val="0"/>
      <w:divBdr>
        <w:top w:val="none" w:sz="0" w:space="0" w:color="auto"/>
        <w:left w:val="none" w:sz="0" w:space="0" w:color="auto"/>
        <w:bottom w:val="none" w:sz="0" w:space="0" w:color="auto"/>
        <w:right w:val="none" w:sz="0" w:space="0" w:color="auto"/>
      </w:divBdr>
    </w:div>
    <w:div w:id="1363435296">
      <w:bodyDiv w:val="1"/>
      <w:marLeft w:val="0"/>
      <w:marRight w:val="0"/>
      <w:marTop w:val="0"/>
      <w:marBottom w:val="0"/>
      <w:divBdr>
        <w:top w:val="none" w:sz="0" w:space="0" w:color="auto"/>
        <w:left w:val="none" w:sz="0" w:space="0" w:color="auto"/>
        <w:bottom w:val="none" w:sz="0" w:space="0" w:color="auto"/>
        <w:right w:val="none" w:sz="0" w:space="0" w:color="auto"/>
      </w:divBdr>
      <w:divsChild>
        <w:div w:id="184558059">
          <w:marLeft w:val="0"/>
          <w:marRight w:val="0"/>
          <w:marTop w:val="144"/>
          <w:marBottom w:val="144"/>
          <w:divBdr>
            <w:top w:val="none" w:sz="0" w:space="0" w:color="auto"/>
            <w:left w:val="none" w:sz="0" w:space="0" w:color="auto"/>
            <w:bottom w:val="none" w:sz="0" w:space="0" w:color="auto"/>
            <w:right w:val="none" w:sz="0" w:space="0" w:color="auto"/>
          </w:divBdr>
        </w:div>
      </w:divsChild>
    </w:div>
    <w:div w:id="1364019869">
      <w:bodyDiv w:val="1"/>
      <w:marLeft w:val="0"/>
      <w:marRight w:val="0"/>
      <w:marTop w:val="0"/>
      <w:marBottom w:val="0"/>
      <w:divBdr>
        <w:top w:val="none" w:sz="0" w:space="0" w:color="auto"/>
        <w:left w:val="none" w:sz="0" w:space="0" w:color="auto"/>
        <w:bottom w:val="none" w:sz="0" w:space="0" w:color="auto"/>
        <w:right w:val="none" w:sz="0" w:space="0" w:color="auto"/>
      </w:divBdr>
    </w:div>
    <w:div w:id="1364282241">
      <w:bodyDiv w:val="1"/>
      <w:marLeft w:val="0"/>
      <w:marRight w:val="0"/>
      <w:marTop w:val="0"/>
      <w:marBottom w:val="0"/>
      <w:divBdr>
        <w:top w:val="none" w:sz="0" w:space="0" w:color="auto"/>
        <w:left w:val="none" w:sz="0" w:space="0" w:color="auto"/>
        <w:bottom w:val="none" w:sz="0" w:space="0" w:color="auto"/>
        <w:right w:val="none" w:sz="0" w:space="0" w:color="auto"/>
      </w:divBdr>
    </w:div>
    <w:div w:id="1366099820">
      <w:bodyDiv w:val="1"/>
      <w:marLeft w:val="0"/>
      <w:marRight w:val="0"/>
      <w:marTop w:val="0"/>
      <w:marBottom w:val="0"/>
      <w:divBdr>
        <w:top w:val="none" w:sz="0" w:space="0" w:color="auto"/>
        <w:left w:val="none" w:sz="0" w:space="0" w:color="auto"/>
        <w:bottom w:val="none" w:sz="0" w:space="0" w:color="auto"/>
        <w:right w:val="none" w:sz="0" w:space="0" w:color="auto"/>
      </w:divBdr>
    </w:div>
    <w:div w:id="1366951565">
      <w:bodyDiv w:val="1"/>
      <w:marLeft w:val="0"/>
      <w:marRight w:val="0"/>
      <w:marTop w:val="0"/>
      <w:marBottom w:val="0"/>
      <w:divBdr>
        <w:top w:val="none" w:sz="0" w:space="0" w:color="auto"/>
        <w:left w:val="none" w:sz="0" w:space="0" w:color="auto"/>
        <w:bottom w:val="none" w:sz="0" w:space="0" w:color="auto"/>
        <w:right w:val="none" w:sz="0" w:space="0" w:color="auto"/>
      </w:divBdr>
    </w:div>
    <w:div w:id="1367217520">
      <w:bodyDiv w:val="1"/>
      <w:marLeft w:val="0"/>
      <w:marRight w:val="0"/>
      <w:marTop w:val="0"/>
      <w:marBottom w:val="0"/>
      <w:divBdr>
        <w:top w:val="none" w:sz="0" w:space="0" w:color="auto"/>
        <w:left w:val="none" w:sz="0" w:space="0" w:color="auto"/>
        <w:bottom w:val="none" w:sz="0" w:space="0" w:color="auto"/>
        <w:right w:val="none" w:sz="0" w:space="0" w:color="auto"/>
      </w:divBdr>
    </w:div>
    <w:div w:id="1367290063">
      <w:bodyDiv w:val="1"/>
      <w:marLeft w:val="0"/>
      <w:marRight w:val="0"/>
      <w:marTop w:val="0"/>
      <w:marBottom w:val="0"/>
      <w:divBdr>
        <w:top w:val="none" w:sz="0" w:space="0" w:color="auto"/>
        <w:left w:val="none" w:sz="0" w:space="0" w:color="auto"/>
        <w:bottom w:val="none" w:sz="0" w:space="0" w:color="auto"/>
        <w:right w:val="none" w:sz="0" w:space="0" w:color="auto"/>
      </w:divBdr>
    </w:div>
    <w:div w:id="1367876369">
      <w:bodyDiv w:val="1"/>
      <w:marLeft w:val="0"/>
      <w:marRight w:val="0"/>
      <w:marTop w:val="0"/>
      <w:marBottom w:val="0"/>
      <w:divBdr>
        <w:top w:val="none" w:sz="0" w:space="0" w:color="auto"/>
        <w:left w:val="none" w:sz="0" w:space="0" w:color="auto"/>
        <w:bottom w:val="none" w:sz="0" w:space="0" w:color="auto"/>
        <w:right w:val="none" w:sz="0" w:space="0" w:color="auto"/>
      </w:divBdr>
    </w:div>
    <w:div w:id="1369835057">
      <w:bodyDiv w:val="1"/>
      <w:marLeft w:val="0"/>
      <w:marRight w:val="0"/>
      <w:marTop w:val="0"/>
      <w:marBottom w:val="0"/>
      <w:divBdr>
        <w:top w:val="none" w:sz="0" w:space="0" w:color="auto"/>
        <w:left w:val="none" w:sz="0" w:space="0" w:color="auto"/>
        <w:bottom w:val="none" w:sz="0" w:space="0" w:color="auto"/>
        <w:right w:val="none" w:sz="0" w:space="0" w:color="auto"/>
      </w:divBdr>
    </w:div>
    <w:div w:id="1370060649">
      <w:bodyDiv w:val="1"/>
      <w:marLeft w:val="0"/>
      <w:marRight w:val="0"/>
      <w:marTop w:val="0"/>
      <w:marBottom w:val="0"/>
      <w:divBdr>
        <w:top w:val="none" w:sz="0" w:space="0" w:color="auto"/>
        <w:left w:val="none" w:sz="0" w:space="0" w:color="auto"/>
        <w:bottom w:val="none" w:sz="0" w:space="0" w:color="auto"/>
        <w:right w:val="none" w:sz="0" w:space="0" w:color="auto"/>
      </w:divBdr>
    </w:div>
    <w:div w:id="1371297319">
      <w:bodyDiv w:val="1"/>
      <w:marLeft w:val="0"/>
      <w:marRight w:val="0"/>
      <w:marTop w:val="0"/>
      <w:marBottom w:val="0"/>
      <w:divBdr>
        <w:top w:val="none" w:sz="0" w:space="0" w:color="auto"/>
        <w:left w:val="none" w:sz="0" w:space="0" w:color="auto"/>
        <w:bottom w:val="none" w:sz="0" w:space="0" w:color="auto"/>
        <w:right w:val="none" w:sz="0" w:space="0" w:color="auto"/>
      </w:divBdr>
    </w:div>
    <w:div w:id="1371298510">
      <w:bodyDiv w:val="1"/>
      <w:marLeft w:val="0"/>
      <w:marRight w:val="0"/>
      <w:marTop w:val="0"/>
      <w:marBottom w:val="0"/>
      <w:divBdr>
        <w:top w:val="none" w:sz="0" w:space="0" w:color="auto"/>
        <w:left w:val="none" w:sz="0" w:space="0" w:color="auto"/>
        <w:bottom w:val="none" w:sz="0" w:space="0" w:color="auto"/>
        <w:right w:val="none" w:sz="0" w:space="0" w:color="auto"/>
      </w:divBdr>
    </w:div>
    <w:div w:id="1371539302">
      <w:bodyDiv w:val="1"/>
      <w:marLeft w:val="0"/>
      <w:marRight w:val="0"/>
      <w:marTop w:val="0"/>
      <w:marBottom w:val="0"/>
      <w:divBdr>
        <w:top w:val="none" w:sz="0" w:space="0" w:color="auto"/>
        <w:left w:val="none" w:sz="0" w:space="0" w:color="auto"/>
        <w:bottom w:val="none" w:sz="0" w:space="0" w:color="auto"/>
        <w:right w:val="none" w:sz="0" w:space="0" w:color="auto"/>
      </w:divBdr>
    </w:div>
    <w:div w:id="1372150957">
      <w:bodyDiv w:val="1"/>
      <w:marLeft w:val="0"/>
      <w:marRight w:val="0"/>
      <w:marTop w:val="0"/>
      <w:marBottom w:val="0"/>
      <w:divBdr>
        <w:top w:val="none" w:sz="0" w:space="0" w:color="auto"/>
        <w:left w:val="none" w:sz="0" w:space="0" w:color="auto"/>
        <w:bottom w:val="none" w:sz="0" w:space="0" w:color="auto"/>
        <w:right w:val="none" w:sz="0" w:space="0" w:color="auto"/>
      </w:divBdr>
    </w:div>
    <w:div w:id="1372728098">
      <w:bodyDiv w:val="1"/>
      <w:marLeft w:val="0"/>
      <w:marRight w:val="0"/>
      <w:marTop w:val="0"/>
      <w:marBottom w:val="0"/>
      <w:divBdr>
        <w:top w:val="none" w:sz="0" w:space="0" w:color="auto"/>
        <w:left w:val="none" w:sz="0" w:space="0" w:color="auto"/>
        <w:bottom w:val="none" w:sz="0" w:space="0" w:color="auto"/>
        <w:right w:val="none" w:sz="0" w:space="0" w:color="auto"/>
      </w:divBdr>
    </w:div>
    <w:div w:id="1372806626">
      <w:bodyDiv w:val="1"/>
      <w:marLeft w:val="0"/>
      <w:marRight w:val="0"/>
      <w:marTop w:val="0"/>
      <w:marBottom w:val="0"/>
      <w:divBdr>
        <w:top w:val="none" w:sz="0" w:space="0" w:color="auto"/>
        <w:left w:val="none" w:sz="0" w:space="0" w:color="auto"/>
        <w:bottom w:val="none" w:sz="0" w:space="0" w:color="auto"/>
        <w:right w:val="none" w:sz="0" w:space="0" w:color="auto"/>
      </w:divBdr>
    </w:div>
    <w:div w:id="1373001043">
      <w:bodyDiv w:val="1"/>
      <w:marLeft w:val="0"/>
      <w:marRight w:val="0"/>
      <w:marTop w:val="0"/>
      <w:marBottom w:val="0"/>
      <w:divBdr>
        <w:top w:val="none" w:sz="0" w:space="0" w:color="auto"/>
        <w:left w:val="none" w:sz="0" w:space="0" w:color="auto"/>
        <w:bottom w:val="none" w:sz="0" w:space="0" w:color="auto"/>
        <w:right w:val="none" w:sz="0" w:space="0" w:color="auto"/>
      </w:divBdr>
    </w:div>
    <w:div w:id="1373068107">
      <w:bodyDiv w:val="1"/>
      <w:marLeft w:val="0"/>
      <w:marRight w:val="0"/>
      <w:marTop w:val="0"/>
      <w:marBottom w:val="0"/>
      <w:divBdr>
        <w:top w:val="none" w:sz="0" w:space="0" w:color="auto"/>
        <w:left w:val="none" w:sz="0" w:space="0" w:color="auto"/>
        <w:bottom w:val="none" w:sz="0" w:space="0" w:color="auto"/>
        <w:right w:val="none" w:sz="0" w:space="0" w:color="auto"/>
      </w:divBdr>
    </w:div>
    <w:div w:id="1373535081">
      <w:bodyDiv w:val="1"/>
      <w:marLeft w:val="0"/>
      <w:marRight w:val="0"/>
      <w:marTop w:val="0"/>
      <w:marBottom w:val="0"/>
      <w:divBdr>
        <w:top w:val="none" w:sz="0" w:space="0" w:color="auto"/>
        <w:left w:val="none" w:sz="0" w:space="0" w:color="auto"/>
        <w:bottom w:val="none" w:sz="0" w:space="0" w:color="auto"/>
        <w:right w:val="none" w:sz="0" w:space="0" w:color="auto"/>
      </w:divBdr>
    </w:div>
    <w:div w:id="1374572726">
      <w:bodyDiv w:val="1"/>
      <w:marLeft w:val="0"/>
      <w:marRight w:val="0"/>
      <w:marTop w:val="0"/>
      <w:marBottom w:val="0"/>
      <w:divBdr>
        <w:top w:val="none" w:sz="0" w:space="0" w:color="auto"/>
        <w:left w:val="none" w:sz="0" w:space="0" w:color="auto"/>
        <w:bottom w:val="none" w:sz="0" w:space="0" w:color="auto"/>
        <w:right w:val="none" w:sz="0" w:space="0" w:color="auto"/>
      </w:divBdr>
    </w:div>
    <w:div w:id="1378698713">
      <w:bodyDiv w:val="1"/>
      <w:marLeft w:val="0"/>
      <w:marRight w:val="0"/>
      <w:marTop w:val="0"/>
      <w:marBottom w:val="0"/>
      <w:divBdr>
        <w:top w:val="none" w:sz="0" w:space="0" w:color="auto"/>
        <w:left w:val="none" w:sz="0" w:space="0" w:color="auto"/>
        <w:bottom w:val="none" w:sz="0" w:space="0" w:color="auto"/>
        <w:right w:val="none" w:sz="0" w:space="0" w:color="auto"/>
      </w:divBdr>
    </w:div>
    <w:div w:id="1380472177">
      <w:bodyDiv w:val="1"/>
      <w:marLeft w:val="0"/>
      <w:marRight w:val="0"/>
      <w:marTop w:val="0"/>
      <w:marBottom w:val="0"/>
      <w:divBdr>
        <w:top w:val="none" w:sz="0" w:space="0" w:color="auto"/>
        <w:left w:val="none" w:sz="0" w:space="0" w:color="auto"/>
        <w:bottom w:val="none" w:sz="0" w:space="0" w:color="auto"/>
        <w:right w:val="none" w:sz="0" w:space="0" w:color="auto"/>
      </w:divBdr>
    </w:div>
    <w:div w:id="1381514763">
      <w:bodyDiv w:val="1"/>
      <w:marLeft w:val="0"/>
      <w:marRight w:val="0"/>
      <w:marTop w:val="0"/>
      <w:marBottom w:val="0"/>
      <w:divBdr>
        <w:top w:val="none" w:sz="0" w:space="0" w:color="auto"/>
        <w:left w:val="none" w:sz="0" w:space="0" w:color="auto"/>
        <w:bottom w:val="none" w:sz="0" w:space="0" w:color="auto"/>
        <w:right w:val="none" w:sz="0" w:space="0" w:color="auto"/>
      </w:divBdr>
    </w:div>
    <w:div w:id="1382822342">
      <w:bodyDiv w:val="1"/>
      <w:marLeft w:val="0"/>
      <w:marRight w:val="0"/>
      <w:marTop w:val="0"/>
      <w:marBottom w:val="0"/>
      <w:divBdr>
        <w:top w:val="none" w:sz="0" w:space="0" w:color="auto"/>
        <w:left w:val="none" w:sz="0" w:space="0" w:color="auto"/>
        <w:bottom w:val="none" w:sz="0" w:space="0" w:color="auto"/>
        <w:right w:val="none" w:sz="0" w:space="0" w:color="auto"/>
      </w:divBdr>
    </w:div>
    <w:div w:id="1383019230">
      <w:bodyDiv w:val="1"/>
      <w:marLeft w:val="0"/>
      <w:marRight w:val="0"/>
      <w:marTop w:val="0"/>
      <w:marBottom w:val="0"/>
      <w:divBdr>
        <w:top w:val="none" w:sz="0" w:space="0" w:color="auto"/>
        <w:left w:val="none" w:sz="0" w:space="0" w:color="auto"/>
        <w:bottom w:val="none" w:sz="0" w:space="0" w:color="auto"/>
        <w:right w:val="none" w:sz="0" w:space="0" w:color="auto"/>
      </w:divBdr>
    </w:div>
    <w:div w:id="1383753870">
      <w:bodyDiv w:val="1"/>
      <w:marLeft w:val="0"/>
      <w:marRight w:val="0"/>
      <w:marTop w:val="0"/>
      <w:marBottom w:val="0"/>
      <w:divBdr>
        <w:top w:val="none" w:sz="0" w:space="0" w:color="auto"/>
        <w:left w:val="none" w:sz="0" w:space="0" w:color="auto"/>
        <w:bottom w:val="none" w:sz="0" w:space="0" w:color="auto"/>
        <w:right w:val="none" w:sz="0" w:space="0" w:color="auto"/>
      </w:divBdr>
    </w:div>
    <w:div w:id="1385133760">
      <w:bodyDiv w:val="1"/>
      <w:marLeft w:val="0"/>
      <w:marRight w:val="0"/>
      <w:marTop w:val="0"/>
      <w:marBottom w:val="0"/>
      <w:divBdr>
        <w:top w:val="none" w:sz="0" w:space="0" w:color="auto"/>
        <w:left w:val="none" w:sz="0" w:space="0" w:color="auto"/>
        <w:bottom w:val="none" w:sz="0" w:space="0" w:color="auto"/>
        <w:right w:val="none" w:sz="0" w:space="0" w:color="auto"/>
      </w:divBdr>
    </w:div>
    <w:div w:id="1386029418">
      <w:bodyDiv w:val="1"/>
      <w:marLeft w:val="0"/>
      <w:marRight w:val="0"/>
      <w:marTop w:val="0"/>
      <w:marBottom w:val="0"/>
      <w:divBdr>
        <w:top w:val="none" w:sz="0" w:space="0" w:color="auto"/>
        <w:left w:val="none" w:sz="0" w:space="0" w:color="auto"/>
        <w:bottom w:val="none" w:sz="0" w:space="0" w:color="auto"/>
        <w:right w:val="none" w:sz="0" w:space="0" w:color="auto"/>
      </w:divBdr>
    </w:div>
    <w:div w:id="1386222512">
      <w:bodyDiv w:val="1"/>
      <w:marLeft w:val="0"/>
      <w:marRight w:val="0"/>
      <w:marTop w:val="0"/>
      <w:marBottom w:val="0"/>
      <w:divBdr>
        <w:top w:val="none" w:sz="0" w:space="0" w:color="auto"/>
        <w:left w:val="none" w:sz="0" w:space="0" w:color="auto"/>
        <w:bottom w:val="none" w:sz="0" w:space="0" w:color="auto"/>
        <w:right w:val="none" w:sz="0" w:space="0" w:color="auto"/>
      </w:divBdr>
    </w:div>
    <w:div w:id="1386877100">
      <w:bodyDiv w:val="1"/>
      <w:marLeft w:val="0"/>
      <w:marRight w:val="0"/>
      <w:marTop w:val="0"/>
      <w:marBottom w:val="0"/>
      <w:divBdr>
        <w:top w:val="none" w:sz="0" w:space="0" w:color="auto"/>
        <w:left w:val="none" w:sz="0" w:space="0" w:color="auto"/>
        <w:bottom w:val="none" w:sz="0" w:space="0" w:color="auto"/>
        <w:right w:val="none" w:sz="0" w:space="0" w:color="auto"/>
      </w:divBdr>
    </w:div>
    <w:div w:id="1387295140">
      <w:bodyDiv w:val="1"/>
      <w:marLeft w:val="0"/>
      <w:marRight w:val="0"/>
      <w:marTop w:val="0"/>
      <w:marBottom w:val="0"/>
      <w:divBdr>
        <w:top w:val="none" w:sz="0" w:space="0" w:color="auto"/>
        <w:left w:val="none" w:sz="0" w:space="0" w:color="auto"/>
        <w:bottom w:val="none" w:sz="0" w:space="0" w:color="auto"/>
        <w:right w:val="none" w:sz="0" w:space="0" w:color="auto"/>
      </w:divBdr>
    </w:div>
    <w:div w:id="1387685923">
      <w:bodyDiv w:val="1"/>
      <w:marLeft w:val="0"/>
      <w:marRight w:val="0"/>
      <w:marTop w:val="0"/>
      <w:marBottom w:val="0"/>
      <w:divBdr>
        <w:top w:val="none" w:sz="0" w:space="0" w:color="auto"/>
        <w:left w:val="none" w:sz="0" w:space="0" w:color="auto"/>
        <w:bottom w:val="none" w:sz="0" w:space="0" w:color="auto"/>
        <w:right w:val="none" w:sz="0" w:space="0" w:color="auto"/>
      </w:divBdr>
    </w:div>
    <w:div w:id="1388147197">
      <w:bodyDiv w:val="1"/>
      <w:marLeft w:val="0"/>
      <w:marRight w:val="0"/>
      <w:marTop w:val="0"/>
      <w:marBottom w:val="0"/>
      <w:divBdr>
        <w:top w:val="none" w:sz="0" w:space="0" w:color="auto"/>
        <w:left w:val="none" w:sz="0" w:space="0" w:color="auto"/>
        <w:bottom w:val="none" w:sz="0" w:space="0" w:color="auto"/>
        <w:right w:val="none" w:sz="0" w:space="0" w:color="auto"/>
      </w:divBdr>
      <w:divsChild>
        <w:div w:id="2031253148">
          <w:marLeft w:val="0"/>
          <w:marRight w:val="0"/>
          <w:marTop w:val="0"/>
          <w:marBottom w:val="0"/>
          <w:divBdr>
            <w:top w:val="none" w:sz="0" w:space="0" w:color="auto"/>
            <w:left w:val="none" w:sz="0" w:space="0" w:color="auto"/>
            <w:bottom w:val="none" w:sz="0" w:space="0" w:color="auto"/>
            <w:right w:val="none" w:sz="0" w:space="0" w:color="auto"/>
          </w:divBdr>
        </w:div>
        <w:div w:id="1688676165">
          <w:marLeft w:val="0"/>
          <w:marRight w:val="0"/>
          <w:marTop w:val="0"/>
          <w:marBottom w:val="0"/>
          <w:divBdr>
            <w:top w:val="none" w:sz="0" w:space="0" w:color="auto"/>
            <w:left w:val="none" w:sz="0" w:space="0" w:color="auto"/>
            <w:bottom w:val="none" w:sz="0" w:space="0" w:color="auto"/>
            <w:right w:val="none" w:sz="0" w:space="0" w:color="auto"/>
          </w:divBdr>
        </w:div>
        <w:div w:id="359092293">
          <w:marLeft w:val="0"/>
          <w:marRight w:val="0"/>
          <w:marTop w:val="0"/>
          <w:marBottom w:val="0"/>
          <w:divBdr>
            <w:top w:val="none" w:sz="0" w:space="0" w:color="auto"/>
            <w:left w:val="none" w:sz="0" w:space="0" w:color="auto"/>
            <w:bottom w:val="none" w:sz="0" w:space="0" w:color="auto"/>
            <w:right w:val="none" w:sz="0" w:space="0" w:color="auto"/>
          </w:divBdr>
        </w:div>
        <w:div w:id="1972441898">
          <w:marLeft w:val="0"/>
          <w:marRight w:val="0"/>
          <w:marTop w:val="0"/>
          <w:marBottom w:val="0"/>
          <w:divBdr>
            <w:top w:val="none" w:sz="0" w:space="0" w:color="auto"/>
            <w:left w:val="none" w:sz="0" w:space="0" w:color="auto"/>
            <w:bottom w:val="none" w:sz="0" w:space="0" w:color="auto"/>
            <w:right w:val="none" w:sz="0" w:space="0" w:color="auto"/>
          </w:divBdr>
        </w:div>
      </w:divsChild>
    </w:div>
    <w:div w:id="1388795089">
      <w:bodyDiv w:val="1"/>
      <w:marLeft w:val="0"/>
      <w:marRight w:val="0"/>
      <w:marTop w:val="0"/>
      <w:marBottom w:val="0"/>
      <w:divBdr>
        <w:top w:val="none" w:sz="0" w:space="0" w:color="auto"/>
        <w:left w:val="none" w:sz="0" w:space="0" w:color="auto"/>
        <w:bottom w:val="none" w:sz="0" w:space="0" w:color="auto"/>
        <w:right w:val="none" w:sz="0" w:space="0" w:color="auto"/>
      </w:divBdr>
    </w:div>
    <w:div w:id="1389036417">
      <w:bodyDiv w:val="1"/>
      <w:marLeft w:val="0"/>
      <w:marRight w:val="0"/>
      <w:marTop w:val="0"/>
      <w:marBottom w:val="0"/>
      <w:divBdr>
        <w:top w:val="none" w:sz="0" w:space="0" w:color="auto"/>
        <w:left w:val="none" w:sz="0" w:space="0" w:color="auto"/>
        <w:bottom w:val="none" w:sz="0" w:space="0" w:color="auto"/>
        <w:right w:val="none" w:sz="0" w:space="0" w:color="auto"/>
      </w:divBdr>
    </w:div>
    <w:div w:id="1389841445">
      <w:bodyDiv w:val="1"/>
      <w:marLeft w:val="0"/>
      <w:marRight w:val="0"/>
      <w:marTop w:val="0"/>
      <w:marBottom w:val="0"/>
      <w:divBdr>
        <w:top w:val="none" w:sz="0" w:space="0" w:color="auto"/>
        <w:left w:val="none" w:sz="0" w:space="0" w:color="auto"/>
        <w:bottom w:val="none" w:sz="0" w:space="0" w:color="auto"/>
        <w:right w:val="none" w:sz="0" w:space="0" w:color="auto"/>
      </w:divBdr>
    </w:div>
    <w:div w:id="1391734104">
      <w:bodyDiv w:val="1"/>
      <w:marLeft w:val="0"/>
      <w:marRight w:val="0"/>
      <w:marTop w:val="0"/>
      <w:marBottom w:val="0"/>
      <w:divBdr>
        <w:top w:val="none" w:sz="0" w:space="0" w:color="auto"/>
        <w:left w:val="none" w:sz="0" w:space="0" w:color="auto"/>
        <w:bottom w:val="none" w:sz="0" w:space="0" w:color="auto"/>
        <w:right w:val="none" w:sz="0" w:space="0" w:color="auto"/>
      </w:divBdr>
    </w:div>
    <w:div w:id="1391853571">
      <w:bodyDiv w:val="1"/>
      <w:marLeft w:val="0"/>
      <w:marRight w:val="0"/>
      <w:marTop w:val="0"/>
      <w:marBottom w:val="0"/>
      <w:divBdr>
        <w:top w:val="none" w:sz="0" w:space="0" w:color="auto"/>
        <w:left w:val="none" w:sz="0" w:space="0" w:color="auto"/>
        <w:bottom w:val="none" w:sz="0" w:space="0" w:color="auto"/>
        <w:right w:val="none" w:sz="0" w:space="0" w:color="auto"/>
      </w:divBdr>
    </w:div>
    <w:div w:id="1393120243">
      <w:bodyDiv w:val="1"/>
      <w:marLeft w:val="0"/>
      <w:marRight w:val="0"/>
      <w:marTop w:val="0"/>
      <w:marBottom w:val="0"/>
      <w:divBdr>
        <w:top w:val="none" w:sz="0" w:space="0" w:color="auto"/>
        <w:left w:val="none" w:sz="0" w:space="0" w:color="auto"/>
        <w:bottom w:val="none" w:sz="0" w:space="0" w:color="auto"/>
        <w:right w:val="none" w:sz="0" w:space="0" w:color="auto"/>
      </w:divBdr>
    </w:div>
    <w:div w:id="1393503057">
      <w:bodyDiv w:val="1"/>
      <w:marLeft w:val="0"/>
      <w:marRight w:val="0"/>
      <w:marTop w:val="0"/>
      <w:marBottom w:val="0"/>
      <w:divBdr>
        <w:top w:val="none" w:sz="0" w:space="0" w:color="auto"/>
        <w:left w:val="none" w:sz="0" w:space="0" w:color="auto"/>
        <w:bottom w:val="none" w:sz="0" w:space="0" w:color="auto"/>
        <w:right w:val="none" w:sz="0" w:space="0" w:color="auto"/>
      </w:divBdr>
    </w:div>
    <w:div w:id="1394233508">
      <w:bodyDiv w:val="1"/>
      <w:marLeft w:val="0"/>
      <w:marRight w:val="0"/>
      <w:marTop w:val="0"/>
      <w:marBottom w:val="0"/>
      <w:divBdr>
        <w:top w:val="none" w:sz="0" w:space="0" w:color="auto"/>
        <w:left w:val="none" w:sz="0" w:space="0" w:color="auto"/>
        <w:bottom w:val="none" w:sz="0" w:space="0" w:color="auto"/>
        <w:right w:val="none" w:sz="0" w:space="0" w:color="auto"/>
      </w:divBdr>
    </w:div>
    <w:div w:id="1394741847">
      <w:bodyDiv w:val="1"/>
      <w:marLeft w:val="0"/>
      <w:marRight w:val="0"/>
      <w:marTop w:val="0"/>
      <w:marBottom w:val="0"/>
      <w:divBdr>
        <w:top w:val="none" w:sz="0" w:space="0" w:color="auto"/>
        <w:left w:val="none" w:sz="0" w:space="0" w:color="auto"/>
        <w:bottom w:val="none" w:sz="0" w:space="0" w:color="auto"/>
        <w:right w:val="none" w:sz="0" w:space="0" w:color="auto"/>
      </w:divBdr>
    </w:div>
    <w:div w:id="1394769227">
      <w:bodyDiv w:val="1"/>
      <w:marLeft w:val="0"/>
      <w:marRight w:val="0"/>
      <w:marTop w:val="0"/>
      <w:marBottom w:val="0"/>
      <w:divBdr>
        <w:top w:val="none" w:sz="0" w:space="0" w:color="auto"/>
        <w:left w:val="none" w:sz="0" w:space="0" w:color="auto"/>
        <w:bottom w:val="none" w:sz="0" w:space="0" w:color="auto"/>
        <w:right w:val="none" w:sz="0" w:space="0" w:color="auto"/>
      </w:divBdr>
    </w:div>
    <w:div w:id="1395817438">
      <w:bodyDiv w:val="1"/>
      <w:marLeft w:val="0"/>
      <w:marRight w:val="0"/>
      <w:marTop w:val="0"/>
      <w:marBottom w:val="0"/>
      <w:divBdr>
        <w:top w:val="none" w:sz="0" w:space="0" w:color="auto"/>
        <w:left w:val="none" w:sz="0" w:space="0" w:color="auto"/>
        <w:bottom w:val="none" w:sz="0" w:space="0" w:color="auto"/>
        <w:right w:val="none" w:sz="0" w:space="0" w:color="auto"/>
      </w:divBdr>
    </w:div>
    <w:div w:id="1397049826">
      <w:bodyDiv w:val="1"/>
      <w:marLeft w:val="0"/>
      <w:marRight w:val="0"/>
      <w:marTop w:val="0"/>
      <w:marBottom w:val="0"/>
      <w:divBdr>
        <w:top w:val="none" w:sz="0" w:space="0" w:color="auto"/>
        <w:left w:val="none" w:sz="0" w:space="0" w:color="auto"/>
        <w:bottom w:val="none" w:sz="0" w:space="0" w:color="auto"/>
        <w:right w:val="none" w:sz="0" w:space="0" w:color="auto"/>
      </w:divBdr>
    </w:div>
    <w:div w:id="1397782194">
      <w:bodyDiv w:val="1"/>
      <w:marLeft w:val="0"/>
      <w:marRight w:val="0"/>
      <w:marTop w:val="0"/>
      <w:marBottom w:val="0"/>
      <w:divBdr>
        <w:top w:val="none" w:sz="0" w:space="0" w:color="auto"/>
        <w:left w:val="none" w:sz="0" w:space="0" w:color="auto"/>
        <w:bottom w:val="none" w:sz="0" w:space="0" w:color="auto"/>
        <w:right w:val="none" w:sz="0" w:space="0" w:color="auto"/>
      </w:divBdr>
    </w:div>
    <w:div w:id="1399132896">
      <w:bodyDiv w:val="1"/>
      <w:marLeft w:val="0"/>
      <w:marRight w:val="0"/>
      <w:marTop w:val="0"/>
      <w:marBottom w:val="0"/>
      <w:divBdr>
        <w:top w:val="none" w:sz="0" w:space="0" w:color="auto"/>
        <w:left w:val="none" w:sz="0" w:space="0" w:color="auto"/>
        <w:bottom w:val="none" w:sz="0" w:space="0" w:color="auto"/>
        <w:right w:val="none" w:sz="0" w:space="0" w:color="auto"/>
      </w:divBdr>
    </w:div>
    <w:div w:id="1399866280">
      <w:bodyDiv w:val="1"/>
      <w:marLeft w:val="0"/>
      <w:marRight w:val="0"/>
      <w:marTop w:val="0"/>
      <w:marBottom w:val="0"/>
      <w:divBdr>
        <w:top w:val="none" w:sz="0" w:space="0" w:color="auto"/>
        <w:left w:val="none" w:sz="0" w:space="0" w:color="auto"/>
        <w:bottom w:val="none" w:sz="0" w:space="0" w:color="auto"/>
        <w:right w:val="none" w:sz="0" w:space="0" w:color="auto"/>
      </w:divBdr>
    </w:div>
    <w:div w:id="1400132193">
      <w:bodyDiv w:val="1"/>
      <w:marLeft w:val="0"/>
      <w:marRight w:val="0"/>
      <w:marTop w:val="0"/>
      <w:marBottom w:val="0"/>
      <w:divBdr>
        <w:top w:val="none" w:sz="0" w:space="0" w:color="auto"/>
        <w:left w:val="none" w:sz="0" w:space="0" w:color="auto"/>
        <w:bottom w:val="none" w:sz="0" w:space="0" w:color="auto"/>
        <w:right w:val="none" w:sz="0" w:space="0" w:color="auto"/>
      </w:divBdr>
    </w:div>
    <w:div w:id="1400250191">
      <w:bodyDiv w:val="1"/>
      <w:marLeft w:val="0"/>
      <w:marRight w:val="0"/>
      <w:marTop w:val="0"/>
      <w:marBottom w:val="0"/>
      <w:divBdr>
        <w:top w:val="none" w:sz="0" w:space="0" w:color="auto"/>
        <w:left w:val="none" w:sz="0" w:space="0" w:color="auto"/>
        <w:bottom w:val="none" w:sz="0" w:space="0" w:color="auto"/>
        <w:right w:val="none" w:sz="0" w:space="0" w:color="auto"/>
      </w:divBdr>
    </w:div>
    <w:div w:id="1400791744">
      <w:bodyDiv w:val="1"/>
      <w:marLeft w:val="0"/>
      <w:marRight w:val="0"/>
      <w:marTop w:val="0"/>
      <w:marBottom w:val="0"/>
      <w:divBdr>
        <w:top w:val="none" w:sz="0" w:space="0" w:color="auto"/>
        <w:left w:val="none" w:sz="0" w:space="0" w:color="auto"/>
        <w:bottom w:val="none" w:sz="0" w:space="0" w:color="auto"/>
        <w:right w:val="none" w:sz="0" w:space="0" w:color="auto"/>
      </w:divBdr>
    </w:div>
    <w:div w:id="1402487479">
      <w:bodyDiv w:val="1"/>
      <w:marLeft w:val="0"/>
      <w:marRight w:val="0"/>
      <w:marTop w:val="0"/>
      <w:marBottom w:val="0"/>
      <w:divBdr>
        <w:top w:val="none" w:sz="0" w:space="0" w:color="auto"/>
        <w:left w:val="none" w:sz="0" w:space="0" w:color="auto"/>
        <w:bottom w:val="none" w:sz="0" w:space="0" w:color="auto"/>
        <w:right w:val="none" w:sz="0" w:space="0" w:color="auto"/>
      </w:divBdr>
    </w:div>
    <w:div w:id="1405184665">
      <w:bodyDiv w:val="1"/>
      <w:marLeft w:val="0"/>
      <w:marRight w:val="0"/>
      <w:marTop w:val="0"/>
      <w:marBottom w:val="0"/>
      <w:divBdr>
        <w:top w:val="none" w:sz="0" w:space="0" w:color="auto"/>
        <w:left w:val="none" w:sz="0" w:space="0" w:color="auto"/>
        <w:bottom w:val="none" w:sz="0" w:space="0" w:color="auto"/>
        <w:right w:val="none" w:sz="0" w:space="0" w:color="auto"/>
      </w:divBdr>
    </w:div>
    <w:div w:id="1406150368">
      <w:bodyDiv w:val="1"/>
      <w:marLeft w:val="0"/>
      <w:marRight w:val="0"/>
      <w:marTop w:val="0"/>
      <w:marBottom w:val="0"/>
      <w:divBdr>
        <w:top w:val="none" w:sz="0" w:space="0" w:color="auto"/>
        <w:left w:val="none" w:sz="0" w:space="0" w:color="auto"/>
        <w:bottom w:val="none" w:sz="0" w:space="0" w:color="auto"/>
        <w:right w:val="none" w:sz="0" w:space="0" w:color="auto"/>
      </w:divBdr>
    </w:div>
    <w:div w:id="1406415645">
      <w:bodyDiv w:val="1"/>
      <w:marLeft w:val="0"/>
      <w:marRight w:val="0"/>
      <w:marTop w:val="0"/>
      <w:marBottom w:val="0"/>
      <w:divBdr>
        <w:top w:val="none" w:sz="0" w:space="0" w:color="auto"/>
        <w:left w:val="none" w:sz="0" w:space="0" w:color="auto"/>
        <w:bottom w:val="none" w:sz="0" w:space="0" w:color="auto"/>
        <w:right w:val="none" w:sz="0" w:space="0" w:color="auto"/>
      </w:divBdr>
    </w:div>
    <w:div w:id="1408454891">
      <w:bodyDiv w:val="1"/>
      <w:marLeft w:val="0"/>
      <w:marRight w:val="0"/>
      <w:marTop w:val="0"/>
      <w:marBottom w:val="0"/>
      <w:divBdr>
        <w:top w:val="none" w:sz="0" w:space="0" w:color="auto"/>
        <w:left w:val="none" w:sz="0" w:space="0" w:color="auto"/>
        <w:bottom w:val="none" w:sz="0" w:space="0" w:color="auto"/>
        <w:right w:val="none" w:sz="0" w:space="0" w:color="auto"/>
      </w:divBdr>
    </w:div>
    <w:div w:id="1408576926">
      <w:bodyDiv w:val="1"/>
      <w:marLeft w:val="0"/>
      <w:marRight w:val="0"/>
      <w:marTop w:val="0"/>
      <w:marBottom w:val="0"/>
      <w:divBdr>
        <w:top w:val="none" w:sz="0" w:space="0" w:color="auto"/>
        <w:left w:val="none" w:sz="0" w:space="0" w:color="auto"/>
        <w:bottom w:val="none" w:sz="0" w:space="0" w:color="auto"/>
        <w:right w:val="none" w:sz="0" w:space="0" w:color="auto"/>
      </w:divBdr>
    </w:div>
    <w:div w:id="1409117028">
      <w:bodyDiv w:val="1"/>
      <w:marLeft w:val="0"/>
      <w:marRight w:val="0"/>
      <w:marTop w:val="0"/>
      <w:marBottom w:val="0"/>
      <w:divBdr>
        <w:top w:val="none" w:sz="0" w:space="0" w:color="auto"/>
        <w:left w:val="none" w:sz="0" w:space="0" w:color="auto"/>
        <w:bottom w:val="none" w:sz="0" w:space="0" w:color="auto"/>
        <w:right w:val="none" w:sz="0" w:space="0" w:color="auto"/>
      </w:divBdr>
    </w:div>
    <w:div w:id="1409233488">
      <w:bodyDiv w:val="1"/>
      <w:marLeft w:val="0"/>
      <w:marRight w:val="0"/>
      <w:marTop w:val="0"/>
      <w:marBottom w:val="0"/>
      <w:divBdr>
        <w:top w:val="none" w:sz="0" w:space="0" w:color="auto"/>
        <w:left w:val="none" w:sz="0" w:space="0" w:color="auto"/>
        <w:bottom w:val="none" w:sz="0" w:space="0" w:color="auto"/>
        <w:right w:val="none" w:sz="0" w:space="0" w:color="auto"/>
      </w:divBdr>
    </w:div>
    <w:div w:id="1411922971">
      <w:bodyDiv w:val="1"/>
      <w:marLeft w:val="0"/>
      <w:marRight w:val="0"/>
      <w:marTop w:val="0"/>
      <w:marBottom w:val="0"/>
      <w:divBdr>
        <w:top w:val="none" w:sz="0" w:space="0" w:color="auto"/>
        <w:left w:val="none" w:sz="0" w:space="0" w:color="auto"/>
        <w:bottom w:val="none" w:sz="0" w:space="0" w:color="auto"/>
        <w:right w:val="none" w:sz="0" w:space="0" w:color="auto"/>
      </w:divBdr>
    </w:div>
    <w:div w:id="1412392988">
      <w:bodyDiv w:val="1"/>
      <w:marLeft w:val="0"/>
      <w:marRight w:val="0"/>
      <w:marTop w:val="0"/>
      <w:marBottom w:val="0"/>
      <w:divBdr>
        <w:top w:val="none" w:sz="0" w:space="0" w:color="auto"/>
        <w:left w:val="none" w:sz="0" w:space="0" w:color="auto"/>
        <w:bottom w:val="none" w:sz="0" w:space="0" w:color="auto"/>
        <w:right w:val="none" w:sz="0" w:space="0" w:color="auto"/>
      </w:divBdr>
      <w:divsChild>
        <w:div w:id="1920094873">
          <w:marLeft w:val="0"/>
          <w:marRight w:val="0"/>
          <w:marTop w:val="0"/>
          <w:marBottom w:val="0"/>
          <w:divBdr>
            <w:top w:val="none" w:sz="0" w:space="0" w:color="auto"/>
            <w:left w:val="none" w:sz="0" w:space="0" w:color="auto"/>
            <w:bottom w:val="none" w:sz="0" w:space="0" w:color="auto"/>
            <w:right w:val="none" w:sz="0" w:space="0" w:color="auto"/>
          </w:divBdr>
        </w:div>
      </w:divsChild>
    </w:div>
    <w:div w:id="1412698030">
      <w:bodyDiv w:val="1"/>
      <w:marLeft w:val="0"/>
      <w:marRight w:val="0"/>
      <w:marTop w:val="0"/>
      <w:marBottom w:val="0"/>
      <w:divBdr>
        <w:top w:val="none" w:sz="0" w:space="0" w:color="auto"/>
        <w:left w:val="none" w:sz="0" w:space="0" w:color="auto"/>
        <w:bottom w:val="none" w:sz="0" w:space="0" w:color="auto"/>
        <w:right w:val="none" w:sz="0" w:space="0" w:color="auto"/>
      </w:divBdr>
    </w:div>
    <w:div w:id="1413352063">
      <w:bodyDiv w:val="1"/>
      <w:marLeft w:val="0"/>
      <w:marRight w:val="0"/>
      <w:marTop w:val="0"/>
      <w:marBottom w:val="0"/>
      <w:divBdr>
        <w:top w:val="none" w:sz="0" w:space="0" w:color="auto"/>
        <w:left w:val="none" w:sz="0" w:space="0" w:color="auto"/>
        <w:bottom w:val="none" w:sz="0" w:space="0" w:color="auto"/>
        <w:right w:val="none" w:sz="0" w:space="0" w:color="auto"/>
      </w:divBdr>
    </w:div>
    <w:div w:id="1413548623">
      <w:bodyDiv w:val="1"/>
      <w:marLeft w:val="0"/>
      <w:marRight w:val="0"/>
      <w:marTop w:val="0"/>
      <w:marBottom w:val="0"/>
      <w:divBdr>
        <w:top w:val="none" w:sz="0" w:space="0" w:color="auto"/>
        <w:left w:val="none" w:sz="0" w:space="0" w:color="auto"/>
        <w:bottom w:val="none" w:sz="0" w:space="0" w:color="auto"/>
        <w:right w:val="none" w:sz="0" w:space="0" w:color="auto"/>
      </w:divBdr>
    </w:div>
    <w:div w:id="1416979161">
      <w:bodyDiv w:val="1"/>
      <w:marLeft w:val="0"/>
      <w:marRight w:val="0"/>
      <w:marTop w:val="0"/>
      <w:marBottom w:val="0"/>
      <w:divBdr>
        <w:top w:val="none" w:sz="0" w:space="0" w:color="auto"/>
        <w:left w:val="none" w:sz="0" w:space="0" w:color="auto"/>
        <w:bottom w:val="none" w:sz="0" w:space="0" w:color="auto"/>
        <w:right w:val="none" w:sz="0" w:space="0" w:color="auto"/>
      </w:divBdr>
    </w:div>
    <w:div w:id="1417165746">
      <w:bodyDiv w:val="1"/>
      <w:marLeft w:val="0"/>
      <w:marRight w:val="0"/>
      <w:marTop w:val="0"/>
      <w:marBottom w:val="0"/>
      <w:divBdr>
        <w:top w:val="none" w:sz="0" w:space="0" w:color="auto"/>
        <w:left w:val="none" w:sz="0" w:space="0" w:color="auto"/>
        <w:bottom w:val="none" w:sz="0" w:space="0" w:color="auto"/>
        <w:right w:val="none" w:sz="0" w:space="0" w:color="auto"/>
      </w:divBdr>
    </w:div>
    <w:div w:id="1419210851">
      <w:bodyDiv w:val="1"/>
      <w:marLeft w:val="0"/>
      <w:marRight w:val="0"/>
      <w:marTop w:val="0"/>
      <w:marBottom w:val="0"/>
      <w:divBdr>
        <w:top w:val="none" w:sz="0" w:space="0" w:color="auto"/>
        <w:left w:val="none" w:sz="0" w:space="0" w:color="auto"/>
        <w:bottom w:val="none" w:sz="0" w:space="0" w:color="auto"/>
        <w:right w:val="none" w:sz="0" w:space="0" w:color="auto"/>
      </w:divBdr>
    </w:div>
    <w:div w:id="1419331459">
      <w:bodyDiv w:val="1"/>
      <w:marLeft w:val="0"/>
      <w:marRight w:val="0"/>
      <w:marTop w:val="0"/>
      <w:marBottom w:val="0"/>
      <w:divBdr>
        <w:top w:val="none" w:sz="0" w:space="0" w:color="auto"/>
        <w:left w:val="none" w:sz="0" w:space="0" w:color="auto"/>
        <w:bottom w:val="none" w:sz="0" w:space="0" w:color="auto"/>
        <w:right w:val="none" w:sz="0" w:space="0" w:color="auto"/>
      </w:divBdr>
    </w:div>
    <w:div w:id="1419476316">
      <w:bodyDiv w:val="1"/>
      <w:marLeft w:val="0"/>
      <w:marRight w:val="0"/>
      <w:marTop w:val="0"/>
      <w:marBottom w:val="0"/>
      <w:divBdr>
        <w:top w:val="none" w:sz="0" w:space="0" w:color="auto"/>
        <w:left w:val="none" w:sz="0" w:space="0" w:color="auto"/>
        <w:bottom w:val="none" w:sz="0" w:space="0" w:color="auto"/>
        <w:right w:val="none" w:sz="0" w:space="0" w:color="auto"/>
      </w:divBdr>
    </w:div>
    <w:div w:id="1419862100">
      <w:bodyDiv w:val="1"/>
      <w:marLeft w:val="0"/>
      <w:marRight w:val="0"/>
      <w:marTop w:val="0"/>
      <w:marBottom w:val="0"/>
      <w:divBdr>
        <w:top w:val="none" w:sz="0" w:space="0" w:color="auto"/>
        <w:left w:val="none" w:sz="0" w:space="0" w:color="auto"/>
        <w:bottom w:val="none" w:sz="0" w:space="0" w:color="auto"/>
        <w:right w:val="none" w:sz="0" w:space="0" w:color="auto"/>
      </w:divBdr>
    </w:div>
    <w:div w:id="1420760152">
      <w:bodyDiv w:val="1"/>
      <w:marLeft w:val="0"/>
      <w:marRight w:val="0"/>
      <w:marTop w:val="0"/>
      <w:marBottom w:val="0"/>
      <w:divBdr>
        <w:top w:val="none" w:sz="0" w:space="0" w:color="auto"/>
        <w:left w:val="none" w:sz="0" w:space="0" w:color="auto"/>
        <w:bottom w:val="none" w:sz="0" w:space="0" w:color="auto"/>
        <w:right w:val="none" w:sz="0" w:space="0" w:color="auto"/>
      </w:divBdr>
    </w:div>
    <w:div w:id="1423525079">
      <w:bodyDiv w:val="1"/>
      <w:marLeft w:val="0"/>
      <w:marRight w:val="0"/>
      <w:marTop w:val="0"/>
      <w:marBottom w:val="0"/>
      <w:divBdr>
        <w:top w:val="none" w:sz="0" w:space="0" w:color="auto"/>
        <w:left w:val="none" w:sz="0" w:space="0" w:color="auto"/>
        <w:bottom w:val="none" w:sz="0" w:space="0" w:color="auto"/>
        <w:right w:val="none" w:sz="0" w:space="0" w:color="auto"/>
      </w:divBdr>
    </w:div>
    <w:div w:id="1425301010">
      <w:bodyDiv w:val="1"/>
      <w:marLeft w:val="0"/>
      <w:marRight w:val="0"/>
      <w:marTop w:val="0"/>
      <w:marBottom w:val="0"/>
      <w:divBdr>
        <w:top w:val="none" w:sz="0" w:space="0" w:color="auto"/>
        <w:left w:val="none" w:sz="0" w:space="0" w:color="auto"/>
        <w:bottom w:val="none" w:sz="0" w:space="0" w:color="auto"/>
        <w:right w:val="none" w:sz="0" w:space="0" w:color="auto"/>
      </w:divBdr>
    </w:div>
    <w:div w:id="1426923058">
      <w:bodyDiv w:val="1"/>
      <w:marLeft w:val="0"/>
      <w:marRight w:val="0"/>
      <w:marTop w:val="0"/>
      <w:marBottom w:val="0"/>
      <w:divBdr>
        <w:top w:val="none" w:sz="0" w:space="0" w:color="auto"/>
        <w:left w:val="none" w:sz="0" w:space="0" w:color="auto"/>
        <w:bottom w:val="none" w:sz="0" w:space="0" w:color="auto"/>
        <w:right w:val="none" w:sz="0" w:space="0" w:color="auto"/>
      </w:divBdr>
    </w:div>
    <w:div w:id="1427120220">
      <w:bodyDiv w:val="1"/>
      <w:marLeft w:val="0"/>
      <w:marRight w:val="0"/>
      <w:marTop w:val="0"/>
      <w:marBottom w:val="0"/>
      <w:divBdr>
        <w:top w:val="none" w:sz="0" w:space="0" w:color="auto"/>
        <w:left w:val="none" w:sz="0" w:space="0" w:color="auto"/>
        <w:bottom w:val="none" w:sz="0" w:space="0" w:color="auto"/>
        <w:right w:val="none" w:sz="0" w:space="0" w:color="auto"/>
      </w:divBdr>
    </w:div>
    <w:div w:id="1428232734">
      <w:bodyDiv w:val="1"/>
      <w:marLeft w:val="0"/>
      <w:marRight w:val="0"/>
      <w:marTop w:val="0"/>
      <w:marBottom w:val="0"/>
      <w:divBdr>
        <w:top w:val="none" w:sz="0" w:space="0" w:color="auto"/>
        <w:left w:val="none" w:sz="0" w:space="0" w:color="auto"/>
        <w:bottom w:val="none" w:sz="0" w:space="0" w:color="auto"/>
        <w:right w:val="none" w:sz="0" w:space="0" w:color="auto"/>
      </w:divBdr>
    </w:div>
    <w:div w:id="1430736724">
      <w:bodyDiv w:val="1"/>
      <w:marLeft w:val="0"/>
      <w:marRight w:val="0"/>
      <w:marTop w:val="0"/>
      <w:marBottom w:val="0"/>
      <w:divBdr>
        <w:top w:val="none" w:sz="0" w:space="0" w:color="auto"/>
        <w:left w:val="none" w:sz="0" w:space="0" w:color="auto"/>
        <w:bottom w:val="none" w:sz="0" w:space="0" w:color="auto"/>
        <w:right w:val="none" w:sz="0" w:space="0" w:color="auto"/>
      </w:divBdr>
    </w:div>
    <w:div w:id="1431513758">
      <w:bodyDiv w:val="1"/>
      <w:marLeft w:val="0"/>
      <w:marRight w:val="0"/>
      <w:marTop w:val="0"/>
      <w:marBottom w:val="0"/>
      <w:divBdr>
        <w:top w:val="none" w:sz="0" w:space="0" w:color="auto"/>
        <w:left w:val="none" w:sz="0" w:space="0" w:color="auto"/>
        <w:bottom w:val="none" w:sz="0" w:space="0" w:color="auto"/>
        <w:right w:val="none" w:sz="0" w:space="0" w:color="auto"/>
      </w:divBdr>
    </w:div>
    <w:div w:id="1431585947">
      <w:bodyDiv w:val="1"/>
      <w:marLeft w:val="0"/>
      <w:marRight w:val="0"/>
      <w:marTop w:val="0"/>
      <w:marBottom w:val="0"/>
      <w:divBdr>
        <w:top w:val="none" w:sz="0" w:space="0" w:color="auto"/>
        <w:left w:val="none" w:sz="0" w:space="0" w:color="auto"/>
        <w:bottom w:val="none" w:sz="0" w:space="0" w:color="auto"/>
        <w:right w:val="none" w:sz="0" w:space="0" w:color="auto"/>
      </w:divBdr>
    </w:div>
    <w:div w:id="1433623775">
      <w:bodyDiv w:val="1"/>
      <w:marLeft w:val="0"/>
      <w:marRight w:val="0"/>
      <w:marTop w:val="0"/>
      <w:marBottom w:val="0"/>
      <w:divBdr>
        <w:top w:val="none" w:sz="0" w:space="0" w:color="auto"/>
        <w:left w:val="none" w:sz="0" w:space="0" w:color="auto"/>
        <w:bottom w:val="none" w:sz="0" w:space="0" w:color="auto"/>
        <w:right w:val="none" w:sz="0" w:space="0" w:color="auto"/>
      </w:divBdr>
    </w:div>
    <w:div w:id="1433862788">
      <w:bodyDiv w:val="1"/>
      <w:marLeft w:val="0"/>
      <w:marRight w:val="0"/>
      <w:marTop w:val="0"/>
      <w:marBottom w:val="0"/>
      <w:divBdr>
        <w:top w:val="none" w:sz="0" w:space="0" w:color="auto"/>
        <w:left w:val="none" w:sz="0" w:space="0" w:color="auto"/>
        <w:bottom w:val="none" w:sz="0" w:space="0" w:color="auto"/>
        <w:right w:val="none" w:sz="0" w:space="0" w:color="auto"/>
      </w:divBdr>
    </w:div>
    <w:div w:id="1434321242">
      <w:bodyDiv w:val="1"/>
      <w:marLeft w:val="0"/>
      <w:marRight w:val="0"/>
      <w:marTop w:val="0"/>
      <w:marBottom w:val="0"/>
      <w:divBdr>
        <w:top w:val="none" w:sz="0" w:space="0" w:color="auto"/>
        <w:left w:val="none" w:sz="0" w:space="0" w:color="auto"/>
        <w:bottom w:val="none" w:sz="0" w:space="0" w:color="auto"/>
        <w:right w:val="none" w:sz="0" w:space="0" w:color="auto"/>
      </w:divBdr>
    </w:div>
    <w:div w:id="1434936288">
      <w:bodyDiv w:val="1"/>
      <w:marLeft w:val="0"/>
      <w:marRight w:val="0"/>
      <w:marTop w:val="0"/>
      <w:marBottom w:val="0"/>
      <w:divBdr>
        <w:top w:val="none" w:sz="0" w:space="0" w:color="auto"/>
        <w:left w:val="none" w:sz="0" w:space="0" w:color="auto"/>
        <w:bottom w:val="none" w:sz="0" w:space="0" w:color="auto"/>
        <w:right w:val="none" w:sz="0" w:space="0" w:color="auto"/>
      </w:divBdr>
    </w:div>
    <w:div w:id="1435130778">
      <w:bodyDiv w:val="1"/>
      <w:marLeft w:val="0"/>
      <w:marRight w:val="0"/>
      <w:marTop w:val="0"/>
      <w:marBottom w:val="0"/>
      <w:divBdr>
        <w:top w:val="none" w:sz="0" w:space="0" w:color="auto"/>
        <w:left w:val="none" w:sz="0" w:space="0" w:color="auto"/>
        <w:bottom w:val="none" w:sz="0" w:space="0" w:color="auto"/>
        <w:right w:val="none" w:sz="0" w:space="0" w:color="auto"/>
      </w:divBdr>
    </w:div>
    <w:div w:id="1439519059">
      <w:bodyDiv w:val="1"/>
      <w:marLeft w:val="0"/>
      <w:marRight w:val="0"/>
      <w:marTop w:val="0"/>
      <w:marBottom w:val="0"/>
      <w:divBdr>
        <w:top w:val="none" w:sz="0" w:space="0" w:color="auto"/>
        <w:left w:val="none" w:sz="0" w:space="0" w:color="auto"/>
        <w:bottom w:val="none" w:sz="0" w:space="0" w:color="auto"/>
        <w:right w:val="none" w:sz="0" w:space="0" w:color="auto"/>
      </w:divBdr>
    </w:div>
    <w:div w:id="1439839109">
      <w:bodyDiv w:val="1"/>
      <w:marLeft w:val="0"/>
      <w:marRight w:val="0"/>
      <w:marTop w:val="0"/>
      <w:marBottom w:val="0"/>
      <w:divBdr>
        <w:top w:val="none" w:sz="0" w:space="0" w:color="auto"/>
        <w:left w:val="none" w:sz="0" w:space="0" w:color="auto"/>
        <w:bottom w:val="none" w:sz="0" w:space="0" w:color="auto"/>
        <w:right w:val="none" w:sz="0" w:space="0" w:color="auto"/>
      </w:divBdr>
    </w:div>
    <w:div w:id="1440299993">
      <w:bodyDiv w:val="1"/>
      <w:marLeft w:val="0"/>
      <w:marRight w:val="0"/>
      <w:marTop w:val="0"/>
      <w:marBottom w:val="0"/>
      <w:divBdr>
        <w:top w:val="none" w:sz="0" w:space="0" w:color="auto"/>
        <w:left w:val="none" w:sz="0" w:space="0" w:color="auto"/>
        <w:bottom w:val="none" w:sz="0" w:space="0" w:color="auto"/>
        <w:right w:val="none" w:sz="0" w:space="0" w:color="auto"/>
      </w:divBdr>
    </w:div>
    <w:div w:id="1441224267">
      <w:bodyDiv w:val="1"/>
      <w:marLeft w:val="0"/>
      <w:marRight w:val="0"/>
      <w:marTop w:val="0"/>
      <w:marBottom w:val="0"/>
      <w:divBdr>
        <w:top w:val="none" w:sz="0" w:space="0" w:color="auto"/>
        <w:left w:val="none" w:sz="0" w:space="0" w:color="auto"/>
        <w:bottom w:val="none" w:sz="0" w:space="0" w:color="auto"/>
        <w:right w:val="none" w:sz="0" w:space="0" w:color="auto"/>
      </w:divBdr>
    </w:div>
    <w:div w:id="1441410444">
      <w:bodyDiv w:val="1"/>
      <w:marLeft w:val="0"/>
      <w:marRight w:val="0"/>
      <w:marTop w:val="0"/>
      <w:marBottom w:val="0"/>
      <w:divBdr>
        <w:top w:val="none" w:sz="0" w:space="0" w:color="auto"/>
        <w:left w:val="none" w:sz="0" w:space="0" w:color="auto"/>
        <w:bottom w:val="none" w:sz="0" w:space="0" w:color="auto"/>
        <w:right w:val="none" w:sz="0" w:space="0" w:color="auto"/>
      </w:divBdr>
    </w:div>
    <w:div w:id="1443112472">
      <w:bodyDiv w:val="1"/>
      <w:marLeft w:val="0"/>
      <w:marRight w:val="0"/>
      <w:marTop w:val="0"/>
      <w:marBottom w:val="0"/>
      <w:divBdr>
        <w:top w:val="none" w:sz="0" w:space="0" w:color="auto"/>
        <w:left w:val="none" w:sz="0" w:space="0" w:color="auto"/>
        <w:bottom w:val="none" w:sz="0" w:space="0" w:color="auto"/>
        <w:right w:val="none" w:sz="0" w:space="0" w:color="auto"/>
      </w:divBdr>
    </w:div>
    <w:div w:id="1444812322">
      <w:bodyDiv w:val="1"/>
      <w:marLeft w:val="0"/>
      <w:marRight w:val="0"/>
      <w:marTop w:val="0"/>
      <w:marBottom w:val="0"/>
      <w:divBdr>
        <w:top w:val="none" w:sz="0" w:space="0" w:color="auto"/>
        <w:left w:val="none" w:sz="0" w:space="0" w:color="auto"/>
        <w:bottom w:val="none" w:sz="0" w:space="0" w:color="auto"/>
        <w:right w:val="none" w:sz="0" w:space="0" w:color="auto"/>
      </w:divBdr>
    </w:div>
    <w:div w:id="1445729159">
      <w:bodyDiv w:val="1"/>
      <w:marLeft w:val="0"/>
      <w:marRight w:val="0"/>
      <w:marTop w:val="0"/>
      <w:marBottom w:val="0"/>
      <w:divBdr>
        <w:top w:val="none" w:sz="0" w:space="0" w:color="auto"/>
        <w:left w:val="none" w:sz="0" w:space="0" w:color="auto"/>
        <w:bottom w:val="none" w:sz="0" w:space="0" w:color="auto"/>
        <w:right w:val="none" w:sz="0" w:space="0" w:color="auto"/>
      </w:divBdr>
    </w:div>
    <w:div w:id="1450665311">
      <w:bodyDiv w:val="1"/>
      <w:marLeft w:val="0"/>
      <w:marRight w:val="0"/>
      <w:marTop w:val="0"/>
      <w:marBottom w:val="0"/>
      <w:divBdr>
        <w:top w:val="none" w:sz="0" w:space="0" w:color="auto"/>
        <w:left w:val="none" w:sz="0" w:space="0" w:color="auto"/>
        <w:bottom w:val="none" w:sz="0" w:space="0" w:color="auto"/>
        <w:right w:val="none" w:sz="0" w:space="0" w:color="auto"/>
      </w:divBdr>
    </w:div>
    <w:div w:id="1452364751">
      <w:bodyDiv w:val="1"/>
      <w:marLeft w:val="0"/>
      <w:marRight w:val="0"/>
      <w:marTop w:val="0"/>
      <w:marBottom w:val="0"/>
      <w:divBdr>
        <w:top w:val="none" w:sz="0" w:space="0" w:color="auto"/>
        <w:left w:val="none" w:sz="0" w:space="0" w:color="auto"/>
        <w:bottom w:val="none" w:sz="0" w:space="0" w:color="auto"/>
        <w:right w:val="none" w:sz="0" w:space="0" w:color="auto"/>
      </w:divBdr>
    </w:div>
    <w:div w:id="1452749664">
      <w:bodyDiv w:val="1"/>
      <w:marLeft w:val="0"/>
      <w:marRight w:val="0"/>
      <w:marTop w:val="0"/>
      <w:marBottom w:val="0"/>
      <w:divBdr>
        <w:top w:val="none" w:sz="0" w:space="0" w:color="auto"/>
        <w:left w:val="none" w:sz="0" w:space="0" w:color="auto"/>
        <w:bottom w:val="none" w:sz="0" w:space="0" w:color="auto"/>
        <w:right w:val="none" w:sz="0" w:space="0" w:color="auto"/>
      </w:divBdr>
    </w:div>
    <w:div w:id="1452894565">
      <w:bodyDiv w:val="1"/>
      <w:marLeft w:val="0"/>
      <w:marRight w:val="0"/>
      <w:marTop w:val="0"/>
      <w:marBottom w:val="0"/>
      <w:divBdr>
        <w:top w:val="none" w:sz="0" w:space="0" w:color="auto"/>
        <w:left w:val="none" w:sz="0" w:space="0" w:color="auto"/>
        <w:bottom w:val="none" w:sz="0" w:space="0" w:color="auto"/>
        <w:right w:val="none" w:sz="0" w:space="0" w:color="auto"/>
      </w:divBdr>
    </w:div>
    <w:div w:id="1453406486">
      <w:bodyDiv w:val="1"/>
      <w:marLeft w:val="0"/>
      <w:marRight w:val="0"/>
      <w:marTop w:val="0"/>
      <w:marBottom w:val="0"/>
      <w:divBdr>
        <w:top w:val="none" w:sz="0" w:space="0" w:color="auto"/>
        <w:left w:val="none" w:sz="0" w:space="0" w:color="auto"/>
        <w:bottom w:val="none" w:sz="0" w:space="0" w:color="auto"/>
        <w:right w:val="none" w:sz="0" w:space="0" w:color="auto"/>
      </w:divBdr>
    </w:div>
    <w:div w:id="1453669398">
      <w:bodyDiv w:val="1"/>
      <w:marLeft w:val="0"/>
      <w:marRight w:val="0"/>
      <w:marTop w:val="0"/>
      <w:marBottom w:val="0"/>
      <w:divBdr>
        <w:top w:val="none" w:sz="0" w:space="0" w:color="auto"/>
        <w:left w:val="none" w:sz="0" w:space="0" w:color="auto"/>
        <w:bottom w:val="none" w:sz="0" w:space="0" w:color="auto"/>
        <w:right w:val="none" w:sz="0" w:space="0" w:color="auto"/>
      </w:divBdr>
    </w:div>
    <w:div w:id="1453816542">
      <w:bodyDiv w:val="1"/>
      <w:marLeft w:val="0"/>
      <w:marRight w:val="0"/>
      <w:marTop w:val="0"/>
      <w:marBottom w:val="0"/>
      <w:divBdr>
        <w:top w:val="none" w:sz="0" w:space="0" w:color="auto"/>
        <w:left w:val="none" w:sz="0" w:space="0" w:color="auto"/>
        <w:bottom w:val="none" w:sz="0" w:space="0" w:color="auto"/>
        <w:right w:val="none" w:sz="0" w:space="0" w:color="auto"/>
      </w:divBdr>
    </w:div>
    <w:div w:id="1454250787">
      <w:bodyDiv w:val="1"/>
      <w:marLeft w:val="0"/>
      <w:marRight w:val="0"/>
      <w:marTop w:val="0"/>
      <w:marBottom w:val="0"/>
      <w:divBdr>
        <w:top w:val="none" w:sz="0" w:space="0" w:color="auto"/>
        <w:left w:val="none" w:sz="0" w:space="0" w:color="auto"/>
        <w:bottom w:val="none" w:sz="0" w:space="0" w:color="auto"/>
        <w:right w:val="none" w:sz="0" w:space="0" w:color="auto"/>
      </w:divBdr>
    </w:div>
    <w:div w:id="1454324321">
      <w:bodyDiv w:val="1"/>
      <w:marLeft w:val="0"/>
      <w:marRight w:val="0"/>
      <w:marTop w:val="0"/>
      <w:marBottom w:val="0"/>
      <w:divBdr>
        <w:top w:val="none" w:sz="0" w:space="0" w:color="auto"/>
        <w:left w:val="none" w:sz="0" w:space="0" w:color="auto"/>
        <w:bottom w:val="none" w:sz="0" w:space="0" w:color="auto"/>
        <w:right w:val="none" w:sz="0" w:space="0" w:color="auto"/>
      </w:divBdr>
    </w:div>
    <w:div w:id="1454666523">
      <w:bodyDiv w:val="1"/>
      <w:marLeft w:val="0"/>
      <w:marRight w:val="0"/>
      <w:marTop w:val="0"/>
      <w:marBottom w:val="0"/>
      <w:divBdr>
        <w:top w:val="none" w:sz="0" w:space="0" w:color="auto"/>
        <w:left w:val="none" w:sz="0" w:space="0" w:color="auto"/>
        <w:bottom w:val="none" w:sz="0" w:space="0" w:color="auto"/>
        <w:right w:val="none" w:sz="0" w:space="0" w:color="auto"/>
      </w:divBdr>
    </w:div>
    <w:div w:id="1454790614">
      <w:bodyDiv w:val="1"/>
      <w:marLeft w:val="0"/>
      <w:marRight w:val="0"/>
      <w:marTop w:val="0"/>
      <w:marBottom w:val="0"/>
      <w:divBdr>
        <w:top w:val="none" w:sz="0" w:space="0" w:color="auto"/>
        <w:left w:val="none" w:sz="0" w:space="0" w:color="auto"/>
        <w:bottom w:val="none" w:sz="0" w:space="0" w:color="auto"/>
        <w:right w:val="none" w:sz="0" w:space="0" w:color="auto"/>
      </w:divBdr>
    </w:div>
    <w:div w:id="1458723953">
      <w:bodyDiv w:val="1"/>
      <w:marLeft w:val="0"/>
      <w:marRight w:val="0"/>
      <w:marTop w:val="0"/>
      <w:marBottom w:val="0"/>
      <w:divBdr>
        <w:top w:val="none" w:sz="0" w:space="0" w:color="auto"/>
        <w:left w:val="none" w:sz="0" w:space="0" w:color="auto"/>
        <w:bottom w:val="none" w:sz="0" w:space="0" w:color="auto"/>
        <w:right w:val="none" w:sz="0" w:space="0" w:color="auto"/>
      </w:divBdr>
    </w:div>
    <w:div w:id="1459226545">
      <w:bodyDiv w:val="1"/>
      <w:marLeft w:val="0"/>
      <w:marRight w:val="0"/>
      <w:marTop w:val="0"/>
      <w:marBottom w:val="0"/>
      <w:divBdr>
        <w:top w:val="none" w:sz="0" w:space="0" w:color="auto"/>
        <w:left w:val="none" w:sz="0" w:space="0" w:color="auto"/>
        <w:bottom w:val="none" w:sz="0" w:space="0" w:color="auto"/>
        <w:right w:val="none" w:sz="0" w:space="0" w:color="auto"/>
      </w:divBdr>
      <w:divsChild>
        <w:div w:id="526721355">
          <w:marLeft w:val="0"/>
          <w:marRight w:val="0"/>
          <w:marTop w:val="0"/>
          <w:marBottom w:val="0"/>
          <w:divBdr>
            <w:top w:val="none" w:sz="0" w:space="0" w:color="DDDDDD"/>
            <w:left w:val="none" w:sz="0" w:space="0" w:color="DDDDDD"/>
            <w:bottom w:val="none" w:sz="0" w:space="0" w:color="auto"/>
            <w:right w:val="none" w:sz="0" w:space="0" w:color="DDDDDD"/>
          </w:divBdr>
        </w:div>
        <w:div w:id="503595485">
          <w:marLeft w:val="0"/>
          <w:marRight w:val="0"/>
          <w:marTop w:val="0"/>
          <w:marBottom w:val="0"/>
          <w:divBdr>
            <w:top w:val="none" w:sz="0" w:space="0" w:color="auto"/>
            <w:left w:val="none" w:sz="0" w:space="0" w:color="auto"/>
            <w:bottom w:val="none" w:sz="0" w:space="0" w:color="auto"/>
            <w:right w:val="none" w:sz="0" w:space="0" w:color="auto"/>
          </w:divBdr>
          <w:divsChild>
            <w:div w:id="7679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3584">
      <w:bodyDiv w:val="1"/>
      <w:marLeft w:val="0"/>
      <w:marRight w:val="0"/>
      <w:marTop w:val="0"/>
      <w:marBottom w:val="0"/>
      <w:divBdr>
        <w:top w:val="none" w:sz="0" w:space="0" w:color="auto"/>
        <w:left w:val="none" w:sz="0" w:space="0" w:color="auto"/>
        <w:bottom w:val="none" w:sz="0" w:space="0" w:color="auto"/>
        <w:right w:val="none" w:sz="0" w:space="0" w:color="auto"/>
      </w:divBdr>
    </w:div>
    <w:div w:id="1459958411">
      <w:bodyDiv w:val="1"/>
      <w:marLeft w:val="0"/>
      <w:marRight w:val="0"/>
      <w:marTop w:val="0"/>
      <w:marBottom w:val="0"/>
      <w:divBdr>
        <w:top w:val="none" w:sz="0" w:space="0" w:color="auto"/>
        <w:left w:val="none" w:sz="0" w:space="0" w:color="auto"/>
        <w:bottom w:val="none" w:sz="0" w:space="0" w:color="auto"/>
        <w:right w:val="none" w:sz="0" w:space="0" w:color="auto"/>
      </w:divBdr>
    </w:div>
    <w:div w:id="1461460516">
      <w:bodyDiv w:val="1"/>
      <w:marLeft w:val="0"/>
      <w:marRight w:val="0"/>
      <w:marTop w:val="0"/>
      <w:marBottom w:val="0"/>
      <w:divBdr>
        <w:top w:val="none" w:sz="0" w:space="0" w:color="auto"/>
        <w:left w:val="none" w:sz="0" w:space="0" w:color="auto"/>
        <w:bottom w:val="none" w:sz="0" w:space="0" w:color="auto"/>
        <w:right w:val="none" w:sz="0" w:space="0" w:color="auto"/>
      </w:divBdr>
    </w:div>
    <w:div w:id="1462455264">
      <w:bodyDiv w:val="1"/>
      <w:marLeft w:val="0"/>
      <w:marRight w:val="0"/>
      <w:marTop w:val="0"/>
      <w:marBottom w:val="0"/>
      <w:divBdr>
        <w:top w:val="none" w:sz="0" w:space="0" w:color="auto"/>
        <w:left w:val="none" w:sz="0" w:space="0" w:color="auto"/>
        <w:bottom w:val="none" w:sz="0" w:space="0" w:color="auto"/>
        <w:right w:val="none" w:sz="0" w:space="0" w:color="auto"/>
      </w:divBdr>
    </w:div>
    <w:div w:id="1462991111">
      <w:bodyDiv w:val="1"/>
      <w:marLeft w:val="0"/>
      <w:marRight w:val="0"/>
      <w:marTop w:val="0"/>
      <w:marBottom w:val="0"/>
      <w:divBdr>
        <w:top w:val="none" w:sz="0" w:space="0" w:color="auto"/>
        <w:left w:val="none" w:sz="0" w:space="0" w:color="auto"/>
        <w:bottom w:val="none" w:sz="0" w:space="0" w:color="auto"/>
        <w:right w:val="none" w:sz="0" w:space="0" w:color="auto"/>
      </w:divBdr>
    </w:div>
    <w:div w:id="1463767664">
      <w:bodyDiv w:val="1"/>
      <w:marLeft w:val="0"/>
      <w:marRight w:val="0"/>
      <w:marTop w:val="0"/>
      <w:marBottom w:val="0"/>
      <w:divBdr>
        <w:top w:val="none" w:sz="0" w:space="0" w:color="auto"/>
        <w:left w:val="none" w:sz="0" w:space="0" w:color="auto"/>
        <w:bottom w:val="none" w:sz="0" w:space="0" w:color="auto"/>
        <w:right w:val="none" w:sz="0" w:space="0" w:color="auto"/>
      </w:divBdr>
    </w:div>
    <w:div w:id="1464687559">
      <w:bodyDiv w:val="1"/>
      <w:marLeft w:val="0"/>
      <w:marRight w:val="0"/>
      <w:marTop w:val="0"/>
      <w:marBottom w:val="0"/>
      <w:divBdr>
        <w:top w:val="none" w:sz="0" w:space="0" w:color="auto"/>
        <w:left w:val="none" w:sz="0" w:space="0" w:color="auto"/>
        <w:bottom w:val="none" w:sz="0" w:space="0" w:color="auto"/>
        <w:right w:val="none" w:sz="0" w:space="0" w:color="auto"/>
      </w:divBdr>
    </w:div>
    <w:div w:id="1465271983">
      <w:bodyDiv w:val="1"/>
      <w:marLeft w:val="0"/>
      <w:marRight w:val="0"/>
      <w:marTop w:val="0"/>
      <w:marBottom w:val="0"/>
      <w:divBdr>
        <w:top w:val="none" w:sz="0" w:space="0" w:color="auto"/>
        <w:left w:val="none" w:sz="0" w:space="0" w:color="auto"/>
        <w:bottom w:val="none" w:sz="0" w:space="0" w:color="auto"/>
        <w:right w:val="none" w:sz="0" w:space="0" w:color="auto"/>
      </w:divBdr>
    </w:div>
    <w:div w:id="1465730854">
      <w:bodyDiv w:val="1"/>
      <w:marLeft w:val="0"/>
      <w:marRight w:val="0"/>
      <w:marTop w:val="0"/>
      <w:marBottom w:val="0"/>
      <w:divBdr>
        <w:top w:val="none" w:sz="0" w:space="0" w:color="auto"/>
        <w:left w:val="none" w:sz="0" w:space="0" w:color="auto"/>
        <w:bottom w:val="none" w:sz="0" w:space="0" w:color="auto"/>
        <w:right w:val="none" w:sz="0" w:space="0" w:color="auto"/>
      </w:divBdr>
      <w:divsChild>
        <w:div w:id="2128742730">
          <w:marLeft w:val="0"/>
          <w:marRight w:val="0"/>
          <w:marTop w:val="0"/>
          <w:marBottom w:val="0"/>
          <w:divBdr>
            <w:top w:val="none" w:sz="0" w:space="0" w:color="auto"/>
            <w:left w:val="none" w:sz="0" w:space="0" w:color="auto"/>
            <w:bottom w:val="none" w:sz="0" w:space="0" w:color="auto"/>
            <w:right w:val="none" w:sz="0" w:space="0" w:color="auto"/>
          </w:divBdr>
        </w:div>
      </w:divsChild>
    </w:div>
    <w:div w:id="1466001570">
      <w:bodyDiv w:val="1"/>
      <w:marLeft w:val="0"/>
      <w:marRight w:val="0"/>
      <w:marTop w:val="0"/>
      <w:marBottom w:val="0"/>
      <w:divBdr>
        <w:top w:val="none" w:sz="0" w:space="0" w:color="auto"/>
        <w:left w:val="none" w:sz="0" w:space="0" w:color="auto"/>
        <w:bottom w:val="none" w:sz="0" w:space="0" w:color="auto"/>
        <w:right w:val="none" w:sz="0" w:space="0" w:color="auto"/>
      </w:divBdr>
    </w:div>
    <w:div w:id="1466702337">
      <w:bodyDiv w:val="1"/>
      <w:marLeft w:val="0"/>
      <w:marRight w:val="0"/>
      <w:marTop w:val="0"/>
      <w:marBottom w:val="0"/>
      <w:divBdr>
        <w:top w:val="none" w:sz="0" w:space="0" w:color="auto"/>
        <w:left w:val="none" w:sz="0" w:space="0" w:color="auto"/>
        <w:bottom w:val="none" w:sz="0" w:space="0" w:color="auto"/>
        <w:right w:val="none" w:sz="0" w:space="0" w:color="auto"/>
      </w:divBdr>
    </w:div>
    <w:div w:id="1466773419">
      <w:bodyDiv w:val="1"/>
      <w:marLeft w:val="0"/>
      <w:marRight w:val="0"/>
      <w:marTop w:val="0"/>
      <w:marBottom w:val="0"/>
      <w:divBdr>
        <w:top w:val="none" w:sz="0" w:space="0" w:color="auto"/>
        <w:left w:val="none" w:sz="0" w:space="0" w:color="auto"/>
        <w:bottom w:val="none" w:sz="0" w:space="0" w:color="auto"/>
        <w:right w:val="none" w:sz="0" w:space="0" w:color="auto"/>
      </w:divBdr>
    </w:div>
    <w:div w:id="1467818151">
      <w:bodyDiv w:val="1"/>
      <w:marLeft w:val="0"/>
      <w:marRight w:val="0"/>
      <w:marTop w:val="0"/>
      <w:marBottom w:val="0"/>
      <w:divBdr>
        <w:top w:val="none" w:sz="0" w:space="0" w:color="auto"/>
        <w:left w:val="none" w:sz="0" w:space="0" w:color="auto"/>
        <w:bottom w:val="none" w:sz="0" w:space="0" w:color="auto"/>
        <w:right w:val="none" w:sz="0" w:space="0" w:color="auto"/>
      </w:divBdr>
    </w:div>
    <w:div w:id="1467820307">
      <w:bodyDiv w:val="1"/>
      <w:marLeft w:val="0"/>
      <w:marRight w:val="0"/>
      <w:marTop w:val="0"/>
      <w:marBottom w:val="0"/>
      <w:divBdr>
        <w:top w:val="none" w:sz="0" w:space="0" w:color="auto"/>
        <w:left w:val="none" w:sz="0" w:space="0" w:color="auto"/>
        <w:bottom w:val="none" w:sz="0" w:space="0" w:color="auto"/>
        <w:right w:val="none" w:sz="0" w:space="0" w:color="auto"/>
      </w:divBdr>
    </w:div>
    <w:div w:id="1468622160">
      <w:bodyDiv w:val="1"/>
      <w:marLeft w:val="0"/>
      <w:marRight w:val="0"/>
      <w:marTop w:val="0"/>
      <w:marBottom w:val="0"/>
      <w:divBdr>
        <w:top w:val="none" w:sz="0" w:space="0" w:color="auto"/>
        <w:left w:val="none" w:sz="0" w:space="0" w:color="auto"/>
        <w:bottom w:val="none" w:sz="0" w:space="0" w:color="auto"/>
        <w:right w:val="none" w:sz="0" w:space="0" w:color="auto"/>
      </w:divBdr>
    </w:div>
    <w:div w:id="1469661125">
      <w:bodyDiv w:val="1"/>
      <w:marLeft w:val="0"/>
      <w:marRight w:val="0"/>
      <w:marTop w:val="0"/>
      <w:marBottom w:val="0"/>
      <w:divBdr>
        <w:top w:val="none" w:sz="0" w:space="0" w:color="auto"/>
        <w:left w:val="none" w:sz="0" w:space="0" w:color="auto"/>
        <w:bottom w:val="none" w:sz="0" w:space="0" w:color="auto"/>
        <w:right w:val="none" w:sz="0" w:space="0" w:color="auto"/>
      </w:divBdr>
    </w:div>
    <w:div w:id="1469782284">
      <w:bodyDiv w:val="1"/>
      <w:marLeft w:val="0"/>
      <w:marRight w:val="0"/>
      <w:marTop w:val="0"/>
      <w:marBottom w:val="0"/>
      <w:divBdr>
        <w:top w:val="none" w:sz="0" w:space="0" w:color="auto"/>
        <w:left w:val="none" w:sz="0" w:space="0" w:color="auto"/>
        <w:bottom w:val="none" w:sz="0" w:space="0" w:color="auto"/>
        <w:right w:val="none" w:sz="0" w:space="0" w:color="auto"/>
      </w:divBdr>
      <w:divsChild>
        <w:div w:id="1146968673">
          <w:marLeft w:val="0"/>
          <w:marRight w:val="0"/>
          <w:marTop w:val="0"/>
          <w:marBottom w:val="0"/>
          <w:divBdr>
            <w:top w:val="none" w:sz="0" w:space="0" w:color="auto"/>
            <w:left w:val="none" w:sz="0" w:space="0" w:color="auto"/>
            <w:bottom w:val="none" w:sz="0" w:space="0" w:color="auto"/>
            <w:right w:val="none" w:sz="0" w:space="0" w:color="auto"/>
          </w:divBdr>
        </w:div>
      </w:divsChild>
    </w:div>
    <w:div w:id="1470174115">
      <w:bodyDiv w:val="1"/>
      <w:marLeft w:val="0"/>
      <w:marRight w:val="0"/>
      <w:marTop w:val="0"/>
      <w:marBottom w:val="0"/>
      <w:divBdr>
        <w:top w:val="none" w:sz="0" w:space="0" w:color="auto"/>
        <w:left w:val="none" w:sz="0" w:space="0" w:color="auto"/>
        <w:bottom w:val="none" w:sz="0" w:space="0" w:color="auto"/>
        <w:right w:val="none" w:sz="0" w:space="0" w:color="auto"/>
      </w:divBdr>
    </w:div>
    <w:div w:id="1470439370">
      <w:bodyDiv w:val="1"/>
      <w:marLeft w:val="0"/>
      <w:marRight w:val="0"/>
      <w:marTop w:val="0"/>
      <w:marBottom w:val="0"/>
      <w:divBdr>
        <w:top w:val="none" w:sz="0" w:space="0" w:color="auto"/>
        <w:left w:val="none" w:sz="0" w:space="0" w:color="auto"/>
        <w:bottom w:val="none" w:sz="0" w:space="0" w:color="auto"/>
        <w:right w:val="none" w:sz="0" w:space="0" w:color="auto"/>
      </w:divBdr>
    </w:div>
    <w:div w:id="1471097628">
      <w:bodyDiv w:val="1"/>
      <w:marLeft w:val="0"/>
      <w:marRight w:val="0"/>
      <w:marTop w:val="0"/>
      <w:marBottom w:val="0"/>
      <w:divBdr>
        <w:top w:val="none" w:sz="0" w:space="0" w:color="auto"/>
        <w:left w:val="none" w:sz="0" w:space="0" w:color="auto"/>
        <w:bottom w:val="none" w:sz="0" w:space="0" w:color="auto"/>
        <w:right w:val="none" w:sz="0" w:space="0" w:color="auto"/>
      </w:divBdr>
    </w:div>
    <w:div w:id="1473138631">
      <w:bodyDiv w:val="1"/>
      <w:marLeft w:val="0"/>
      <w:marRight w:val="0"/>
      <w:marTop w:val="0"/>
      <w:marBottom w:val="0"/>
      <w:divBdr>
        <w:top w:val="none" w:sz="0" w:space="0" w:color="auto"/>
        <w:left w:val="none" w:sz="0" w:space="0" w:color="auto"/>
        <w:bottom w:val="none" w:sz="0" w:space="0" w:color="auto"/>
        <w:right w:val="none" w:sz="0" w:space="0" w:color="auto"/>
      </w:divBdr>
    </w:div>
    <w:div w:id="1473912380">
      <w:bodyDiv w:val="1"/>
      <w:marLeft w:val="0"/>
      <w:marRight w:val="0"/>
      <w:marTop w:val="0"/>
      <w:marBottom w:val="0"/>
      <w:divBdr>
        <w:top w:val="none" w:sz="0" w:space="0" w:color="auto"/>
        <w:left w:val="none" w:sz="0" w:space="0" w:color="auto"/>
        <w:bottom w:val="none" w:sz="0" w:space="0" w:color="auto"/>
        <w:right w:val="none" w:sz="0" w:space="0" w:color="auto"/>
      </w:divBdr>
    </w:div>
    <w:div w:id="1474446028">
      <w:bodyDiv w:val="1"/>
      <w:marLeft w:val="0"/>
      <w:marRight w:val="0"/>
      <w:marTop w:val="0"/>
      <w:marBottom w:val="0"/>
      <w:divBdr>
        <w:top w:val="none" w:sz="0" w:space="0" w:color="auto"/>
        <w:left w:val="none" w:sz="0" w:space="0" w:color="auto"/>
        <w:bottom w:val="none" w:sz="0" w:space="0" w:color="auto"/>
        <w:right w:val="none" w:sz="0" w:space="0" w:color="auto"/>
      </w:divBdr>
    </w:div>
    <w:div w:id="1474833874">
      <w:bodyDiv w:val="1"/>
      <w:marLeft w:val="0"/>
      <w:marRight w:val="0"/>
      <w:marTop w:val="0"/>
      <w:marBottom w:val="0"/>
      <w:divBdr>
        <w:top w:val="none" w:sz="0" w:space="0" w:color="auto"/>
        <w:left w:val="none" w:sz="0" w:space="0" w:color="auto"/>
        <w:bottom w:val="none" w:sz="0" w:space="0" w:color="auto"/>
        <w:right w:val="none" w:sz="0" w:space="0" w:color="auto"/>
      </w:divBdr>
    </w:div>
    <w:div w:id="1476264269">
      <w:bodyDiv w:val="1"/>
      <w:marLeft w:val="0"/>
      <w:marRight w:val="0"/>
      <w:marTop w:val="0"/>
      <w:marBottom w:val="0"/>
      <w:divBdr>
        <w:top w:val="none" w:sz="0" w:space="0" w:color="auto"/>
        <w:left w:val="none" w:sz="0" w:space="0" w:color="auto"/>
        <w:bottom w:val="none" w:sz="0" w:space="0" w:color="auto"/>
        <w:right w:val="none" w:sz="0" w:space="0" w:color="auto"/>
      </w:divBdr>
    </w:div>
    <w:div w:id="1478104902">
      <w:bodyDiv w:val="1"/>
      <w:marLeft w:val="0"/>
      <w:marRight w:val="0"/>
      <w:marTop w:val="0"/>
      <w:marBottom w:val="0"/>
      <w:divBdr>
        <w:top w:val="none" w:sz="0" w:space="0" w:color="auto"/>
        <w:left w:val="none" w:sz="0" w:space="0" w:color="auto"/>
        <w:bottom w:val="none" w:sz="0" w:space="0" w:color="auto"/>
        <w:right w:val="none" w:sz="0" w:space="0" w:color="auto"/>
      </w:divBdr>
    </w:div>
    <w:div w:id="1479421107">
      <w:bodyDiv w:val="1"/>
      <w:marLeft w:val="0"/>
      <w:marRight w:val="0"/>
      <w:marTop w:val="0"/>
      <w:marBottom w:val="0"/>
      <w:divBdr>
        <w:top w:val="none" w:sz="0" w:space="0" w:color="auto"/>
        <w:left w:val="none" w:sz="0" w:space="0" w:color="auto"/>
        <w:bottom w:val="none" w:sz="0" w:space="0" w:color="auto"/>
        <w:right w:val="none" w:sz="0" w:space="0" w:color="auto"/>
      </w:divBdr>
    </w:div>
    <w:div w:id="1480223903">
      <w:bodyDiv w:val="1"/>
      <w:marLeft w:val="0"/>
      <w:marRight w:val="0"/>
      <w:marTop w:val="0"/>
      <w:marBottom w:val="0"/>
      <w:divBdr>
        <w:top w:val="none" w:sz="0" w:space="0" w:color="auto"/>
        <w:left w:val="none" w:sz="0" w:space="0" w:color="auto"/>
        <w:bottom w:val="none" w:sz="0" w:space="0" w:color="auto"/>
        <w:right w:val="none" w:sz="0" w:space="0" w:color="auto"/>
      </w:divBdr>
    </w:div>
    <w:div w:id="1480342470">
      <w:bodyDiv w:val="1"/>
      <w:marLeft w:val="0"/>
      <w:marRight w:val="0"/>
      <w:marTop w:val="0"/>
      <w:marBottom w:val="0"/>
      <w:divBdr>
        <w:top w:val="none" w:sz="0" w:space="0" w:color="auto"/>
        <w:left w:val="none" w:sz="0" w:space="0" w:color="auto"/>
        <w:bottom w:val="none" w:sz="0" w:space="0" w:color="auto"/>
        <w:right w:val="none" w:sz="0" w:space="0" w:color="auto"/>
      </w:divBdr>
    </w:div>
    <w:div w:id="1481727031">
      <w:bodyDiv w:val="1"/>
      <w:marLeft w:val="0"/>
      <w:marRight w:val="0"/>
      <w:marTop w:val="0"/>
      <w:marBottom w:val="0"/>
      <w:divBdr>
        <w:top w:val="none" w:sz="0" w:space="0" w:color="auto"/>
        <w:left w:val="none" w:sz="0" w:space="0" w:color="auto"/>
        <w:bottom w:val="none" w:sz="0" w:space="0" w:color="auto"/>
        <w:right w:val="none" w:sz="0" w:space="0" w:color="auto"/>
      </w:divBdr>
    </w:div>
    <w:div w:id="1483547797">
      <w:bodyDiv w:val="1"/>
      <w:marLeft w:val="0"/>
      <w:marRight w:val="0"/>
      <w:marTop w:val="0"/>
      <w:marBottom w:val="0"/>
      <w:divBdr>
        <w:top w:val="none" w:sz="0" w:space="0" w:color="auto"/>
        <w:left w:val="none" w:sz="0" w:space="0" w:color="auto"/>
        <w:bottom w:val="none" w:sz="0" w:space="0" w:color="auto"/>
        <w:right w:val="none" w:sz="0" w:space="0" w:color="auto"/>
      </w:divBdr>
    </w:div>
    <w:div w:id="1484275566">
      <w:bodyDiv w:val="1"/>
      <w:marLeft w:val="0"/>
      <w:marRight w:val="0"/>
      <w:marTop w:val="0"/>
      <w:marBottom w:val="0"/>
      <w:divBdr>
        <w:top w:val="none" w:sz="0" w:space="0" w:color="auto"/>
        <w:left w:val="none" w:sz="0" w:space="0" w:color="auto"/>
        <w:bottom w:val="none" w:sz="0" w:space="0" w:color="auto"/>
        <w:right w:val="none" w:sz="0" w:space="0" w:color="auto"/>
      </w:divBdr>
    </w:div>
    <w:div w:id="1485781545">
      <w:bodyDiv w:val="1"/>
      <w:marLeft w:val="0"/>
      <w:marRight w:val="0"/>
      <w:marTop w:val="0"/>
      <w:marBottom w:val="0"/>
      <w:divBdr>
        <w:top w:val="none" w:sz="0" w:space="0" w:color="auto"/>
        <w:left w:val="none" w:sz="0" w:space="0" w:color="auto"/>
        <w:bottom w:val="none" w:sz="0" w:space="0" w:color="auto"/>
        <w:right w:val="none" w:sz="0" w:space="0" w:color="auto"/>
      </w:divBdr>
    </w:div>
    <w:div w:id="1486627150">
      <w:bodyDiv w:val="1"/>
      <w:marLeft w:val="0"/>
      <w:marRight w:val="0"/>
      <w:marTop w:val="0"/>
      <w:marBottom w:val="0"/>
      <w:divBdr>
        <w:top w:val="none" w:sz="0" w:space="0" w:color="auto"/>
        <w:left w:val="none" w:sz="0" w:space="0" w:color="auto"/>
        <w:bottom w:val="none" w:sz="0" w:space="0" w:color="auto"/>
        <w:right w:val="none" w:sz="0" w:space="0" w:color="auto"/>
      </w:divBdr>
    </w:div>
    <w:div w:id="1486628096">
      <w:bodyDiv w:val="1"/>
      <w:marLeft w:val="0"/>
      <w:marRight w:val="0"/>
      <w:marTop w:val="0"/>
      <w:marBottom w:val="0"/>
      <w:divBdr>
        <w:top w:val="none" w:sz="0" w:space="0" w:color="auto"/>
        <w:left w:val="none" w:sz="0" w:space="0" w:color="auto"/>
        <w:bottom w:val="none" w:sz="0" w:space="0" w:color="auto"/>
        <w:right w:val="none" w:sz="0" w:space="0" w:color="auto"/>
      </w:divBdr>
    </w:div>
    <w:div w:id="1486896005">
      <w:bodyDiv w:val="1"/>
      <w:marLeft w:val="0"/>
      <w:marRight w:val="0"/>
      <w:marTop w:val="0"/>
      <w:marBottom w:val="0"/>
      <w:divBdr>
        <w:top w:val="none" w:sz="0" w:space="0" w:color="auto"/>
        <w:left w:val="none" w:sz="0" w:space="0" w:color="auto"/>
        <w:bottom w:val="none" w:sz="0" w:space="0" w:color="auto"/>
        <w:right w:val="none" w:sz="0" w:space="0" w:color="auto"/>
      </w:divBdr>
    </w:div>
    <w:div w:id="1487090957">
      <w:bodyDiv w:val="1"/>
      <w:marLeft w:val="0"/>
      <w:marRight w:val="0"/>
      <w:marTop w:val="0"/>
      <w:marBottom w:val="0"/>
      <w:divBdr>
        <w:top w:val="none" w:sz="0" w:space="0" w:color="auto"/>
        <w:left w:val="none" w:sz="0" w:space="0" w:color="auto"/>
        <w:bottom w:val="none" w:sz="0" w:space="0" w:color="auto"/>
        <w:right w:val="none" w:sz="0" w:space="0" w:color="auto"/>
      </w:divBdr>
    </w:div>
    <w:div w:id="1488787658">
      <w:bodyDiv w:val="1"/>
      <w:marLeft w:val="0"/>
      <w:marRight w:val="0"/>
      <w:marTop w:val="0"/>
      <w:marBottom w:val="0"/>
      <w:divBdr>
        <w:top w:val="none" w:sz="0" w:space="0" w:color="auto"/>
        <w:left w:val="none" w:sz="0" w:space="0" w:color="auto"/>
        <w:bottom w:val="none" w:sz="0" w:space="0" w:color="auto"/>
        <w:right w:val="none" w:sz="0" w:space="0" w:color="auto"/>
      </w:divBdr>
    </w:div>
    <w:div w:id="1488791164">
      <w:bodyDiv w:val="1"/>
      <w:marLeft w:val="0"/>
      <w:marRight w:val="0"/>
      <w:marTop w:val="0"/>
      <w:marBottom w:val="0"/>
      <w:divBdr>
        <w:top w:val="none" w:sz="0" w:space="0" w:color="auto"/>
        <w:left w:val="none" w:sz="0" w:space="0" w:color="auto"/>
        <w:bottom w:val="none" w:sz="0" w:space="0" w:color="auto"/>
        <w:right w:val="none" w:sz="0" w:space="0" w:color="auto"/>
      </w:divBdr>
    </w:div>
    <w:div w:id="1489008916">
      <w:bodyDiv w:val="1"/>
      <w:marLeft w:val="0"/>
      <w:marRight w:val="0"/>
      <w:marTop w:val="0"/>
      <w:marBottom w:val="0"/>
      <w:divBdr>
        <w:top w:val="none" w:sz="0" w:space="0" w:color="auto"/>
        <w:left w:val="none" w:sz="0" w:space="0" w:color="auto"/>
        <w:bottom w:val="none" w:sz="0" w:space="0" w:color="auto"/>
        <w:right w:val="none" w:sz="0" w:space="0" w:color="auto"/>
      </w:divBdr>
      <w:divsChild>
        <w:div w:id="1416509018">
          <w:marLeft w:val="0"/>
          <w:marRight w:val="0"/>
          <w:marTop w:val="0"/>
          <w:marBottom w:val="0"/>
          <w:divBdr>
            <w:top w:val="none" w:sz="0" w:space="0" w:color="DDDDDD"/>
            <w:left w:val="none" w:sz="0" w:space="0" w:color="DDDDDD"/>
            <w:bottom w:val="none" w:sz="0" w:space="0" w:color="auto"/>
            <w:right w:val="none" w:sz="0" w:space="0" w:color="DDDDDD"/>
          </w:divBdr>
        </w:div>
        <w:div w:id="271285269">
          <w:marLeft w:val="0"/>
          <w:marRight w:val="0"/>
          <w:marTop w:val="0"/>
          <w:marBottom w:val="0"/>
          <w:divBdr>
            <w:top w:val="none" w:sz="0" w:space="0" w:color="auto"/>
            <w:left w:val="none" w:sz="0" w:space="0" w:color="auto"/>
            <w:bottom w:val="none" w:sz="0" w:space="0" w:color="auto"/>
            <w:right w:val="none" w:sz="0" w:space="0" w:color="auto"/>
          </w:divBdr>
          <w:divsChild>
            <w:div w:id="5215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7161">
      <w:bodyDiv w:val="1"/>
      <w:marLeft w:val="0"/>
      <w:marRight w:val="0"/>
      <w:marTop w:val="0"/>
      <w:marBottom w:val="0"/>
      <w:divBdr>
        <w:top w:val="none" w:sz="0" w:space="0" w:color="auto"/>
        <w:left w:val="none" w:sz="0" w:space="0" w:color="auto"/>
        <w:bottom w:val="none" w:sz="0" w:space="0" w:color="auto"/>
        <w:right w:val="none" w:sz="0" w:space="0" w:color="auto"/>
      </w:divBdr>
    </w:div>
    <w:div w:id="1489982471">
      <w:bodyDiv w:val="1"/>
      <w:marLeft w:val="0"/>
      <w:marRight w:val="0"/>
      <w:marTop w:val="0"/>
      <w:marBottom w:val="0"/>
      <w:divBdr>
        <w:top w:val="none" w:sz="0" w:space="0" w:color="auto"/>
        <w:left w:val="none" w:sz="0" w:space="0" w:color="auto"/>
        <w:bottom w:val="none" w:sz="0" w:space="0" w:color="auto"/>
        <w:right w:val="none" w:sz="0" w:space="0" w:color="auto"/>
      </w:divBdr>
      <w:divsChild>
        <w:div w:id="933393251">
          <w:marLeft w:val="0"/>
          <w:marRight w:val="0"/>
          <w:marTop w:val="0"/>
          <w:marBottom w:val="0"/>
          <w:divBdr>
            <w:top w:val="none" w:sz="0" w:space="0" w:color="auto"/>
            <w:left w:val="none" w:sz="0" w:space="0" w:color="auto"/>
            <w:bottom w:val="none" w:sz="0" w:space="0" w:color="auto"/>
            <w:right w:val="none" w:sz="0" w:space="0" w:color="auto"/>
          </w:divBdr>
        </w:div>
      </w:divsChild>
    </w:div>
    <w:div w:id="1490289991">
      <w:bodyDiv w:val="1"/>
      <w:marLeft w:val="0"/>
      <w:marRight w:val="0"/>
      <w:marTop w:val="0"/>
      <w:marBottom w:val="0"/>
      <w:divBdr>
        <w:top w:val="none" w:sz="0" w:space="0" w:color="auto"/>
        <w:left w:val="none" w:sz="0" w:space="0" w:color="auto"/>
        <w:bottom w:val="none" w:sz="0" w:space="0" w:color="auto"/>
        <w:right w:val="none" w:sz="0" w:space="0" w:color="auto"/>
      </w:divBdr>
    </w:div>
    <w:div w:id="1491870103">
      <w:bodyDiv w:val="1"/>
      <w:marLeft w:val="0"/>
      <w:marRight w:val="0"/>
      <w:marTop w:val="0"/>
      <w:marBottom w:val="0"/>
      <w:divBdr>
        <w:top w:val="none" w:sz="0" w:space="0" w:color="auto"/>
        <w:left w:val="none" w:sz="0" w:space="0" w:color="auto"/>
        <w:bottom w:val="none" w:sz="0" w:space="0" w:color="auto"/>
        <w:right w:val="none" w:sz="0" w:space="0" w:color="auto"/>
      </w:divBdr>
    </w:div>
    <w:div w:id="1492989859">
      <w:bodyDiv w:val="1"/>
      <w:marLeft w:val="0"/>
      <w:marRight w:val="0"/>
      <w:marTop w:val="0"/>
      <w:marBottom w:val="0"/>
      <w:divBdr>
        <w:top w:val="none" w:sz="0" w:space="0" w:color="auto"/>
        <w:left w:val="none" w:sz="0" w:space="0" w:color="auto"/>
        <w:bottom w:val="none" w:sz="0" w:space="0" w:color="auto"/>
        <w:right w:val="none" w:sz="0" w:space="0" w:color="auto"/>
      </w:divBdr>
    </w:div>
    <w:div w:id="1493332495">
      <w:bodyDiv w:val="1"/>
      <w:marLeft w:val="0"/>
      <w:marRight w:val="0"/>
      <w:marTop w:val="0"/>
      <w:marBottom w:val="0"/>
      <w:divBdr>
        <w:top w:val="none" w:sz="0" w:space="0" w:color="auto"/>
        <w:left w:val="none" w:sz="0" w:space="0" w:color="auto"/>
        <w:bottom w:val="none" w:sz="0" w:space="0" w:color="auto"/>
        <w:right w:val="none" w:sz="0" w:space="0" w:color="auto"/>
      </w:divBdr>
    </w:div>
    <w:div w:id="1494179412">
      <w:bodyDiv w:val="1"/>
      <w:marLeft w:val="0"/>
      <w:marRight w:val="0"/>
      <w:marTop w:val="0"/>
      <w:marBottom w:val="0"/>
      <w:divBdr>
        <w:top w:val="none" w:sz="0" w:space="0" w:color="auto"/>
        <w:left w:val="none" w:sz="0" w:space="0" w:color="auto"/>
        <w:bottom w:val="none" w:sz="0" w:space="0" w:color="auto"/>
        <w:right w:val="none" w:sz="0" w:space="0" w:color="auto"/>
      </w:divBdr>
    </w:div>
    <w:div w:id="1494447430">
      <w:bodyDiv w:val="1"/>
      <w:marLeft w:val="0"/>
      <w:marRight w:val="0"/>
      <w:marTop w:val="0"/>
      <w:marBottom w:val="0"/>
      <w:divBdr>
        <w:top w:val="none" w:sz="0" w:space="0" w:color="auto"/>
        <w:left w:val="none" w:sz="0" w:space="0" w:color="auto"/>
        <w:bottom w:val="none" w:sz="0" w:space="0" w:color="auto"/>
        <w:right w:val="none" w:sz="0" w:space="0" w:color="auto"/>
      </w:divBdr>
    </w:div>
    <w:div w:id="1494637437">
      <w:bodyDiv w:val="1"/>
      <w:marLeft w:val="0"/>
      <w:marRight w:val="0"/>
      <w:marTop w:val="0"/>
      <w:marBottom w:val="0"/>
      <w:divBdr>
        <w:top w:val="none" w:sz="0" w:space="0" w:color="auto"/>
        <w:left w:val="none" w:sz="0" w:space="0" w:color="auto"/>
        <w:bottom w:val="none" w:sz="0" w:space="0" w:color="auto"/>
        <w:right w:val="none" w:sz="0" w:space="0" w:color="auto"/>
      </w:divBdr>
    </w:div>
    <w:div w:id="1496921679">
      <w:bodyDiv w:val="1"/>
      <w:marLeft w:val="0"/>
      <w:marRight w:val="0"/>
      <w:marTop w:val="0"/>
      <w:marBottom w:val="0"/>
      <w:divBdr>
        <w:top w:val="none" w:sz="0" w:space="0" w:color="auto"/>
        <w:left w:val="none" w:sz="0" w:space="0" w:color="auto"/>
        <w:bottom w:val="none" w:sz="0" w:space="0" w:color="auto"/>
        <w:right w:val="none" w:sz="0" w:space="0" w:color="auto"/>
      </w:divBdr>
    </w:div>
    <w:div w:id="1497529820">
      <w:bodyDiv w:val="1"/>
      <w:marLeft w:val="0"/>
      <w:marRight w:val="0"/>
      <w:marTop w:val="0"/>
      <w:marBottom w:val="0"/>
      <w:divBdr>
        <w:top w:val="none" w:sz="0" w:space="0" w:color="auto"/>
        <w:left w:val="none" w:sz="0" w:space="0" w:color="auto"/>
        <w:bottom w:val="none" w:sz="0" w:space="0" w:color="auto"/>
        <w:right w:val="none" w:sz="0" w:space="0" w:color="auto"/>
      </w:divBdr>
    </w:div>
    <w:div w:id="1498184201">
      <w:bodyDiv w:val="1"/>
      <w:marLeft w:val="0"/>
      <w:marRight w:val="0"/>
      <w:marTop w:val="0"/>
      <w:marBottom w:val="0"/>
      <w:divBdr>
        <w:top w:val="none" w:sz="0" w:space="0" w:color="auto"/>
        <w:left w:val="none" w:sz="0" w:space="0" w:color="auto"/>
        <w:bottom w:val="none" w:sz="0" w:space="0" w:color="auto"/>
        <w:right w:val="none" w:sz="0" w:space="0" w:color="auto"/>
      </w:divBdr>
    </w:div>
    <w:div w:id="1499496330">
      <w:bodyDiv w:val="1"/>
      <w:marLeft w:val="0"/>
      <w:marRight w:val="0"/>
      <w:marTop w:val="0"/>
      <w:marBottom w:val="0"/>
      <w:divBdr>
        <w:top w:val="none" w:sz="0" w:space="0" w:color="auto"/>
        <w:left w:val="none" w:sz="0" w:space="0" w:color="auto"/>
        <w:bottom w:val="none" w:sz="0" w:space="0" w:color="auto"/>
        <w:right w:val="none" w:sz="0" w:space="0" w:color="auto"/>
      </w:divBdr>
    </w:div>
    <w:div w:id="1499688156">
      <w:bodyDiv w:val="1"/>
      <w:marLeft w:val="0"/>
      <w:marRight w:val="0"/>
      <w:marTop w:val="0"/>
      <w:marBottom w:val="0"/>
      <w:divBdr>
        <w:top w:val="none" w:sz="0" w:space="0" w:color="auto"/>
        <w:left w:val="none" w:sz="0" w:space="0" w:color="auto"/>
        <w:bottom w:val="none" w:sz="0" w:space="0" w:color="auto"/>
        <w:right w:val="none" w:sz="0" w:space="0" w:color="auto"/>
      </w:divBdr>
    </w:div>
    <w:div w:id="1499886929">
      <w:bodyDiv w:val="1"/>
      <w:marLeft w:val="0"/>
      <w:marRight w:val="0"/>
      <w:marTop w:val="0"/>
      <w:marBottom w:val="0"/>
      <w:divBdr>
        <w:top w:val="none" w:sz="0" w:space="0" w:color="auto"/>
        <w:left w:val="none" w:sz="0" w:space="0" w:color="auto"/>
        <w:bottom w:val="none" w:sz="0" w:space="0" w:color="auto"/>
        <w:right w:val="none" w:sz="0" w:space="0" w:color="auto"/>
      </w:divBdr>
    </w:div>
    <w:div w:id="1501772051">
      <w:bodyDiv w:val="1"/>
      <w:marLeft w:val="0"/>
      <w:marRight w:val="0"/>
      <w:marTop w:val="0"/>
      <w:marBottom w:val="0"/>
      <w:divBdr>
        <w:top w:val="none" w:sz="0" w:space="0" w:color="auto"/>
        <w:left w:val="none" w:sz="0" w:space="0" w:color="auto"/>
        <w:bottom w:val="none" w:sz="0" w:space="0" w:color="auto"/>
        <w:right w:val="none" w:sz="0" w:space="0" w:color="auto"/>
      </w:divBdr>
    </w:div>
    <w:div w:id="1502895616">
      <w:bodyDiv w:val="1"/>
      <w:marLeft w:val="0"/>
      <w:marRight w:val="0"/>
      <w:marTop w:val="0"/>
      <w:marBottom w:val="0"/>
      <w:divBdr>
        <w:top w:val="none" w:sz="0" w:space="0" w:color="auto"/>
        <w:left w:val="none" w:sz="0" w:space="0" w:color="auto"/>
        <w:bottom w:val="none" w:sz="0" w:space="0" w:color="auto"/>
        <w:right w:val="none" w:sz="0" w:space="0" w:color="auto"/>
      </w:divBdr>
    </w:div>
    <w:div w:id="1504667539">
      <w:bodyDiv w:val="1"/>
      <w:marLeft w:val="0"/>
      <w:marRight w:val="0"/>
      <w:marTop w:val="0"/>
      <w:marBottom w:val="0"/>
      <w:divBdr>
        <w:top w:val="none" w:sz="0" w:space="0" w:color="auto"/>
        <w:left w:val="none" w:sz="0" w:space="0" w:color="auto"/>
        <w:bottom w:val="none" w:sz="0" w:space="0" w:color="auto"/>
        <w:right w:val="none" w:sz="0" w:space="0" w:color="auto"/>
      </w:divBdr>
    </w:div>
    <w:div w:id="1505780321">
      <w:bodyDiv w:val="1"/>
      <w:marLeft w:val="0"/>
      <w:marRight w:val="0"/>
      <w:marTop w:val="0"/>
      <w:marBottom w:val="0"/>
      <w:divBdr>
        <w:top w:val="none" w:sz="0" w:space="0" w:color="auto"/>
        <w:left w:val="none" w:sz="0" w:space="0" w:color="auto"/>
        <w:bottom w:val="none" w:sz="0" w:space="0" w:color="auto"/>
        <w:right w:val="none" w:sz="0" w:space="0" w:color="auto"/>
      </w:divBdr>
    </w:div>
    <w:div w:id="1506480115">
      <w:bodyDiv w:val="1"/>
      <w:marLeft w:val="0"/>
      <w:marRight w:val="0"/>
      <w:marTop w:val="0"/>
      <w:marBottom w:val="0"/>
      <w:divBdr>
        <w:top w:val="none" w:sz="0" w:space="0" w:color="auto"/>
        <w:left w:val="none" w:sz="0" w:space="0" w:color="auto"/>
        <w:bottom w:val="none" w:sz="0" w:space="0" w:color="auto"/>
        <w:right w:val="none" w:sz="0" w:space="0" w:color="auto"/>
      </w:divBdr>
    </w:div>
    <w:div w:id="1507790530">
      <w:bodyDiv w:val="1"/>
      <w:marLeft w:val="0"/>
      <w:marRight w:val="0"/>
      <w:marTop w:val="0"/>
      <w:marBottom w:val="0"/>
      <w:divBdr>
        <w:top w:val="none" w:sz="0" w:space="0" w:color="auto"/>
        <w:left w:val="none" w:sz="0" w:space="0" w:color="auto"/>
        <w:bottom w:val="none" w:sz="0" w:space="0" w:color="auto"/>
        <w:right w:val="none" w:sz="0" w:space="0" w:color="auto"/>
      </w:divBdr>
    </w:div>
    <w:div w:id="1508592523">
      <w:bodyDiv w:val="1"/>
      <w:marLeft w:val="0"/>
      <w:marRight w:val="0"/>
      <w:marTop w:val="0"/>
      <w:marBottom w:val="0"/>
      <w:divBdr>
        <w:top w:val="none" w:sz="0" w:space="0" w:color="auto"/>
        <w:left w:val="none" w:sz="0" w:space="0" w:color="auto"/>
        <w:bottom w:val="none" w:sz="0" w:space="0" w:color="auto"/>
        <w:right w:val="none" w:sz="0" w:space="0" w:color="auto"/>
      </w:divBdr>
    </w:div>
    <w:div w:id="1510146337">
      <w:bodyDiv w:val="1"/>
      <w:marLeft w:val="0"/>
      <w:marRight w:val="0"/>
      <w:marTop w:val="0"/>
      <w:marBottom w:val="0"/>
      <w:divBdr>
        <w:top w:val="none" w:sz="0" w:space="0" w:color="auto"/>
        <w:left w:val="none" w:sz="0" w:space="0" w:color="auto"/>
        <w:bottom w:val="none" w:sz="0" w:space="0" w:color="auto"/>
        <w:right w:val="none" w:sz="0" w:space="0" w:color="auto"/>
      </w:divBdr>
    </w:div>
    <w:div w:id="1510674490">
      <w:bodyDiv w:val="1"/>
      <w:marLeft w:val="0"/>
      <w:marRight w:val="0"/>
      <w:marTop w:val="0"/>
      <w:marBottom w:val="0"/>
      <w:divBdr>
        <w:top w:val="none" w:sz="0" w:space="0" w:color="auto"/>
        <w:left w:val="none" w:sz="0" w:space="0" w:color="auto"/>
        <w:bottom w:val="none" w:sz="0" w:space="0" w:color="auto"/>
        <w:right w:val="none" w:sz="0" w:space="0" w:color="auto"/>
      </w:divBdr>
    </w:div>
    <w:div w:id="1510876579">
      <w:bodyDiv w:val="1"/>
      <w:marLeft w:val="0"/>
      <w:marRight w:val="0"/>
      <w:marTop w:val="0"/>
      <w:marBottom w:val="0"/>
      <w:divBdr>
        <w:top w:val="none" w:sz="0" w:space="0" w:color="auto"/>
        <w:left w:val="none" w:sz="0" w:space="0" w:color="auto"/>
        <w:bottom w:val="none" w:sz="0" w:space="0" w:color="auto"/>
        <w:right w:val="none" w:sz="0" w:space="0" w:color="auto"/>
      </w:divBdr>
    </w:div>
    <w:div w:id="1513835924">
      <w:bodyDiv w:val="1"/>
      <w:marLeft w:val="0"/>
      <w:marRight w:val="0"/>
      <w:marTop w:val="0"/>
      <w:marBottom w:val="0"/>
      <w:divBdr>
        <w:top w:val="none" w:sz="0" w:space="0" w:color="auto"/>
        <w:left w:val="none" w:sz="0" w:space="0" w:color="auto"/>
        <w:bottom w:val="none" w:sz="0" w:space="0" w:color="auto"/>
        <w:right w:val="none" w:sz="0" w:space="0" w:color="auto"/>
      </w:divBdr>
    </w:div>
    <w:div w:id="1514805765">
      <w:bodyDiv w:val="1"/>
      <w:marLeft w:val="0"/>
      <w:marRight w:val="0"/>
      <w:marTop w:val="0"/>
      <w:marBottom w:val="0"/>
      <w:divBdr>
        <w:top w:val="none" w:sz="0" w:space="0" w:color="auto"/>
        <w:left w:val="none" w:sz="0" w:space="0" w:color="auto"/>
        <w:bottom w:val="none" w:sz="0" w:space="0" w:color="auto"/>
        <w:right w:val="none" w:sz="0" w:space="0" w:color="auto"/>
      </w:divBdr>
    </w:div>
    <w:div w:id="1515147095">
      <w:bodyDiv w:val="1"/>
      <w:marLeft w:val="0"/>
      <w:marRight w:val="0"/>
      <w:marTop w:val="0"/>
      <w:marBottom w:val="0"/>
      <w:divBdr>
        <w:top w:val="none" w:sz="0" w:space="0" w:color="auto"/>
        <w:left w:val="none" w:sz="0" w:space="0" w:color="auto"/>
        <w:bottom w:val="none" w:sz="0" w:space="0" w:color="auto"/>
        <w:right w:val="none" w:sz="0" w:space="0" w:color="auto"/>
      </w:divBdr>
    </w:div>
    <w:div w:id="1515536539">
      <w:bodyDiv w:val="1"/>
      <w:marLeft w:val="0"/>
      <w:marRight w:val="0"/>
      <w:marTop w:val="0"/>
      <w:marBottom w:val="0"/>
      <w:divBdr>
        <w:top w:val="none" w:sz="0" w:space="0" w:color="auto"/>
        <w:left w:val="none" w:sz="0" w:space="0" w:color="auto"/>
        <w:bottom w:val="none" w:sz="0" w:space="0" w:color="auto"/>
        <w:right w:val="none" w:sz="0" w:space="0" w:color="auto"/>
      </w:divBdr>
    </w:div>
    <w:div w:id="1516455687">
      <w:bodyDiv w:val="1"/>
      <w:marLeft w:val="0"/>
      <w:marRight w:val="0"/>
      <w:marTop w:val="0"/>
      <w:marBottom w:val="0"/>
      <w:divBdr>
        <w:top w:val="none" w:sz="0" w:space="0" w:color="auto"/>
        <w:left w:val="none" w:sz="0" w:space="0" w:color="auto"/>
        <w:bottom w:val="none" w:sz="0" w:space="0" w:color="auto"/>
        <w:right w:val="none" w:sz="0" w:space="0" w:color="auto"/>
      </w:divBdr>
    </w:div>
    <w:div w:id="1517504074">
      <w:bodyDiv w:val="1"/>
      <w:marLeft w:val="0"/>
      <w:marRight w:val="0"/>
      <w:marTop w:val="0"/>
      <w:marBottom w:val="0"/>
      <w:divBdr>
        <w:top w:val="none" w:sz="0" w:space="0" w:color="auto"/>
        <w:left w:val="none" w:sz="0" w:space="0" w:color="auto"/>
        <w:bottom w:val="none" w:sz="0" w:space="0" w:color="auto"/>
        <w:right w:val="none" w:sz="0" w:space="0" w:color="auto"/>
      </w:divBdr>
    </w:div>
    <w:div w:id="1518153571">
      <w:bodyDiv w:val="1"/>
      <w:marLeft w:val="0"/>
      <w:marRight w:val="0"/>
      <w:marTop w:val="0"/>
      <w:marBottom w:val="0"/>
      <w:divBdr>
        <w:top w:val="none" w:sz="0" w:space="0" w:color="auto"/>
        <w:left w:val="none" w:sz="0" w:space="0" w:color="auto"/>
        <w:bottom w:val="none" w:sz="0" w:space="0" w:color="auto"/>
        <w:right w:val="none" w:sz="0" w:space="0" w:color="auto"/>
      </w:divBdr>
    </w:div>
    <w:div w:id="1519811684">
      <w:bodyDiv w:val="1"/>
      <w:marLeft w:val="0"/>
      <w:marRight w:val="0"/>
      <w:marTop w:val="0"/>
      <w:marBottom w:val="0"/>
      <w:divBdr>
        <w:top w:val="none" w:sz="0" w:space="0" w:color="auto"/>
        <w:left w:val="none" w:sz="0" w:space="0" w:color="auto"/>
        <w:bottom w:val="none" w:sz="0" w:space="0" w:color="auto"/>
        <w:right w:val="none" w:sz="0" w:space="0" w:color="auto"/>
      </w:divBdr>
    </w:div>
    <w:div w:id="1520969359">
      <w:bodyDiv w:val="1"/>
      <w:marLeft w:val="0"/>
      <w:marRight w:val="0"/>
      <w:marTop w:val="0"/>
      <w:marBottom w:val="0"/>
      <w:divBdr>
        <w:top w:val="none" w:sz="0" w:space="0" w:color="auto"/>
        <w:left w:val="none" w:sz="0" w:space="0" w:color="auto"/>
        <w:bottom w:val="none" w:sz="0" w:space="0" w:color="auto"/>
        <w:right w:val="none" w:sz="0" w:space="0" w:color="auto"/>
      </w:divBdr>
    </w:div>
    <w:div w:id="1521775506">
      <w:bodyDiv w:val="1"/>
      <w:marLeft w:val="0"/>
      <w:marRight w:val="0"/>
      <w:marTop w:val="0"/>
      <w:marBottom w:val="0"/>
      <w:divBdr>
        <w:top w:val="none" w:sz="0" w:space="0" w:color="auto"/>
        <w:left w:val="none" w:sz="0" w:space="0" w:color="auto"/>
        <w:bottom w:val="none" w:sz="0" w:space="0" w:color="auto"/>
        <w:right w:val="none" w:sz="0" w:space="0" w:color="auto"/>
      </w:divBdr>
    </w:div>
    <w:div w:id="1522742070">
      <w:bodyDiv w:val="1"/>
      <w:marLeft w:val="0"/>
      <w:marRight w:val="0"/>
      <w:marTop w:val="0"/>
      <w:marBottom w:val="0"/>
      <w:divBdr>
        <w:top w:val="none" w:sz="0" w:space="0" w:color="auto"/>
        <w:left w:val="none" w:sz="0" w:space="0" w:color="auto"/>
        <w:bottom w:val="none" w:sz="0" w:space="0" w:color="auto"/>
        <w:right w:val="none" w:sz="0" w:space="0" w:color="auto"/>
      </w:divBdr>
    </w:div>
    <w:div w:id="1523473352">
      <w:bodyDiv w:val="1"/>
      <w:marLeft w:val="0"/>
      <w:marRight w:val="0"/>
      <w:marTop w:val="0"/>
      <w:marBottom w:val="0"/>
      <w:divBdr>
        <w:top w:val="none" w:sz="0" w:space="0" w:color="auto"/>
        <w:left w:val="none" w:sz="0" w:space="0" w:color="auto"/>
        <w:bottom w:val="none" w:sz="0" w:space="0" w:color="auto"/>
        <w:right w:val="none" w:sz="0" w:space="0" w:color="auto"/>
      </w:divBdr>
    </w:div>
    <w:div w:id="1523859447">
      <w:bodyDiv w:val="1"/>
      <w:marLeft w:val="0"/>
      <w:marRight w:val="0"/>
      <w:marTop w:val="0"/>
      <w:marBottom w:val="0"/>
      <w:divBdr>
        <w:top w:val="none" w:sz="0" w:space="0" w:color="auto"/>
        <w:left w:val="none" w:sz="0" w:space="0" w:color="auto"/>
        <w:bottom w:val="none" w:sz="0" w:space="0" w:color="auto"/>
        <w:right w:val="none" w:sz="0" w:space="0" w:color="auto"/>
      </w:divBdr>
    </w:div>
    <w:div w:id="1525167169">
      <w:bodyDiv w:val="1"/>
      <w:marLeft w:val="0"/>
      <w:marRight w:val="0"/>
      <w:marTop w:val="0"/>
      <w:marBottom w:val="0"/>
      <w:divBdr>
        <w:top w:val="none" w:sz="0" w:space="0" w:color="auto"/>
        <w:left w:val="none" w:sz="0" w:space="0" w:color="auto"/>
        <w:bottom w:val="none" w:sz="0" w:space="0" w:color="auto"/>
        <w:right w:val="none" w:sz="0" w:space="0" w:color="auto"/>
      </w:divBdr>
    </w:div>
    <w:div w:id="1526552392">
      <w:bodyDiv w:val="1"/>
      <w:marLeft w:val="0"/>
      <w:marRight w:val="0"/>
      <w:marTop w:val="0"/>
      <w:marBottom w:val="0"/>
      <w:divBdr>
        <w:top w:val="none" w:sz="0" w:space="0" w:color="auto"/>
        <w:left w:val="none" w:sz="0" w:space="0" w:color="auto"/>
        <w:bottom w:val="none" w:sz="0" w:space="0" w:color="auto"/>
        <w:right w:val="none" w:sz="0" w:space="0" w:color="auto"/>
      </w:divBdr>
    </w:div>
    <w:div w:id="1529678439">
      <w:bodyDiv w:val="1"/>
      <w:marLeft w:val="0"/>
      <w:marRight w:val="0"/>
      <w:marTop w:val="0"/>
      <w:marBottom w:val="0"/>
      <w:divBdr>
        <w:top w:val="none" w:sz="0" w:space="0" w:color="auto"/>
        <w:left w:val="none" w:sz="0" w:space="0" w:color="auto"/>
        <w:bottom w:val="none" w:sz="0" w:space="0" w:color="auto"/>
        <w:right w:val="none" w:sz="0" w:space="0" w:color="auto"/>
      </w:divBdr>
    </w:div>
    <w:div w:id="1531410061">
      <w:bodyDiv w:val="1"/>
      <w:marLeft w:val="0"/>
      <w:marRight w:val="0"/>
      <w:marTop w:val="0"/>
      <w:marBottom w:val="0"/>
      <w:divBdr>
        <w:top w:val="none" w:sz="0" w:space="0" w:color="auto"/>
        <w:left w:val="none" w:sz="0" w:space="0" w:color="auto"/>
        <w:bottom w:val="none" w:sz="0" w:space="0" w:color="auto"/>
        <w:right w:val="none" w:sz="0" w:space="0" w:color="auto"/>
      </w:divBdr>
    </w:div>
    <w:div w:id="1531726974">
      <w:bodyDiv w:val="1"/>
      <w:marLeft w:val="0"/>
      <w:marRight w:val="0"/>
      <w:marTop w:val="0"/>
      <w:marBottom w:val="0"/>
      <w:divBdr>
        <w:top w:val="none" w:sz="0" w:space="0" w:color="auto"/>
        <w:left w:val="none" w:sz="0" w:space="0" w:color="auto"/>
        <w:bottom w:val="none" w:sz="0" w:space="0" w:color="auto"/>
        <w:right w:val="none" w:sz="0" w:space="0" w:color="auto"/>
      </w:divBdr>
    </w:div>
    <w:div w:id="1532301356">
      <w:bodyDiv w:val="1"/>
      <w:marLeft w:val="0"/>
      <w:marRight w:val="0"/>
      <w:marTop w:val="0"/>
      <w:marBottom w:val="0"/>
      <w:divBdr>
        <w:top w:val="none" w:sz="0" w:space="0" w:color="auto"/>
        <w:left w:val="none" w:sz="0" w:space="0" w:color="auto"/>
        <w:bottom w:val="none" w:sz="0" w:space="0" w:color="auto"/>
        <w:right w:val="none" w:sz="0" w:space="0" w:color="auto"/>
      </w:divBdr>
    </w:div>
    <w:div w:id="1532765429">
      <w:bodyDiv w:val="1"/>
      <w:marLeft w:val="0"/>
      <w:marRight w:val="0"/>
      <w:marTop w:val="0"/>
      <w:marBottom w:val="0"/>
      <w:divBdr>
        <w:top w:val="none" w:sz="0" w:space="0" w:color="auto"/>
        <w:left w:val="none" w:sz="0" w:space="0" w:color="auto"/>
        <w:bottom w:val="none" w:sz="0" w:space="0" w:color="auto"/>
        <w:right w:val="none" w:sz="0" w:space="0" w:color="auto"/>
      </w:divBdr>
    </w:div>
    <w:div w:id="1535383912">
      <w:bodyDiv w:val="1"/>
      <w:marLeft w:val="0"/>
      <w:marRight w:val="0"/>
      <w:marTop w:val="0"/>
      <w:marBottom w:val="0"/>
      <w:divBdr>
        <w:top w:val="none" w:sz="0" w:space="0" w:color="auto"/>
        <w:left w:val="none" w:sz="0" w:space="0" w:color="auto"/>
        <w:bottom w:val="none" w:sz="0" w:space="0" w:color="auto"/>
        <w:right w:val="none" w:sz="0" w:space="0" w:color="auto"/>
      </w:divBdr>
    </w:div>
    <w:div w:id="1537158112">
      <w:bodyDiv w:val="1"/>
      <w:marLeft w:val="0"/>
      <w:marRight w:val="0"/>
      <w:marTop w:val="0"/>
      <w:marBottom w:val="0"/>
      <w:divBdr>
        <w:top w:val="none" w:sz="0" w:space="0" w:color="auto"/>
        <w:left w:val="none" w:sz="0" w:space="0" w:color="auto"/>
        <w:bottom w:val="none" w:sz="0" w:space="0" w:color="auto"/>
        <w:right w:val="none" w:sz="0" w:space="0" w:color="auto"/>
      </w:divBdr>
    </w:div>
    <w:div w:id="1538852790">
      <w:bodyDiv w:val="1"/>
      <w:marLeft w:val="0"/>
      <w:marRight w:val="0"/>
      <w:marTop w:val="0"/>
      <w:marBottom w:val="0"/>
      <w:divBdr>
        <w:top w:val="none" w:sz="0" w:space="0" w:color="auto"/>
        <w:left w:val="none" w:sz="0" w:space="0" w:color="auto"/>
        <w:bottom w:val="none" w:sz="0" w:space="0" w:color="auto"/>
        <w:right w:val="none" w:sz="0" w:space="0" w:color="auto"/>
      </w:divBdr>
    </w:div>
    <w:div w:id="1539198176">
      <w:bodyDiv w:val="1"/>
      <w:marLeft w:val="0"/>
      <w:marRight w:val="0"/>
      <w:marTop w:val="0"/>
      <w:marBottom w:val="0"/>
      <w:divBdr>
        <w:top w:val="none" w:sz="0" w:space="0" w:color="auto"/>
        <w:left w:val="none" w:sz="0" w:space="0" w:color="auto"/>
        <w:bottom w:val="none" w:sz="0" w:space="0" w:color="auto"/>
        <w:right w:val="none" w:sz="0" w:space="0" w:color="auto"/>
      </w:divBdr>
    </w:div>
    <w:div w:id="1539657159">
      <w:bodyDiv w:val="1"/>
      <w:marLeft w:val="0"/>
      <w:marRight w:val="0"/>
      <w:marTop w:val="0"/>
      <w:marBottom w:val="0"/>
      <w:divBdr>
        <w:top w:val="none" w:sz="0" w:space="0" w:color="auto"/>
        <w:left w:val="none" w:sz="0" w:space="0" w:color="auto"/>
        <w:bottom w:val="none" w:sz="0" w:space="0" w:color="auto"/>
        <w:right w:val="none" w:sz="0" w:space="0" w:color="auto"/>
      </w:divBdr>
    </w:div>
    <w:div w:id="1540975370">
      <w:bodyDiv w:val="1"/>
      <w:marLeft w:val="0"/>
      <w:marRight w:val="0"/>
      <w:marTop w:val="0"/>
      <w:marBottom w:val="0"/>
      <w:divBdr>
        <w:top w:val="none" w:sz="0" w:space="0" w:color="auto"/>
        <w:left w:val="none" w:sz="0" w:space="0" w:color="auto"/>
        <w:bottom w:val="none" w:sz="0" w:space="0" w:color="auto"/>
        <w:right w:val="none" w:sz="0" w:space="0" w:color="auto"/>
      </w:divBdr>
    </w:div>
    <w:div w:id="1542009005">
      <w:bodyDiv w:val="1"/>
      <w:marLeft w:val="0"/>
      <w:marRight w:val="0"/>
      <w:marTop w:val="0"/>
      <w:marBottom w:val="0"/>
      <w:divBdr>
        <w:top w:val="none" w:sz="0" w:space="0" w:color="auto"/>
        <w:left w:val="none" w:sz="0" w:space="0" w:color="auto"/>
        <w:bottom w:val="none" w:sz="0" w:space="0" w:color="auto"/>
        <w:right w:val="none" w:sz="0" w:space="0" w:color="auto"/>
      </w:divBdr>
    </w:div>
    <w:div w:id="1542278029">
      <w:bodyDiv w:val="1"/>
      <w:marLeft w:val="0"/>
      <w:marRight w:val="0"/>
      <w:marTop w:val="0"/>
      <w:marBottom w:val="0"/>
      <w:divBdr>
        <w:top w:val="none" w:sz="0" w:space="0" w:color="auto"/>
        <w:left w:val="none" w:sz="0" w:space="0" w:color="auto"/>
        <w:bottom w:val="none" w:sz="0" w:space="0" w:color="auto"/>
        <w:right w:val="none" w:sz="0" w:space="0" w:color="auto"/>
      </w:divBdr>
    </w:div>
    <w:div w:id="1543979686">
      <w:bodyDiv w:val="1"/>
      <w:marLeft w:val="0"/>
      <w:marRight w:val="0"/>
      <w:marTop w:val="0"/>
      <w:marBottom w:val="0"/>
      <w:divBdr>
        <w:top w:val="none" w:sz="0" w:space="0" w:color="auto"/>
        <w:left w:val="none" w:sz="0" w:space="0" w:color="auto"/>
        <w:bottom w:val="none" w:sz="0" w:space="0" w:color="auto"/>
        <w:right w:val="none" w:sz="0" w:space="0" w:color="auto"/>
      </w:divBdr>
    </w:div>
    <w:div w:id="1544100559">
      <w:bodyDiv w:val="1"/>
      <w:marLeft w:val="0"/>
      <w:marRight w:val="0"/>
      <w:marTop w:val="0"/>
      <w:marBottom w:val="0"/>
      <w:divBdr>
        <w:top w:val="none" w:sz="0" w:space="0" w:color="auto"/>
        <w:left w:val="none" w:sz="0" w:space="0" w:color="auto"/>
        <w:bottom w:val="none" w:sz="0" w:space="0" w:color="auto"/>
        <w:right w:val="none" w:sz="0" w:space="0" w:color="auto"/>
      </w:divBdr>
    </w:div>
    <w:div w:id="1546061759">
      <w:bodyDiv w:val="1"/>
      <w:marLeft w:val="0"/>
      <w:marRight w:val="0"/>
      <w:marTop w:val="0"/>
      <w:marBottom w:val="0"/>
      <w:divBdr>
        <w:top w:val="none" w:sz="0" w:space="0" w:color="auto"/>
        <w:left w:val="none" w:sz="0" w:space="0" w:color="auto"/>
        <w:bottom w:val="none" w:sz="0" w:space="0" w:color="auto"/>
        <w:right w:val="none" w:sz="0" w:space="0" w:color="auto"/>
      </w:divBdr>
    </w:div>
    <w:div w:id="1547906751">
      <w:bodyDiv w:val="1"/>
      <w:marLeft w:val="0"/>
      <w:marRight w:val="0"/>
      <w:marTop w:val="0"/>
      <w:marBottom w:val="0"/>
      <w:divBdr>
        <w:top w:val="none" w:sz="0" w:space="0" w:color="auto"/>
        <w:left w:val="none" w:sz="0" w:space="0" w:color="auto"/>
        <w:bottom w:val="none" w:sz="0" w:space="0" w:color="auto"/>
        <w:right w:val="none" w:sz="0" w:space="0" w:color="auto"/>
      </w:divBdr>
    </w:div>
    <w:div w:id="1549031537">
      <w:bodyDiv w:val="1"/>
      <w:marLeft w:val="0"/>
      <w:marRight w:val="0"/>
      <w:marTop w:val="0"/>
      <w:marBottom w:val="0"/>
      <w:divBdr>
        <w:top w:val="none" w:sz="0" w:space="0" w:color="auto"/>
        <w:left w:val="none" w:sz="0" w:space="0" w:color="auto"/>
        <w:bottom w:val="none" w:sz="0" w:space="0" w:color="auto"/>
        <w:right w:val="none" w:sz="0" w:space="0" w:color="auto"/>
      </w:divBdr>
    </w:div>
    <w:div w:id="1549300395">
      <w:bodyDiv w:val="1"/>
      <w:marLeft w:val="0"/>
      <w:marRight w:val="0"/>
      <w:marTop w:val="0"/>
      <w:marBottom w:val="0"/>
      <w:divBdr>
        <w:top w:val="none" w:sz="0" w:space="0" w:color="auto"/>
        <w:left w:val="none" w:sz="0" w:space="0" w:color="auto"/>
        <w:bottom w:val="none" w:sz="0" w:space="0" w:color="auto"/>
        <w:right w:val="none" w:sz="0" w:space="0" w:color="auto"/>
      </w:divBdr>
    </w:div>
    <w:div w:id="1550147846">
      <w:bodyDiv w:val="1"/>
      <w:marLeft w:val="0"/>
      <w:marRight w:val="0"/>
      <w:marTop w:val="0"/>
      <w:marBottom w:val="0"/>
      <w:divBdr>
        <w:top w:val="none" w:sz="0" w:space="0" w:color="auto"/>
        <w:left w:val="none" w:sz="0" w:space="0" w:color="auto"/>
        <w:bottom w:val="none" w:sz="0" w:space="0" w:color="auto"/>
        <w:right w:val="none" w:sz="0" w:space="0" w:color="auto"/>
      </w:divBdr>
    </w:div>
    <w:div w:id="1551765041">
      <w:bodyDiv w:val="1"/>
      <w:marLeft w:val="0"/>
      <w:marRight w:val="0"/>
      <w:marTop w:val="0"/>
      <w:marBottom w:val="0"/>
      <w:divBdr>
        <w:top w:val="none" w:sz="0" w:space="0" w:color="auto"/>
        <w:left w:val="none" w:sz="0" w:space="0" w:color="auto"/>
        <w:bottom w:val="none" w:sz="0" w:space="0" w:color="auto"/>
        <w:right w:val="none" w:sz="0" w:space="0" w:color="auto"/>
      </w:divBdr>
    </w:div>
    <w:div w:id="1553806623">
      <w:bodyDiv w:val="1"/>
      <w:marLeft w:val="0"/>
      <w:marRight w:val="0"/>
      <w:marTop w:val="0"/>
      <w:marBottom w:val="0"/>
      <w:divBdr>
        <w:top w:val="none" w:sz="0" w:space="0" w:color="auto"/>
        <w:left w:val="none" w:sz="0" w:space="0" w:color="auto"/>
        <w:bottom w:val="none" w:sz="0" w:space="0" w:color="auto"/>
        <w:right w:val="none" w:sz="0" w:space="0" w:color="auto"/>
      </w:divBdr>
    </w:div>
    <w:div w:id="1554466918">
      <w:bodyDiv w:val="1"/>
      <w:marLeft w:val="0"/>
      <w:marRight w:val="0"/>
      <w:marTop w:val="0"/>
      <w:marBottom w:val="0"/>
      <w:divBdr>
        <w:top w:val="none" w:sz="0" w:space="0" w:color="auto"/>
        <w:left w:val="none" w:sz="0" w:space="0" w:color="auto"/>
        <w:bottom w:val="none" w:sz="0" w:space="0" w:color="auto"/>
        <w:right w:val="none" w:sz="0" w:space="0" w:color="auto"/>
      </w:divBdr>
    </w:div>
    <w:div w:id="1555891279">
      <w:bodyDiv w:val="1"/>
      <w:marLeft w:val="0"/>
      <w:marRight w:val="0"/>
      <w:marTop w:val="0"/>
      <w:marBottom w:val="0"/>
      <w:divBdr>
        <w:top w:val="none" w:sz="0" w:space="0" w:color="auto"/>
        <w:left w:val="none" w:sz="0" w:space="0" w:color="auto"/>
        <w:bottom w:val="none" w:sz="0" w:space="0" w:color="auto"/>
        <w:right w:val="none" w:sz="0" w:space="0" w:color="auto"/>
      </w:divBdr>
    </w:div>
    <w:div w:id="1556964981">
      <w:bodyDiv w:val="1"/>
      <w:marLeft w:val="0"/>
      <w:marRight w:val="0"/>
      <w:marTop w:val="0"/>
      <w:marBottom w:val="0"/>
      <w:divBdr>
        <w:top w:val="none" w:sz="0" w:space="0" w:color="auto"/>
        <w:left w:val="none" w:sz="0" w:space="0" w:color="auto"/>
        <w:bottom w:val="none" w:sz="0" w:space="0" w:color="auto"/>
        <w:right w:val="none" w:sz="0" w:space="0" w:color="auto"/>
      </w:divBdr>
    </w:div>
    <w:div w:id="1557010320">
      <w:bodyDiv w:val="1"/>
      <w:marLeft w:val="0"/>
      <w:marRight w:val="0"/>
      <w:marTop w:val="0"/>
      <w:marBottom w:val="0"/>
      <w:divBdr>
        <w:top w:val="none" w:sz="0" w:space="0" w:color="auto"/>
        <w:left w:val="none" w:sz="0" w:space="0" w:color="auto"/>
        <w:bottom w:val="none" w:sz="0" w:space="0" w:color="auto"/>
        <w:right w:val="none" w:sz="0" w:space="0" w:color="auto"/>
      </w:divBdr>
    </w:div>
    <w:div w:id="1558006443">
      <w:bodyDiv w:val="1"/>
      <w:marLeft w:val="0"/>
      <w:marRight w:val="0"/>
      <w:marTop w:val="0"/>
      <w:marBottom w:val="0"/>
      <w:divBdr>
        <w:top w:val="none" w:sz="0" w:space="0" w:color="auto"/>
        <w:left w:val="none" w:sz="0" w:space="0" w:color="auto"/>
        <w:bottom w:val="none" w:sz="0" w:space="0" w:color="auto"/>
        <w:right w:val="none" w:sz="0" w:space="0" w:color="auto"/>
      </w:divBdr>
    </w:div>
    <w:div w:id="1558127270">
      <w:bodyDiv w:val="1"/>
      <w:marLeft w:val="0"/>
      <w:marRight w:val="0"/>
      <w:marTop w:val="0"/>
      <w:marBottom w:val="0"/>
      <w:divBdr>
        <w:top w:val="none" w:sz="0" w:space="0" w:color="auto"/>
        <w:left w:val="none" w:sz="0" w:space="0" w:color="auto"/>
        <w:bottom w:val="none" w:sz="0" w:space="0" w:color="auto"/>
        <w:right w:val="none" w:sz="0" w:space="0" w:color="auto"/>
      </w:divBdr>
    </w:div>
    <w:div w:id="1558325046">
      <w:bodyDiv w:val="1"/>
      <w:marLeft w:val="0"/>
      <w:marRight w:val="0"/>
      <w:marTop w:val="0"/>
      <w:marBottom w:val="0"/>
      <w:divBdr>
        <w:top w:val="none" w:sz="0" w:space="0" w:color="auto"/>
        <w:left w:val="none" w:sz="0" w:space="0" w:color="auto"/>
        <w:bottom w:val="none" w:sz="0" w:space="0" w:color="auto"/>
        <w:right w:val="none" w:sz="0" w:space="0" w:color="auto"/>
      </w:divBdr>
    </w:div>
    <w:div w:id="1558468509">
      <w:bodyDiv w:val="1"/>
      <w:marLeft w:val="0"/>
      <w:marRight w:val="0"/>
      <w:marTop w:val="0"/>
      <w:marBottom w:val="0"/>
      <w:divBdr>
        <w:top w:val="none" w:sz="0" w:space="0" w:color="auto"/>
        <w:left w:val="none" w:sz="0" w:space="0" w:color="auto"/>
        <w:bottom w:val="none" w:sz="0" w:space="0" w:color="auto"/>
        <w:right w:val="none" w:sz="0" w:space="0" w:color="auto"/>
      </w:divBdr>
    </w:div>
    <w:div w:id="1560051074">
      <w:bodyDiv w:val="1"/>
      <w:marLeft w:val="0"/>
      <w:marRight w:val="0"/>
      <w:marTop w:val="0"/>
      <w:marBottom w:val="0"/>
      <w:divBdr>
        <w:top w:val="none" w:sz="0" w:space="0" w:color="auto"/>
        <w:left w:val="none" w:sz="0" w:space="0" w:color="auto"/>
        <w:bottom w:val="none" w:sz="0" w:space="0" w:color="auto"/>
        <w:right w:val="none" w:sz="0" w:space="0" w:color="auto"/>
      </w:divBdr>
    </w:div>
    <w:div w:id="1561552809">
      <w:bodyDiv w:val="1"/>
      <w:marLeft w:val="0"/>
      <w:marRight w:val="0"/>
      <w:marTop w:val="0"/>
      <w:marBottom w:val="0"/>
      <w:divBdr>
        <w:top w:val="none" w:sz="0" w:space="0" w:color="auto"/>
        <w:left w:val="none" w:sz="0" w:space="0" w:color="auto"/>
        <w:bottom w:val="none" w:sz="0" w:space="0" w:color="auto"/>
        <w:right w:val="none" w:sz="0" w:space="0" w:color="auto"/>
      </w:divBdr>
    </w:div>
    <w:div w:id="1562449671">
      <w:bodyDiv w:val="1"/>
      <w:marLeft w:val="0"/>
      <w:marRight w:val="0"/>
      <w:marTop w:val="0"/>
      <w:marBottom w:val="0"/>
      <w:divBdr>
        <w:top w:val="none" w:sz="0" w:space="0" w:color="auto"/>
        <w:left w:val="none" w:sz="0" w:space="0" w:color="auto"/>
        <w:bottom w:val="none" w:sz="0" w:space="0" w:color="auto"/>
        <w:right w:val="none" w:sz="0" w:space="0" w:color="auto"/>
      </w:divBdr>
    </w:div>
    <w:div w:id="1563444859">
      <w:bodyDiv w:val="1"/>
      <w:marLeft w:val="0"/>
      <w:marRight w:val="0"/>
      <w:marTop w:val="0"/>
      <w:marBottom w:val="0"/>
      <w:divBdr>
        <w:top w:val="none" w:sz="0" w:space="0" w:color="auto"/>
        <w:left w:val="none" w:sz="0" w:space="0" w:color="auto"/>
        <w:bottom w:val="none" w:sz="0" w:space="0" w:color="auto"/>
        <w:right w:val="none" w:sz="0" w:space="0" w:color="auto"/>
      </w:divBdr>
    </w:div>
    <w:div w:id="1566380738">
      <w:bodyDiv w:val="1"/>
      <w:marLeft w:val="0"/>
      <w:marRight w:val="0"/>
      <w:marTop w:val="0"/>
      <w:marBottom w:val="0"/>
      <w:divBdr>
        <w:top w:val="none" w:sz="0" w:space="0" w:color="auto"/>
        <w:left w:val="none" w:sz="0" w:space="0" w:color="auto"/>
        <w:bottom w:val="none" w:sz="0" w:space="0" w:color="auto"/>
        <w:right w:val="none" w:sz="0" w:space="0" w:color="auto"/>
      </w:divBdr>
    </w:div>
    <w:div w:id="1566525904">
      <w:bodyDiv w:val="1"/>
      <w:marLeft w:val="0"/>
      <w:marRight w:val="0"/>
      <w:marTop w:val="0"/>
      <w:marBottom w:val="0"/>
      <w:divBdr>
        <w:top w:val="none" w:sz="0" w:space="0" w:color="auto"/>
        <w:left w:val="none" w:sz="0" w:space="0" w:color="auto"/>
        <w:bottom w:val="none" w:sz="0" w:space="0" w:color="auto"/>
        <w:right w:val="none" w:sz="0" w:space="0" w:color="auto"/>
      </w:divBdr>
    </w:div>
    <w:div w:id="1567062972">
      <w:bodyDiv w:val="1"/>
      <w:marLeft w:val="0"/>
      <w:marRight w:val="0"/>
      <w:marTop w:val="0"/>
      <w:marBottom w:val="0"/>
      <w:divBdr>
        <w:top w:val="none" w:sz="0" w:space="0" w:color="auto"/>
        <w:left w:val="none" w:sz="0" w:space="0" w:color="auto"/>
        <w:bottom w:val="none" w:sz="0" w:space="0" w:color="auto"/>
        <w:right w:val="none" w:sz="0" w:space="0" w:color="auto"/>
      </w:divBdr>
    </w:div>
    <w:div w:id="1567108924">
      <w:bodyDiv w:val="1"/>
      <w:marLeft w:val="0"/>
      <w:marRight w:val="0"/>
      <w:marTop w:val="0"/>
      <w:marBottom w:val="0"/>
      <w:divBdr>
        <w:top w:val="none" w:sz="0" w:space="0" w:color="auto"/>
        <w:left w:val="none" w:sz="0" w:space="0" w:color="auto"/>
        <w:bottom w:val="none" w:sz="0" w:space="0" w:color="auto"/>
        <w:right w:val="none" w:sz="0" w:space="0" w:color="auto"/>
      </w:divBdr>
    </w:div>
    <w:div w:id="1569459373">
      <w:bodyDiv w:val="1"/>
      <w:marLeft w:val="0"/>
      <w:marRight w:val="0"/>
      <w:marTop w:val="0"/>
      <w:marBottom w:val="0"/>
      <w:divBdr>
        <w:top w:val="none" w:sz="0" w:space="0" w:color="auto"/>
        <w:left w:val="none" w:sz="0" w:space="0" w:color="auto"/>
        <w:bottom w:val="none" w:sz="0" w:space="0" w:color="auto"/>
        <w:right w:val="none" w:sz="0" w:space="0" w:color="auto"/>
      </w:divBdr>
    </w:div>
    <w:div w:id="1570339628">
      <w:bodyDiv w:val="1"/>
      <w:marLeft w:val="0"/>
      <w:marRight w:val="0"/>
      <w:marTop w:val="0"/>
      <w:marBottom w:val="0"/>
      <w:divBdr>
        <w:top w:val="none" w:sz="0" w:space="0" w:color="auto"/>
        <w:left w:val="none" w:sz="0" w:space="0" w:color="auto"/>
        <w:bottom w:val="none" w:sz="0" w:space="0" w:color="auto"/>
        <w:right w:val="none" w:sz="0" w:space="0" w:color="auto"/>
      </w:divBdr>
    </w:div>
    <w:div w:id="1570533116">
      <w:bodyDiv w:val="1"/>
      <w:marLeft w:val="0"/>
      <w:marRight w:val="0"/>
      <w:marTop w:val="0"/>
      <w:marBottom w:val="0"/>
      <w:divBdr>
        <w:top w:val="none" w:sz="0" w:space="0" w:color="auto"/>
        <w:left w:val="none" w:sz="0" w:space="0" w:color="auto"/>
        <w:bottom w:val="none" w:sz="0" w:space="0" w:color="auto"/>
        <w:right w:val="none" w:sz="0" w:space="0" w:color="auto"/>
      </w:divBdr>
    </w:div>
    <w:div w:id="1570724477">
      <w:bodyDiv w:val="1"/>
      <w:marLeft w:val="0"/>
      <w:marRight w:val="0"/>
      <w:marTop w:val="0"/>
      <w:marBottom w:val="0"/>
      <w:divBdr>
        <w:top w:val="none" w:sz="0" w:space="0" w:color="auto"/>
        <w:left w:val="none" w:sz="0" w:space="0" w:color="auto"/>
        <w:bottom w:val="none" w:sz="0" w:space="0" w:color="auto"/>
        <w:right w:val="none" w:sz="0" w:space="0" w:color="auto"/>
      </w:divBdr>
    </w:div>
    <w:div w:id="1570772183">
      <w:bodyDiv w:val="1"/>
      <w:marLeft w:val="0"/>
      <w:marRight w:val="0"/>
      <w:marTop w:val="0"/>
      <w:marBottom w:val="0"/>
      <w:divBdr>
        <w:top w:val="none" w:sz="0" w:space="0" w:color="auto"/>
        <w:left w:val="none" w:sz="0" w:space="0" w:color="auto"/>
        <w:bottom w:val="none" w:sz="0" w:space="0" w:color="auto"/>
        <w:right w:val="none" w:sz="0" w:space="0" w:color="auto"/>
      </w:divBdr>
    </w:div>
    <w:div w:id="1574437317">
      <w:bodyDiv w:val="1"/>
      <w:marLeft w:val="0"/>
      <w:marRight w:val="0"/>
      <w:marTop w:val="0"/>
      <w:marBottom w:val="0"/>
      <w:divBdr>
        <w:top w:val="none" w:sz="0" w:space="0" w:color="auto"/>
        <w:left w:val="none" w:sz="0" w:space="0" w:color="auto"/>
        <w:bottom w:val="none" w:sz="0" w:space="0" w:color="auto"/>
        <w:right w:val="none" w:sz="0" w:space="0" w:color="auto"/>
      </w:divBdr>
    </w:div>
    <w:div w:id="1574731773">
      <w:bodyDiv w:val="1"/>
      <w:marLeft w:val="0"/>
      <w:marRight w:val="0"/>
      <w:marTop w:val="0"/>
      <w:marBottom w:val="0"/>
      <w:divBdr>
        <w:top w:val="none" w:sz="0" w:space="0" w:color="auto"/>
        <w:left w:val="none" w:sz="0" w:space="0" w:color="auto"/>
        <w:bottom w:val="none" w:sz="0" w:space="0" w:color="auto"/>
        <w:right w:val="none" w:sz="0" w:space="0" w:color="auto"/>
      </w:divBdr>
    </w:div>
    <w:div w:id="1575243581">
      <w:bodyDiv w:val="1"/>
      <w:marLeft w:val="0"/>
      <w:marRight w:val="0"/>
      <w:marTop w:val="0"/>
      <w:marBottom w:val="0"/>
      <w:divBdr>
        <w:top w:val="none" w:sz="0" w:space="0" w:color="auto"/>
        <w:left w:val="none" w:sz="0" w:space="0" w:color="auto"/>
        <w:bottom w:val="none" w:sz="0" w:space="0" w:color="auto"/>
        <w:right w:val="none" w:sz="0" w:space="0" w:color="auto"/>
      </w:divBdr>
    </w:div>
    <w:div w:id="1575706023">
      <w:bodyDiv w:val="1"/>
      <w:marLeft w:val="0"/>
      <w:marRight w:val="0"/>
      <w:marTop w:val="0"/>
      <w:marBottom w:val="0"/>
      <w:divBdr>
        <w:top w:val="none" w:sz="0" w:space="0" w:color="auto"/>
        <w:left w:val="none" w:sz="0" w:space="0" w:color="auto"/>
        <w:bottom w:val="none" w:sz="0" w:space="0" w:color="auto"/>
        <w:right w:val="none" w:sz="0" w:space="0" w:color="auto"/>
      </w:divBdr>
    </w:div>
    <w:div w:id="1576086166">
      <w:bodyDiv w:val="1"/>
      <w:marLeft w:val="0"/>
      <w:marRight w:val="0"/>
      <w:marTop w:val="0"/>
      <w:marBottom w:val="0"/>
      <w:divBdr>
        <w:top w:val="none" w:sz="0" w:space="0" w:color="auto"/>
        <w:left w:val="none" w:sz="0" w:space="0" w:color="auto"/>
        <w:bottom w:val="none" w:sz="0" w:space="0" w:color="auto"/>
        <w:right w:val="none" w:sz="0" w:space="0" w:color="auto"/>
      </w:divBdr>
    </w:div>
    <w:div w:id="1576741738">
      <w:bodyDiv w:val="1"/>
      <w:marLeft w:val="0"/>
      <w:marRight w:val="0"/>
      <w:marTop w:val="0"/>
      <w:marBottom w:val="0"/>
      <w:divBdr>
        <w:top w:val="none" w:sz="0" w:space="0" w:color="auto"/>
        <w:left w:val="none" w:sz="0" w:space="0" w:color="auto"/>
        <w:bottom w:val="none" w:sz="0" w:space="0" w:color="auto"/>
        <w:right w:val="none" w:sz="0" w:space="0" w:color="auto"/>
      </w:divBdr>
    </w:div>
    <w:div w:id="1578058098">
      <w:bodyDiv w:val="1"/>
      <w:marLeft w:val="0"/>
      <w:marRight w:val="0"/>
      <w:marTop w:val="0"/>
      <w:marBottom w:val="0"/>
      <w:divBdr>
        <w:top w:val="none" w:sz="0" w:space="0" w:color="auto"/>
        <w:left w:val="none" w:sz="0" w:space="0" w:color="auto"/>
        <w:bottom w:val="none" w:sz="0" w:space="0" w:color="auto"/>
        <w:right w:val="none" w:sz="0" w:space="0" w:color="auto"/>
      </w:divBdr>
    </w:div>
    <w:div w:id="1578710027">
      <w:bodyDiv w:val="1"/>
      <w:marLeft w:val="0"/>
      <w:marRight w:val="0"/>
      <w:marTop w:val="0"/>
      <w:marBottom w:val="0"/>
      <w:divBdr>
        <w:top w:val="none" w:sz="0" w:space="0" w:color="auto"/>
        <w:left w:val="none" w:sz="0" w:space="0" w:color="auto"/>
        <w:bottom w:val="none" w:sz="0" w:space="0" w:color="auto"/>
        <w:right w:val="none" w:sz="0" w:space="0" w:color="auto"/>
      </w:divBdr>
    </w:div>
    <w:div w:id="1579443274">
      <w:bodyDiv w:val="1"/>
      <w:marLeft w:val="0"/>
      <w:marRight w:val="0"/>
      <w:marTop w:val="0"/>
      <w:marBottom w:val="0"/>
      <w:divBdr>
        <w:top w:val="none" w:sz="0" w:space="0" w:color="auto"/>
        <w:left w:val="none" w:sz="0" w:space="0" w:color="auto"/>
        <w:bottom w:val="none" w:sz="0" w:space="0" w:color="auto"/>
        <w:right w:val="none" w:sz="0" w:space="0" w:color="auto"/>
      </w:divBdr>
    </w:div>
    <w:div w:id="1581014940">
      <w:bodyDiv w:val="1"/>
      <w:marLeft w:val="0"/>
      <w:marRight w:val="0"/>
      <w:marTop w:val="0"/>
      <w:marBottom w:val="0"/>
      <w:divBdr>
        <w:top w:val="none" w:sz="0" w:space="0" w:color="auto"/>
        <w:left w:val="none" w:sz="0" w:space="0" w:color="auto"/>
        <w:bottom w:val="none" w:sz="0" w:space="0" w:color="auto"/>
        <w:right w:val="none" w:sz="0" w:space="0" w:color="auto"/>
      </w:divBdr>
    </w:div>
    <w:div w:id="1582789233">
      <w:bodyDiv w:val="1"/>
      <w:marLeft w:val="0"/>
      <w:marRight w:val="0"/>
      <w:marTop w:val="0"/>
      <w:marBottom w:val="0"/>
      <w:divBdr>
        <w:top w:val="none" w:sz="0" w:space="0" w:color="auto"/>
        <w:left w:val="none" w:sz="0" w:space="0" w:color="auto"/>
        <w:bottom w:val="none" w:sz="0" w:space="0" w:color="auto"/>
        <w:right w:val="none" w:sz="0" w:space="0" w:color="auto"/>
      </w:divBdr>
    </w:div>
    <w:div w:id="1583105818">
      <w:bodyDiv w:val="1"/>
      <w:marLeft w:val="0"/>
      <w:marRight w:val="0"/>
      <w:marTop w:val="0"/>
      <w:marBottom w:val="0"/>
      <w:divBdr>
        <w:top w:val="none" w:sz="0" w:space="0" w:color="auto"/>
        <w:left w:val="none" w:sz="0" w:space="0" w:color="auto"/>
        <w:bottom w:val="none" w:sz="0" w:space="0" w:color="auto"/>
        <w:right w:val="none" w:sz="0" w:space="0" w:color="auto"/>
      </w:divBdr>
    </w:div>
    <w:div w:id="1584030044">
      <w:bodyDiv w:val="1"/>
      <w:marLeft w:val="0"/>
      <w:marRight w:val="0"/>
      <w:marTop w:val="0"/>
      <w:marBottom w:val="0"/>
      <w:divBdr>
        <w:top w:val="none" w:sz="0" w:space="0" w:color="auto"/>
        <w:left w:val="none" w:sz="0" w:space="0" w:color="auto"/>
        <w:bottom w:val="none" w:sz="0" w:space="0" w:color="auto"/>
        <w:right w:val="none" w:sz="0" w:space="0" w:color="auto"/>
      </w:divBdr>
    </w:div>
    <w:div w:id="1584487141">
      <w:bodyDiv w:val="1"/>
      <w:marLeft w:val="0"/>
      <w:marRight w:val="0"/>
      <w:marTop w:val="0"/>
      <w:marBottom w:val="0"/>
      <w:divBdr>
        <w:top w:val="none" w:sz="0" w:space="0" w:color="auto"/>
        <w:left w:val="none" w:sz="0" w:space="0" w:color="auto"/>
        <w:bottom w:val="none" w:sz="0" w:space="0" w:color="auto"/>
        <w:right w:val="none" w:sz="0" w:space="0" w:color="auto"/>
      </w:divBdr>
    </w:div>
    <w:div w:id="1586963317">
      <w:bodyDiv w:val="1"/>
      <w:marLeft w:val="0"/>
      <w:marRight w:val="0"/>
      <w:marTop w:val="0"/>
      <w:marBottom w:val="0"/>
      <w:divBdr>
        <w:top w:val="none" w:sz="0" w:space="0" w:color="auto"/>
        <w:left w:val="none" w:sz="0" w:space="0" w:color="auto"/>
        <w:bottom w:val="none" w:sz="0" w:space="0" w:color="auto"/>
        <w:right w:val="none" w:sz="0" w:space="0" w:color="auto"/>
      </w:divBdr>
    </w:div>
    <w:div w:id="1587569148">
      <w:bodyDiv w:val="1"/>
      <w:marLeft w:val="0"/>
      <w:marRight w:val="0"/>
      <w:marTop w:val="0"/>
      <w:marBottom w:val="0"/>
      <w:divBdr>
        <w:top w:val="none" w:sz="0" w:space="0" w:color="auto"/>
        <w:left w:val="none" w:sz="0" w:space="0" w:color="auto"/>
        <w:bottom w:val="none" w:sz="0" w:space="0" w:color="auto"/>
        <w:right w:val="none" w:sz="0" w:space="0" w:color="auto"/>
      </w:divBdr>
    </w:div>
    <w:div w:id="1587959990">
      <w:bodyDiv w:val="1"/>
      <w:marLeft w:val="0"/>
      <w:marRight w:val="0"/>
      <w:marTop w:val="0"/>
      <w:marBottom w:val="0"/>
      <w:divBdr>
        <w:top w:val="none" w:sz="0" w:space="0" w:color="auto"/>
        <w:left w:val="none" w:sz="0" w:space="0" w:color="auto"/>
        <w:bottom w:val="none" w:sz="0" w:space="0" w:color="auto"/>
        <w:right w:val="none" w:sz="0" w:space="0" w:color="auto"/>
      </w:divBdr>
    </w:div>
    <w:div w:id="1588415142">
      <w:bodyDiv w:val="1"/>
      <w:marLeft w:val="0"/>
      <w:marRight w:val="0"/>
      <w:marTop w:val="0"/>
      <w:marBottom w:val="0"/>
      <w:divBdr>
        <w:top w:val="none" w:sz="0" w:space="0" w:color="auto"/>
        <w:left w:val="none" w:sz="0" w:space="0" w:color="auto"/>
        <w:bottom w:val="none" w:sz="0" w:space="0" w:color="auto"/>
        <w:right w:val="none" w:sz="0" w:space="0" w:color="auto"/>
      </w:divBdr>
    </w:div>
    <w:div w:id="1590775117">
      <w:bodyDiv w:val="1"/>
      <w:marLeft w:val="0"/>
      <w:marRight w:val="0"/>
      <w:marTop w:val="0"/>
      <w:marBottom w:val="0"/>
      <w:divBdr>
        <w:top w:val="none" w:sz="0" w:space="0" w:color="auto"/>
        <w:left w:val="none" w:sz="0" w:space="0" w:color="auto"/>
        <w:bottom w:val="none" w:sz="0" w:space="0" w:color="auto"/>
        <w:right w:val="none" w:sz="0" w:space="0" w:color="auto"/>
      </w:divBdr>
    </w:div>
    <w:div w:id="1591617581">
      <w:bodyDiv w:val="1"/>
      <w:marLeft w:val="0"/>
      <w:marRight w:val="0"/>
      <w:marTop w:val="0"/>
      <w:marBottom w:val="0"/>
      <w:divBdr>
        <w:top w:val="none" w:sz="0" w:space="0" w:color="auto"/>
        <w:left w:val="none" w:sz="0" w:space="0" w:color="auto"/>
        <w:bottom w:val="none" w:sz="0" w:space="0" w:color="auto"/>
        <w:right w:val="none" w:sz="0" w:space="0" w:color="auto"/>
      </w:divBdr>
    </w:div>
    <w:div w:id="1591618012">
      <w:bodyDiv w:val="1"/>
      <w:marLeft w:val="0"/>
      <w:marRight w:val="0"/>
      <w:marTop w:val="0"/>
      <w:marBottom w:val="0"/>
      <w:divBdr>
        <w:top w:val="none" w:sz="0" w:space="0" w:color="auto"/>
        <w:left w:val="none" w:sz="0" w:space="0" w:color="auto"/>
        <w:bottom w:val="none" w:sz="0" w:space="0" w:color="auto"/>
        <w:right w:val="none" w:sz="0" w:space="0" w:color="auto"/>
      </w:divBdr>
    </w:div>
    <w:div w:id="1591812373">
      <w:bodyDiv w:val="1"/>
      <w:marLeft w:val="0"/>
      <w:marRight w:val="0"/>
      <w:marTop w:val="0"/>
      <w:marBottom w:val="0"/>
      <w:divBdr>
        <w:top w:val="none" w:sz="0" w:space="0" w:color="auto"/>
        <w:left w:val="none" w:sz="0" w:space="0" w:color="auto"/>
        <w:bottom w:val="none" w:sz="0" w:space="0" w:color="auto"/>
        <w:right w:val="none" w:sz="0" w:space="0" w:color="auto"/>
      </w:divBdr>
    </w:div>
    <w:div w:id="1593008675">
      <w:bodyDiv w:val="1"/>
      <w:marLeft w:val="0"/>
      <w:marRight w:val="0"/>
      <w:marTop w:val="0"/>
      <w:marBottom w:val="0"/>
      <w:divBdr>
        <w:top w:val="none" w:sz="0" w:space="0" w:color="auto"/>
        <w:left w:val="none" w:sz="0" w:space="0" w:color="auto"/>
        <w:bottom w:val="none" w:sz="0" w:space="0" w:color="auto"/>
        <w:right w:val="none" w:sz="0" w:space="0" w:color="auto"/>
      </w:divBdr>
    </w:div>
    <w:div w:id="1595046490">
      <w:bodyDiv w:val="1"/>
      <w:marLeft w:val="0"/>
      <w:marRight w:val="0"/>
      <w:marTop w:val="0"/>
      <w:marBottom w:val="0"/>
      <w:divBdr>
        <w:top w:val="none" w:sz="0" w:space="0" w:color="auto"/>
        <w:left w:val="none" w:sz="0" w:space="0" w:color="auto"/>
        <w:bottom w:val="none" w:sz="0" w:space="0" w:color="auto"/>
        <w:right w:val="none" w:sz="0" w:space="0" w:color="auto"/>
      </w:divBdr>
    </w:div>
    <w:div w:id="1595356173">
      <w:bodyDiv w:val="1"/>
      <w:marLeft w:val="0"/>
      <w:marRight w:val="0"/>
      <w:marTop w:val="0"/>
      <w:marBottom w:val="0"/>
      <w:divBdr>
        <w:top w:val="none" w:sz="0" w:space="0" w:color="auto"/>
        <w:left w:val="none" w:sz="0" w:space="0" w:color="auto"/>
        <w:bottom w:val="none" w:sz="0" w:space="0" w:color="auto"/>
        <w:right w:val="none" w:sz="0" w:space="0" w:color="auto"/>
      </w:divBdr>
    </w:div>
    <w:div w:id="1595698654">
      <w:bodyDiv w:val="1"/>
      <w:marLeft w:val="0"/>
      <w:marRight w:val="0"/>
      <w:marTop w:val="0"/>
      <w:marBottom w:val="0"/>
      <w:divBdr>
        <w:top w:val="none" w:sz="0" w:space="0" w:color="auto"/>
        <w:left w:val="none" w:sz="0" w:space="0" w:color="auto"/>
        <w:bottom w:val="none" w:sz="0" w:space="0" w:color="auto"/>
        <w:right w:val="none" w:sz="0" w:space="0" w:color="auto"/>
      </w:divBdr>
    </w:div>
    <w:div w:id="1597400172">
      <w:bodyDiv w:val="1"/>
      <w:marLeft w:val="0"/>
      <w:marRight w:val="0"/>
      <w:marTop w:val="0"/>
      <w:marBottom w:val="0"/>
      <w:divBdr>
        <w:top w:val="none" w:sz="0" w:space="0" w:color="auto"/>
        <w:left w:val="none" w:sz="0" w:space="0" w:color="auto"/>
        <w:bottom w:val="none" w:sz="0" w:space="0" w:color="auto"/>
        <w:right w:val="none" w:sz="0" w:space="0" w:color="auto"/>
      </w:divBdr>
    </w:div>
    <w:div w:id="1597638680">
      <w:bodyDiv w:val="1"/>
      <w:marLeft w:val="0"/>
      <w:marRight w:val="0"/>
      <w:marTop w:val="0"/>
      <w:marBottom w:val="0"/>
      <w:divBdr>
        <w:top w:val="none" w:sz="0" w:space="0" w:color="auto"/>
        <w:left w:val="none" w:sz="0" w:space="0" w:color="auto"/>
        <w:bottom w:val="none" w:sz="0" w:space="0" w:color="auto"/>
        <w:right w:val="none" w:sz="0" w:space="0" w:color="auto"/>
      </w:divBdr>
    </w:div>
    <w:div w:id="1599018689">
      <w:bodyDiv w:val="1"/>
      <w:marLeft w:val="0"/>
      <w:marRight w:val="0"/>
      <w:marTop w:val="0"/>
      <w:marBottom w:val="0"/>
      <w:divBdr>
        <w:top w:val="none" w:sz="0" w:space="0" w:color="auto"/>
        <w:left w:val="none" w:sz="0" w:space="0" w:color="auto"/>
        <w:bottom w:val="none" w:sz="0" w:space="0" w:color="auto"/>
        <w:right w:val="none" w:sz="0" w:space="0" w:color="auto"/>
      </w:divBdr>
    </w:div>
    <w:div w:id="1600068500">
      <w:bodyDiv w:val="1"/>
      <w:marLeft w:val="0"/>
      <w:marRight w:val="0"/>
      <w:marTop w:val="0"/>
      <w:marBottom w:val="0"/>
      <w:divBdr>
        <w:top w:val="none" w:sz="0" w:space="0" w:color="auto"/>
        <w:left w:val="none" w:sz="0" w:space="0" w:color="auto"/>
        <w:bottom w:val="none" w:sz="0" w:space="0" w:color="auto"/>
        <w:right w:val="none" w:sz="0" w:space="0" w:color="auto"/>
      </w:divBdr>
    </w:div>
    <w:div w:id="1600481977">
      <w:bodyDiv w:val="1"/>
      <w:marLeft w:val="0"/>
      <w:marRight w:val="0"/>
      <w:marTop w:val="0"/>
      <w:marBottom w:val="0"/>
      <w:divBdr>
        <w:top w:val="none" w:sz="0" w:space="0" w:color="auto"/>
        <w:left w:val="none" w:sz="0" w:space="0" w:color="auto"/>
        <w:bottom w:val="none" w:sz="0" w:space="0" w:color="auto"/>
        <w:right w:val="none" w:sz="0" w:space="0" w:color="auto"/>
      </w:divBdr>
    </w:div>
    <w:div w:id="1603340644">
      <w:bodyDiv w:val="1"/>
      <w:marLeft w:val="0"/>
      <w:marRight w:val="0"/>
      <w:marTop w:val="0"/>
      <w:marBottom w:val="0"/>
      <w:divBdr>
        <w:top w:val="none" w:sz="0" w:space="0" w:color="auto"/>
        <w:left w:val="none" w:sz="0" w:space="0" w:color="auto"/>
        <w:bottom w:val="none" w:sz="0" w:space="0" w:color="auto"/>
        <w:right w:val="none" w:sz="0" w:space="0" w:color="auto"/>
      </w:divBdr>
    </w:div>
    <w:div w:id="1603411108">
      <w:bodyDiv w:val="1"/>
      <w:marLeft w:val="0"/>
      <w:marRight w:val="0"/>
      <w:marTop w:val="0"/>
      <w:marBottom w:val="0"/>
      <w:divBdr>
        <w:top w:val="none" w:sz="0" w:space="0" w:color="auto"/>
        <w:left w:val="none" w:sz="0" w:space="0" w:color="auto"/>
        <w:bottom w:val="none" w:sz="0" w:space="0" w:color="auto"/>
        <w:right w:val="none" w:sz="0" w:space="0" w:color="auto"/>
      </w:divBdr>
    </w:div>
    <w:div w:id="1603487476">
      <w:bodyDiv w:val="1"/>
      <w:marLeft w:val="0"/>
      <w:marRight w:val="0"/>
      <w:marTop w:val="0"/>
      <w:marBottom w:val="0"/>
      <w:divBdr>
        <w:top w:val="none" w:sz="0" w:space="0" w:color="auto"/>
        <w:left w:val="none" w:sz="0" w:space="0" w:color="auto"/>
        <w:bottom w:val="none" w:sz="0" w:space="0" w:color="auto"/>
        <w:right w:val="none" w:sz="0" w:space="0" w:color="auto"/>
      </w:divBdr>
    </w:div>
    <w:div w:id="1607813903">
      <w:bodyDiv w:val="1"/>
      <w:marLeft w:val="0"/>
      <w:marRight w:val="0"/>
      <w:marTop w:val="0"/>
      <w:marBottom w:val="0"/>
      <w:divBdr>
        <w:top w:val="none" w:sz="0" w:space="0" w:color="auto"/>
        <w:left w:val="none" w:sz="0" w:space="0" w:color="auto"/>
        <w:bottom w:val="none" w:sz="0" w:space="0" w:color="auto"/>
        <w:right w:val="none" w:sz="0" w:space="0" w:color="auto"/>
      </w:divBdr>
    </w:div>
    <w:div w:id="1607881488">
      <w:bodyDiv w:val="1"/>
      <w:marLeft w:val="0"/>
      <w:marRight w:val="0"/>
      <w:marTop w:val="0"/>
      <w:marBottom w:val="0"/>
      <w:divBdr>
        <w:top w:val="none" w:sz="0" w:space="0" w:color="auto"/>
        <w:left w:val="none" w:sz="0" w:space="0" w:color="auto"/>
        <w:bottom w:val="none" w:sz="0" w:space="0" w:color="auto"/>
        <w:right w:val="none" w:sz="0" w:space="0" w:color="auto"/>
      </w:divBdr>
    </w:div>
    <w:div w:id="1608273869">
      <w:bodyDiv w:val="1"/>
      <w:marLeft w:val="0"/>
      <w:marRight w:val="0"/>
      <w:marTop w:val="0"/>
      <w:marBottom w:val="0"/>
      <w:divBdr>
        <w:top w:val="none" w:sz="0" w:space="0" w:color="auto"/>
        <w:left w:val="none" w:sz="0" w:space="0" w:color="auto"/>
        <w:bottom w:val="none" w:sz="0" w:space="0" w:color="auto"/>
        <w:right w:val="none" w:sz="0" w:space="0" w:color="auto"/>
      </w:divBdr>
    </w:div>
    <w:div w:id="1608536455">
      <w:bodyDiv w:val="1"/>
      <w:marLeft w:val="0"/>
      <w:marRight w:val="0"/>
      <w:marTop w:val="0"/>
      <w:marBottom w:val="0"/>
      <w:divBdr>
        <w:top w:val="none" w:sz="0" w:space="0" w:color="auto"/>
        <w:left w:val="none" w:sz="0" w:space="0" w:color="auto"/>
        <w:bottom w:val="none" w:sz="0" w:space="0" w:color="auto"/>
        <w:right w:val="none" w:sz="0" w:space="0" w:color="auto"/>
      </w:divBdr>
    </w:div>
    <w:div w:id="1608659780">
      <w:bodyDiv w:val="1"/>
      <w:marLeft w:val="0"/>
      <w:marRight w:val="0"/>
      <w:marTop w:val="0"/>
      <w:marBottom w:val="0"/>
      <w:divBdr>
        <w:top w:val="none" w:sz="0" w:space="0" w:color="auto"/>
        <w:left w:val="none" w:sz="0" w:space="0" w:color="auto"/>
        <w:bottom w:val="none" w:sz="0" w:space="0" w:color="auto"/>
        <w:right w:val="none" w:sz="0" w:space="0" w:color="auto"/>
      </w:divBdr>
    </w:div>
    <w:div w:id="1609387419">
      <w:bodyDiv w:val="1"/>
      <w:marLeft w:val="0"/>
      <w:marRight w:val="0"/>
      <w:marTop w:val="0"/>
      <w:marBottom w:val="0"/>
      <w:divBdr>
        <w:top w:val="none" w:sz="0" w:space="0" w:color="auto"/>
        <w:left w:val="none" w:sz="0" w:space="0" w:color="auto"/>
        <w:bottom w:val="none" w:sz="0" w:space="0" w:color="auto"/>
        <w:right w:val="none" w:sz="0" w:space="0" w:color="auto"/>
      </w:divBdr>
    </w:div>
    <w:div w:id="1610427313">
      <w:bodyDiv w:val="1"/>
      <w:marLeft w:val="0"/>
      <w:marRight w:val="0"/>
      <w:marTop w:val="0"/>
      <w:marBottom w:val="0"/>
      <w:divBdr>
        <w:top w:val="none" w:sz="0" w:space="0" w:color="auto"/>
        <w:left w:val="none" w:sz="0" w:space="0" w:color="auto"/>
        <w:bottom w:val="none" w:sz="0" w:space="0" w:color="auto"/>
        <w:right w:val="none" w:sz="0" w:space="0" w:color="auto"/>
      </w:divBdr>
    </w:div>
    <w:div w:id="1611887497">
      <w:bodyDiv w:val="1"/>
      <w:marLeft w:val="0"/>
      <w:marRight w:val="0"/>
      <w:marTop w:val="0"/>
      <w:marBottom w:val="0"/>
      <w:divBdr>
        <w:top w:val="none" w:sz="0" w:space="0" w:color="auto"/>
        <w:left w:val="none" w:sz="0" w:space="0" w:color="auto"/>
        <w:bottom w:val="none" w:sz="0" w:space="0" w:color="auto"/>
        <w:right w:val="none" w:sz="0" w:space="0" w:color="auto"/>
      </w:divBdr>
    </w:div>
    <w:div w:id="1612128511">
      <w:bodyDiv w:val="1"/>
      <w:marLeft w:val="0"/>
      <w:marRight w:val="0"/>
      <w:marTop w:val="0"/>
      <w:marBottom w:val="0"/>
      <w:divBdr>
        <w:top w:val="none" w:sz="0" w:space="0" w:color="auto"/>
        <w:left w:val="none" w:sz="0" w:space="0" w:color="auto"/>
        <w:bottom w:val="none" w:sz="0" w:space="0" w:color="auto"/>
        <w:right w:val="none" w:sz="0" w:space="0" w:color="auto"/>
      </w:divBdr>
    </w:div>
    <w:div w:id="1612544553">
      <w:bodyDiv w:val="1"/>
      <w:marLeft w:val="0"/>
      <w:marRight w:val="0"/>
      <w:marTop w:val="0"/>
      <w:marBottom w:val="0"/>
      <w:divBdr>
        <w:top w:val="none" w:sz="0" w:space="0" w:color="auto"/>
        <w:left w:val="none" w:sz="0" w:space="0" w:color="auto"/>
        <w:bottom w:val="none" w:sz="0" w:space="0" w:color="auto"/>
        <w:right w:val="none" w:sz="0" w:space="0" w:color="auto"/>
      </w:divBdr>
    </w:div>
    <w:div w:id="1613318443">
      <w:bodyDiv w:val="1"/>
      <w:marLeft w:val="0"/>
      <w:marRight w:val="0"/>
      <w:marTop w:val="0"/>
      <w:marBottom w:val="0"/>
      <w:divBdr>
        <w:top w:val="none" w:sz="0" w:space="0" w:color="auto"/>
        <w:left w:val="none" w:sz="0" w:space="0" w:color="auto"/>
        <w:bottom w:val="none" w:sz="0" w:space="0" w:color="auto"/>
        <w:right w:val="none" w:sz="0" w:space="0" w:color="auto"/>
      </w:divBdr>
    </w:div>
    <w:div w:id="1613786236">
      <w:bodyDiv w:val="1"/>
      <w:marLeft w:val="0"/>
      <w:marRight w:val="0"/>
      <w:marTop w:val="0"/>
      <w:marBottom w:val="0"/>
      <w:divBdr>
        <w:top w:val="none" w:sz="0" w:space="0" w:color="auto"/>
        <w:left w:val="none" w:sz="0" w:space="0" w:color="auto"/>
        <w:bottom w:val="none" w:sz="0" w:space="0" w:color="auto"/>
        <w:right w:val="none" w:sz="0" w:space="0" w:color="auto"/>
      </w:divBdr>
    </w:div>
    <w:div w:id="1614483523">
      <w:bodyDiv w:val="1"/>
      <w:marLeft w:val="0"/>
      <w:marRight w:val="0"/>
      <w:marTop w:val="0"/>
      <w:marBottom w:val="0"/>
      <w:divBdr>
        <w:top w:val="none" w:sz="0" w:space="0" w:color="auto"/>
        <w:left w:val="none" w:sz="0" w:space="0" w:color="auto"/>
        <w:bottom w:val="none" w:sz="0" w:space="0" w:color="auto"/>
        <w:right w:val="none" w:sz="0" w:space="0" w:color="auto"/>
      </w:divBdr>
    </w:div>
    <w:div w:id="1615357065">
      <w:bodyDiv w:val="1"/>
      <w:marLeft w:val="0"/>
      <w:marRight w:val="0"/>
      <w:marTop w:val="0"/>
      <w:marBottom w:val="0"/>
      <w:divBdr>
        <w:top w:val="none" w:sz="0" w:space="0" w:color="auto"/>
        <w:left w:val="none" w:sz="0" w:space="0" w:color="auto"/>
        <w:bottom w:val="none" w:sz="0" w:space="0" w:color="auto"/>
        <w:right w:val="none" w:sz="0" w:space="0" w:color="auto"/>
      </w:divBdr>
    </w:div>
    <w:div w:id="1615552802">
      <w:bodyDiv w:val="1"/>
      <w:marLeft w:val="0"/>
      <w:marRight w:val="0"/>
      <w:marTop w:val="0"/>
      <w:marBottom w:val="0"/>
      <w:divBdr>
        <w:top w:val="none" w:sz="0" w:space="0" w:color="auto"/>
        <w:left w:val="none" w:sz="0" w:space="0" w:color="auto"/>
        <w:bottom w:val="none" w:sz="0" w:space="0" w:color="auto"/>
        <w:right w:val="none" w:sz="0" w:space="0" w:color="auto"/>
      </w:divBdr>
    </w:div>
    <w:div w:id="1615750220">
      <w:bodyDiv w:val="1"/>
      <w:marLeft w:val="0"/>
      <w:marRight w:val="0"/>
      <w:marTop w:val="0"/>
      <w:marBottom w:val="0"/>
      <w:divBdr>
        <w:top w:val="none" w:sz="0" w:space="0" w:color="auto"/>
        <w:left w:val="none" w:sz="0" w:space="0" w:color="auto"/>
        <w:bottom w:val="none" w:sz="0" w:space="0" w:color="auto"/>
        <w:right w:val="none" w:sz="0" w:space="0" w:color="auto"/>
      </w:divBdr>
    </w:div>
    <w:div w:id="1615866206">
      <w:bodyDiv w:val="1"/>
      <w:marLeft w:val="0"/>
      <w:marRight w:val="0"/>
      <w:marTop w:val="0"/>
      <w:marBottom w:val="0"/>
      <w:divBdr>
        <w:top w:val="none" w:sz="0" w:space="0" w:color="auto"/>
        <w:left w:val="none" w:sz="0" w:space="0" w:color="auto"/>
        <w:bottom w:val="none" w:sz="0" w:space="0" w:color="auto"/>
        <w:right w:val="none" w:sz="0" w:space="0" w:color="auto"/>
      </w:divBdr>
    </w:div>
    <w:div w:id="1617329943">
      <w:bodyDiv w:val="1"/>
      <w:marLeft w:val="0"/>
      <w:marRight w:val="0"/>
      <w:marTop w:val="0"/>
      <w:marBottom w:val="0"/>
      <w:divBdr>
        <w:top w:val="none" w:sz="0" w:space="0" w:color="auto"/>
        <w:left w:val="none" w:sz="0" w:space="0" w:color="auto"/>
        <w:bottom w:val="none" w:sz="0" w:space="0" w:color="auto"/>
        <w:right w:val="none" w:sz="0" w:space="0" w:color="auto"/>
      </w:divBdr>
    </w:div>
    <w:div w:id="1618872265">
      <w:bodyDiv w:val="1"/>
      <w:marLeft w:val="0"/>
      <w:marRight w:val="0"/>
      <w:marTop w:val="0"/>
      <w:marBottom w:val="0"/>
      <w:divBdr>
        <w:top w:val="none" w:sz="0" w:space="0" w:color="auto"/>
        <w:left w:val="none" w:sz="0" w:space="0" w:color="auto"/>
        <w:bottom w:val="none" w:sz="0" w:space="0" w:color="auto"/>
        <w:right w:val="none" w:sz="0" w:space="0" w:color="auto"/>
      </w:divBdr>
    </w:div>
    <w:div w:id="1619140316">
      <w:bodyDiv w:val="1"/>
      <w:marLeft w:val="0"/>
      <w:marRight w:val="0"/>
      <w:marTop w:val="0"/>
      <w:marBottom w:val="0"/>
      <w:divBdr>
        <w:top w:val="none" w:sz="0" w:space="0" w:color="auto"/>
        <w:left w:val="none" w:sz="0" w:space="0" w:color="auto"/>
        <w:bottom w:val="none" w:sz="0" w:space="0" w:color="auto"/>
        <w:right w:val="none" w:sz="0" w:space="0" w:color="auto"/>
      </w:divBdr>
    </w:div>
    <w:div w:id="1619679945">
      <w:bodyDiv w:val="1"/>
      <w:marLeft w:val="0"/>
      <w:marRight w:val="0"/>
      <w:marTop w:val="0"/>
      <w:marBottom w:val="0"/>
      <w:divBdr>
        <w:top w:val="none" w:sz="0" w:space="0" w:color="auto"/>
        <w:left w:val="none" w:sz="0" w:space="0" w:color="auto"/>
        <w:bottom w:val="none" w:sz="0" w:space="0" w:color="auto"/>
        <w:right w:val="none" w:sz="0" w:space="0" w:color="auto"/>
      </w:divBdr>
    </w:div>
    <w:div w:id="1620599058">
      <w:bodyDiv w:val="1"/>
      <w:marLeft w:val="0"/>
      <w:marRight w:val="0"/>
      <w:marTop w:val="0"/>
      <w:marBottom w:val="0"/>
      <w:divBdr>
        <w:top w:val="none" w:sz="0" w:space="0" w:color="auto"/>
        <w:left w:val="none" w:sz="0" w:space="0" w:color="auto"/>
        <w:bottom w:val="none" w:sz="0" w:space="0" w:color="auto"/>
        <w:right w:val="none" w:sz="0" w:space="0" w:color="auto"/>
      </w:divBdr>
    </w:div>
    <w:div w:id="1620915605">
      <w:bodyDiv w:val="1"/>
      <w:marLeft w:val="0"/>
      <w:marRight w:val="0"/>
      <w:marTop w:val="0"/>
      <w:marBottom w:val="0"/>
      <w:divBdr>
        <w:top w:val="none" w:sz="0" w:space="0" w:color="auto"/>
        <w:left w:val="none" w:sz="0" w:space="0" w:color="auto"/>
        <w:bottom w:val="none" w:sz="0" w:space="0" w:color="auto"/>
        <w:right w:val="none" w:sz="0" w:space="0" w:color="auto"/>
      </w:divBdr>
    </w:div>
    <w:div w:id="1621036900">
      <w:bodyDiv w:val="1"/>
      <w:marLeft w:val="0"/>
      <w:marRight w:val="0"/>
      <w:marTop w:val="0"/>
      <w:marBottom w:val="0"/>
      <w:divBdr>
        <w:top w:val="none" w:sz="0" w:space="0" w:color="auto"/>
        <w:left w:val="none" w:sz="0" w:space="0" w:color="auto"/>
        <w:bottom w:val="none" w:sz="0" w:space="0" w:color="auto"/>
        <w:right w:val="none" w:sz="0" w:space="0" w:color="auto"/>
      </w:divBdr>
    </w:div>
    <w:div w:id="1621105648">
      <w:bodyDiv w:val="1"/>
      <w:marLeft w:val="0"/>
      <w:marRight w:val="0"/>
      <w:marTop w:val="0"/>
      <w:marBottom w:val="0"/>
      <w:divBdr>
        <w:top w:val="none" w:sz="0" w:space="0" w:color="auto"/>
        <w:left w:val="none" w:sz="0" w:space="0" w:color="auto"/>
        <w:bottom w:val="none" w:sz="0" w:space="0" w:color="auto"/>
        <w:right w:val="none" w:sz="0" w:space="0" w:color="auto"/>
      </w:divBdr>
    </w:div>
    <w:div w:id="1622492093">
      <w:bodyDiv w:val="1"/>
      <w:marLeft w:val="0"/>
      <w:marRight w:val="0"/>
      <w:marTop w:val="0"/>
      <w:marBottom w:val="0"/>
      <w:divBdr>
        <w:top w:val="none" w:sz="0" w:space="0" w:color="auto"/>
        <w:left w:val="none" w:sz="0" w:space="0" w:color="auto"/>
        <w:bottom w:val="none" w:sz="0" w:space="0" w:color="auto"/>
        <w:right w:val="none" w:sz="0" w:space="0" w:color="auto"/>
      </w:divBdr>
    </w:div>
    <w:div w:id="1623881999">
      <w:bodyDiv w:val="1"/>
      <w:marLeft w:val="0"/>
      <w:marRight w:val="0"/>
      <w:marTop w:val="0"/>
      <w:marBottom w:val="0"/>
      <w:divBdr>
        <w:top w:val="none" w:sz="0" w:space="0" w:color="auto"/>
        <w:left w:val="none" w:sz="0" w:space="0" w:color="auto"/>
        <w:bottom w:val="none" w:sz="0" w:space="0" w:color="auto"/>
        <w:right w:val="none" w:sz="0" w:space="0" w:color="auto"/>
      </w:divBdr>
    </w:div>
    <w:div w:id="1624574793">
      <w:bodyDiv w:val="1"/>
      <w:marLeft w:val="0"/>
      <w:marRight w:val="0"/>
      <w:marTop w:val="0"/>
      <w:marBottom w:val="0"/>
      <w:divBdr>
        <w:top w:val="none" w:sz="0" w:space="0" w:color="auto"/>
        <w:left w:val="none" w:sz="0" w:space="0" w:color="auto"/>
        <w:bottom w:val="none" w:sz="0" w:space="0" w:color="auto"/>
        <w:right w:val="none" w:sz="0" w:space="0" w:color="auto"/>
      </w:divBdr>
    </w:div>
    <w:div w:id="1624994058">
      <w:bodyDiv w:val="1"/>
      <w:marLeft w:val="0"/>
      <w:marRight w:val="0"/>
      <w:marTop w:val="0"/>
      <w:marBottom w:val="0"/>
      <w:divBdr>
        <w:top w:val="none" w:sz="0" w:space="0" w:color="auto"/>
        <w:left w:val="none" w:sz="0" w:space="0" w:color="auto"/>
        <w:bottom w:val="none" w:sz="0" w:space="0" w:color="auto"/>
        <w:right w:val="none" w:sz="0" w:space="0" w:color="auto"/>
      </w:divBdr>
    </w:div>
    <w:div w:id="1625576273">
      <w:bodyDiv w:val="1"/>
      <w:marLeft w:val="0"/>
      <w:marRight w:val="0"/>
      <w:marTop w:val="0"/>
      <w:marBottom w:val="0"/>
      <w:divBdr>
        <w:top w:val="none" w:sz="0" w:space="0" w:color="auto"/>
        <w:left w:val="none" w:sz="0" w:space="0" w:color="auto"/>
        <w:bottom w:val="none" w:sz="0" w:space="0" w:color="auto"/>
        <w:right w:val="none" w:sz="0" w:space="0" w:color="auto"/>
      </w:divBdr>
    </w:div>
    <w:div w:id="1625621278">
      <w:bodyDiv w:val="1"/>
      <w:marLeft w:val="0"/>
      <w:marRight w:val="0"/>
      <w:marTop w:val="0"/>
      <w:marBottom w:val="0"/>
      <w:divBdr>
        <w:top w:val="none" w:sz="0" w:space="0" w:color="auto"/>
        <w:left w:val="none" w:sz="0" w:space="0" w:color="auto"/>
        <w:bottom w:val="none" w:sz="0" w:space="0" w:color="auto"/>
        <w:right w:val="none" w:sz="0" w:space="0" w:color="auto"/>
      </w:divBdr>
    </w:div>
    <w:div w:id="1626428997">
      <w:bodyDiv w:val="1"/>
      <w:marLeft w:val="0"/>
      <w:marRight w:val="0"/>
      <w:marTop w:val="0"/>
      <w:marBottom w:val="0"/>
      <w:divBdr>
        <w:top w:val="none" w:sz="0" w:space="0" w:color="auto"/>
        <w:left w:val="none" w:sz="0" w:space="0" w:color="auto"/>
        <w:bottom w:val="none" w:sz="0" w:space="0" w:color="auto"/>
        <w:right w:val="none" w:sz="0" w:space="0" w:color="auto"/>
      </w:divBdr>
    </w:div>
    <w:div w:id="1626933169">
      <w:bodyDiv w:val="1"/>
      <w:marLeft w:val="0"/>
      <w:marRight w:val="0"/>
      <w:marTop w:val="0"/>
      <w:marBottom w:val="0"/>
      <w:divBdr>
        <w:top w:val="none" w:sz="0" w:space="0" w:color="auto"/>
        <w:left w:val="none" w:sz="0" w:space="0" w:color="auto"/>
        <w:bottom w:val="none" w:sz="0" w:space="0" w:color="auto"/>
        <w:right w:val="none" w:sz="0" w:space="0" w:color="auto"/>
      </w:divBdr>
    </w:div>
    <w:div w:id="1627540228">
      <w:bodyDiv w:val="1"/>
      <w:marLeft w:val="0"/>
      <w:marRight w:val="0"/>
      <w:marTop w:val="0"/>
      <w:marBottom w:val="0"/>
      <w:divBdr>
        <w:top w:val="none" w:sz="0" w:space="0" w:color="auto"/>
        <w:left w:val="none" w:sz="0" w:space="0" w:color="auto"/>
        <w:bottom w:val="none" w:sz="0" w:space="0" w:color="auto"/>
        <w:right w:val="none" w:sz="0" w:space="0" w:color="auto"/>
      </w:divBdr>
    </w:div>
    <w:div w:id="1627851148">
      <w:bodyDiv w:val="1"/>
      <w:marLeft w:val="0"/>
      <w:marRight w:val="0"/>
      <w:marTop w:val="0"/>
      <w:marBottom w:val="0"/>
      <w:divBdr>
        <w:top w:val="none" w:sz="0" w:space="0" w:color="auto"/>
        <w:left w:val="none" w:sz="0" w:space="0" w:color="auto"/>
        <w:bottom w:val="none" w:sz="0" w:space="0" w:color="auto"/>
        <w:right w:val="none" w:sz="0" w:space="0" w:color="auto"/>
      </w:divBdr>
    </w:div>
    <w:div w:id="1627854158">
      <w:bodyDiv w:val="1"/>
      <w:marLeft w:val="0"/>
      <w:marRight w:val="0"/>
      <w:marTop w:val="0"/>
      <w:marBottom w:val="0"/>
      <w:divBdr>
        <w:top w:val="none" w:sz="0" w:space="0" w:color="auto"/>
        <w:left w:val="none" w:sz="0" w:space="0" w:color="auto"/>
        <w:bottom w:val="none" w:sz="0" w:space="0" w:color="auto"/>
        <w:right w:val="none" w:sz="0" w:space="0" w:color="auto"/>
      </w:divBdr>
    </w:div>
    <w:div w:id="1628121253">
      <w:bodyDiv w:val="1"/>
      <w:marLeft w:val="0"/>
      <w:marRight w:val="0"/>
      <w:marTop w:val="0"/>
      <w:marBottom w:val="0"/>
      <w:divBdr>
        <w:top w:val="none" w:sz="0" w:space="0" w:color="auto"/>
        <w:left w:val="none" w:sz="0" w:space="0" w:color="auto"/>
        <w:bottom w:val="none" w:sz="0" w:space="0" w:color="auto"/>
        <w:right w:val="none" w:sz="0" w:space="0" w:color="auto"/>
      </w:divBdr>
    </w:div>
    <w:div w:id="1629312102">
      <w:bodyDiv w:val="1"/>
      <w:marLeft w:val="0"/>
      <w:marRight w:val="0"/>
      <w:marTop w:val="0"/>
      <w:marBottom w:val="0"/>
      <w:divBdr>
        <w:top w:val="none" w:sz="0" w:space="0" w:color="auto"/>
        <w:left w:val="none" w:sz="0" w:space="0" w:color="auto"/>
        <w:bottom w:val="none" w:sz="0" w:space="0" w:color="auto"/>
        <w:right w:val="none" w:sz="0" w:space="0" w:color="auto"/>
      </w:divBdr>
    </w:div>
    <w:div w:id="1629512019">
      <w:bodyDiv w:val="1"/>
      <w:marLeft w:val="0"/>
      <w:marRight w:val="0"/>
      <w:marTop w:val="0"/>
      <w:marBottom w:val="0"/>
      <w:divBdr>
        <w:top w:val="none" w:sz="0" w:space="0" w:color="auto"/>
        <w:left w:val="none" w:sz="0" w:space="0" w:color="auto"/>
        <w:bottom w:val="none" w:sz="0" w:space="0" w:color="auto"/>
        <w:right w:val="none" w:sz="0" w:space="0" w:color="auto"/>
      </w:divBdr>
    </w:div>
    <w:div w:id="1631587580">
      <w:bodyDiv w:val="1"/>
      <w:marLeft w:val="0"/>
      <w:marRight w:val="0"/>
      <w:marTop w:val="0"/>
      <w:marBottom w:val="0"/>
      <w:divBdr>
        <w:top w:val="none" w:sz="0" w:space="0" w:color="auto"/>
        <w:left w:val="none" w:sz="0" w:space="0" w:color="auto"/>
        <w:bottom w:val="none" w:sz="0" w:space="0" w:color="auto"/>
        <w:right w:val="none" w:sz="0" w:space="0" w:color="auto"/>
      </w:divBdr>
    </w:div>
    <w:div w:id="1632175479">
      <w:bodyDiv w:val="1"/>
      <w:marLeft w:val="0"/>
      <w:marRight w:val="0"/>
      <w:marTop w:val="0"/>
      <w:marBottom w:val="0"/>
      <w:divBdr>
        <w:top w:val="none" w:sz="0" w:space="0" w:color="auto"/>
        <w:left w:val="none" w:sz="0" w:space="0" w:color="auto"/>
        <w:bottom w:val="none" w:sz="0" w:space="0" w:color="auto"/>
        <w:right w:val="none" w:sz="0" w:space="0" w:color="auto"/>
      </w:divBdr>
    </w:div>
    <w:div w:id="1632521047">
      <w:bodyDiv w:val="1"/>
      <w:marLeft w:val="0"/>
      <w:marRight w:val="0"/>
      <w:marTop w:val="0"/>
      <w:marBottom w:val="0"/>
      <w:divBdr>
        <w:top w:val="none" w:sz="0" w:space="0" w:color="auto"/>
        <w:left w:val="none" w:sz="0" w:space="0" w:color="auto"/>
        <w:bottom w:val="none" w:sz="0" w:space="0" w:color="auto"/>
        <w:right w:val="none" w:sz="0" w:space="0" w:color="auto"/>
      </w:divBdr>
    </w:div>
    <w:div w:id="1632829690">
      <w:bodyDiv w:val="1"/>
      <w:marLeft w:val="0"/>
      <w:marRight w:val="0"/>
      <w:marTop w:val="0"/>
      <w:marBottom w:val="0"/>
      <w:divBdr>
        <w:top w:val="none" w:sz="0" w:space="0" w:color="auto"/>
        <w:left w:val="none" w:sz="0" w:space="0" w:color="auto"/>
        <w:bottom w:val="none" w:sz="0" w:space="0" w:color="auto"/>
        <w:right w:val="none" w:sz="0" w:space="0" w:color="auto"/>
      </w:divBdr>
    </w:div>
    <w:div w:id="1634020380">
      <w:bodyDiv w:val="1"/>
      <w:marLeft w:val="0"/>
      <w:marRight w:val="0"/>
      <w:marTop w:val="0"/>
      <w:marBottom w:val="0"/>
      <w:divBdr>
        <w:top w:val="none" w:sz="0" w:space="0" w:color="auto"/>
        <w:left w:val="none" w:sz="0" w:space="0" w:color="auto"/>
        <w:bottom w:val="none" w:sz="0" w:space="0" w:color="auto"/>
        <w:right w:val="none" w:sz="0" w:space="0" w:color="auto"/>
      </w:divBdr>
    </w:div>
    <w:div w:id="1634212374">
      <w:bodyDiv w:val="1"/>
      <w:marLeft w:val="0"/>
      <w:marRight w:val="0"/>
      <w:marTop w:val="0"/>
      <w:marBottom w:val="0"/>
      <w:divBdr>
        <w:top w:val="none" w:sz="0" w:space="0" w:color="auto"/>
        <w:left w:val="none" w:sz="0" w:space="0" w:color="auto"/>
        <w:bottom w:val="none" w:sz="0" w:space="0" w:color="auto"/>
        <w:right w:val="none" w:sz="0" w:space="0" w:color="auto"/>
      </w:divBdr>
    </w:div>
    <w:div w:id="1635745452">
      <w:bodyDiv w:val="1"/>
      <w:marLeft w:val="0"/>
      <w:marRight w:val="0"/>
      <w:marTop w:val="0"/>
      <w:marBottom w:val="0"/>
      <w:divBdr>
        <w:top w:val="none" w:sz="0" w:space="0" w:color="auto"/>
        <w:left w:val="none" w:sz="0" w:space="0" w:color="auto"/>
        <w:bottom w:val="none" w:sz="0" w:space="0" w:color="auto"/>
        <w:right w:val="none" w:sz="0" w:space="0" w:color="auto"/>
      </w:divBdr>
    </w:div>
    <w:div w:id="1636371370">
      <w:bodyDiv w:val="1"/>
      <w:marLeft w:val="0"/>
      <w:marRight w:val="0"/>
      <w:marTop w:val="0"/>
      <w:marBottom w:val="0"/>
      <w:divBdr>
        <w:top w:val="none" w:sz="0" w:space="0" w:color="auto"/>
        <w:left w:val="none" w:sz="0" w:space="0" w:color="auto"/>
        <w:bottom w:val="none" w:sz="0" w:space="0" w:color="auto"/>
        <w:right w:val="none" w:sz="0" w:space="0" w:color="auto"/>
      </w:divBdr>
    </w:div>
    <w:div w:id="1637367895">
      <w:bodyDiv w:val="1"/>
      <w:marLeft w:val="0"/>
      <w:marRight w:val="0"/>
      <w:marTop w:val="0"/>
      <w:marBottom w:val="0"/>
      <w:divBdr>
        <w:top w:val="none" w:sz="0" w:space="0" w:color="auto"/>
        <w:left w:val="none" w:sz="0" w:space="0" w:color="auto"/>
        <w:bottom w:val="none" w:sz="0" w:space="0" w:color="auto"/>
        <w:right w:val="none" w:sz="0" w:space="0" w:color="auto"/>
      </w:divBdr>
    </w:div>
    <w:div w:id="1638297517">
      <w:bodyDiv w:val="1"/>
      <w:marLeft w:val="0"/>
      <w:marRight w:val="0"/>
      <w:marTop w:val="0"/>
      <w:marBottom w:val="0"/>
      <w:divBdr>
        <w:top w:val="none" w:sz="0" w:space="0" w:color="auto"/>
        <w:left w:val="none" w:sz="0" w:space="0" w:color="auto"/>
        <w:bottom w:val="none" w:sz="0" w:space="0" w:color="auto"/>
        <w:right w:val="none" w:sz="0" w:space="0" w:color="auto"/>
      </w:divBdr>
    </w:div>
    <w:div w:id="1638338866">
      <w:bodyDiv w:val="1"/>
      <w:marLeft w:val="0"/>
      <w:marRight w:val="0"/>
      <w:marTop w:val="0"/>
      <w:marBottom w:val="0"/>
      <w:divBdr>
        <w:top w:val="none" w:sz="0" w:space="0" w:color="auto"/>
        <w:left w:val="none" w:sz="0" w:space="0" w:color="auto"/>
        <w:bottom w:val="none" w:sz="0" w:space="0" w:color="auto"/>
        <w:right w:val="none" w:sz="0" w:space="0" w:color="auto"/>
      </w:divBdr>
    </w:div>
    <w:div w:id="1638492547">
      <w:bodyDiv w:val="1"/>
      <w:marLeft w:val="0"/>
      <w:marRight w:val="0"/>
      <w:marTop w:val="0"/>
      <w:marBottom w:val="0"/>
      <w:divBdr>
        <w:top w:val="none" w:sz="0" w:space="0" w:color="auto"/>
        <w:left w:val="none" w:sz="0" w:space="0" w:color="auto"/>
        <w:bottom w:val="none" w:sz="0" w:space="0" w:color="auto"/>
        <w:right w:val="none" w:sz="0" w:space="0" w:color="auto"/>
      </w:divBdr>
    </w:div>
    <w:div w:id="1638757326">
      <w:bodyDiv w:val="1"/>
      <w:marLeft w:val="0"/>
      <w:marRight w:val="0"/>
      <w:marTop w:val="0"/>
      <w:marBottom w:val="0"/>
      <w:divBdr>
        <w:top w:val="none" w:sz="0" w:space="0" w:color="auto"/>
        <w:left w:val="none" w:sz="0" w:space="0" w:color="auto"/>
        <w:bottom w:val="none" w:sz="0" w:space="0" w:color="auto"/>
        <w:right w:val="none" w:sz="0" w:space="0" w:color="auto"/>
      </w:divBdr>
    </w:div>
    <w:div w:id="1639143703">
      <w:bodyDiv w:val="1"/>
      <w:marLeft w:val="0"/>
      <w:marRight w:val="0"/>
      <w:marTop w:val="0"/>
      <w:marBottom w:val="0"/>
      <w:divBdr>
        <w:top w:val="none" w:sz="0" w:space="0" w:color="auto"/>
        <w:left w:val="none" w:sz="0" w:space="0" w:color="auto"/>
        <w:bottom w:val="none" w:sz="0" w:space="0" w:color="auto"/>
        <w:right w:val="none" w:sz="0" w:space="0" w:color="auto"/>
      </w:divBdr>
    </w:div>
    <w:div w:id="1639265388">
      <w:bodyDiv w:val="1"/>
      <w:marLeft w:val="0"/>
      <w:marRight w:val="0"/>
      <w:marTop w:val="0"/>
      <w:marBottom w:val="0"/>
      <w:divBdr>
        <w:top w:val="none" w:sz="0" w:space="0" w:color="auto"/>
        <w:left w:val="none" w:sz="0" w:space="0" w:color="auto"/>
        <w:bottom w:val="none" w:sz="0" w:space="0" w:color="auto"/>
        <w:right w:val="none" w:sz="0" w:space="0" w:color="auto"/>
      </w:divBdr>
    </w:div>
    <w:div w:id="1639333098">
      <w:bodyDiv w:val="1"/>
      <w:marLeft w:val="0"/>
      <w:marRight w:val="0"/>
      <w:marTop w:val="0"/>
      <w:marBottom w:val="0"/>
      <w:divBdr>
        <w:top w:val="none" w:sz="0" w:space="0" w:color="auto"/>
        <w:left w:val="none" w:sz="0" w:space="0" w:color="auto"/>
        <w:bottom w:val="none" w:sz="0" w:space="0" w:color="auto"/>
        <w:right w:val="none" w:sz="0" w:space="0" w:color="auto"/>
      </w:divBdr>
    </w:div>
    <w:div w:id="1639919607">
      <w:bodyDiv w:val="1"/>
      <w:marLeft w:val="0"/>
      <w:marRight w:val="0"/>
      <w:marTop w:val="0"/>
      <w:marBottom w:val="0"/>
      <w:divBdr>
        <w:top w:val="none" w:sz="0" w:space="0" w:color="auto"/>
        <w:left w:val="none" w:sz="0" w:space="0" w:color="auto"/>
        <w:bottom w:val="none" w:sz="0" w:space="0" w:color="auto"/>
        <w:right w:val="none" w:sz="0" w:space="0" w:color="auto"/>
      </w:divBdr>
    </w:div>
    <w:div w:id="1640039585">
      <w:bodyDiv w:val="1"/>
      <w:marLeft w:val="0"/>
      <w:marRight w:val="0"/>
      <w:marTop w:val="0"/>
      <w:marBottom w:val="0"/>
      <w:divBdr>
        <w:top w:val="none" w:sz="0" w:space="0" w:color="auto"/>
        <w:left w:val="none" w:sz="0" w:space="0" w:color="auto"/>
        <w:bottom w:val="none" w:sz="0" w:space="0" w:color="auto"/>
        <w:right w:val="none" w:sz="0" w:space="0" w:color="auto"/>
      </w:divBdr>
    </w:div>
    <w:div w:id="1642155906">
      <w:bodyDiv w:val="1"/>
      <w:marLeft w:val="0"/>
      <w:marRight w:val="0"/>
      <w:marTop w:val="0"/>
      <w:marBottom w:val="0"/>
      <w:divBdr>
        <w:top w:val="none" w:sz="0" w:space="0" w:color="auto"/>
        <w:left w:val="none" w:sz="0" w:space="0" w:color="auto"/>
        <w:bottom w:val="none" w:sz="0" w:space="0" w:color="auto"/>
        <w:right w:val="none" w:sz="0" w:space="0" w:color="auto"/>
      </w:divBdr>
    </w:div>
    <w:div w:id="1642491757">
      <w:bodyDiv w:val="1"/>
      <w:marLeft w:val="0"/>
      <w:marRight w:val="0"/>
      <w:marTop w:val="0"/>
      <w:marBottom w:val="0"/>
      <w:divBdr>
        <w:top w:val="none" w:sz="0" w:space="0" w:color="auto"/>
        <w:left w:val="none" w:sz="0" w:space="0" w:color="auto"/>
        <w:bottom w:val="none" w:sz="0" w:space="0" w:color="auto"/>
        <w:right w:val="none" w:sz="0" w:space="0" w:color="auto"/>
      </w:divBdr>
    </w:div>
    <w:div w:id="1643464173">
      <w:bodyDiv w:val="1"/>
      <w:marLeft w:val="0"/>
      <w:marRight w:val="0"/>
      <w:marTop w:val="0"/>
      <w:marBottom w:val="0"/>
      <w:divBdr>
        <w:top w:val="none" w:sz="0" w:space="0" w:color="auto"/>
        <w:left w:val="none" w:sz="0" w:space="0" w:color="auto"/>
        <w:bottom w:val="none" w:sz="0" w:space="0" w:color="auto"/>
        <w:right w:val="none" w:sz="0" w:space="0" w:color="auto"/>
      </w:divBdr>
    </w:div>
    <w:div w:id="1644583154">
      <w:bodyDiv w:val="1"/>
      <w:marLeft w:val="0"/>
      <w:marRight w:val="0"/>
      <w:marTop w:val="0"/>
      <w:marBottom w:val="0"/>
      <w:divBdr>
        <w:top w:val="none" w:sz="0" w:space="0" w:color="auto"/>
        <w:left w:val="none" w:sz="0" w:space="0" w:color="auto"/>
        <w:bottom w:val="none" w:sz="0" w:space="0" w:color="auto"/>
        <w:right w:val="none" w:sz="0" w:space="0" w:color="auto"/>
      </w:divBdr>
    </w:div>
    <w:div w:id="1644694972">
      <w:bodyDiv w:val="1"/>
      <w:marLeft w:val="0"/>
      <w:marRight w:val="0"/>
      <w:marTop w:val="0"/>
      <w:marBottom w:val="0"/>
      <w:divBdr>
        <w:top w:val="none" w:sz="0" w:space="0" w:color="auto"/>
        <w:left w:val="none" w:sz="0" w:space="0" w:color="auto"/>
        <w:bottom w:val="none" w:sz="0" w:space="0" w:color="auto"/>
        <w:right w:val="none" w:sz="0" w:space="0" w:color="auto"/>
      </w:divBdr>
    </w:div>
    <w:div w:id="1645113453">
      <w:bodyDiv w:val="1"/>
      <w:marLeft w:val="0"/>
      <w:marRight w:val="0"/>
      <w:marTop w:val="0"/>
      <w:marBottom w:val="0"/>
      <w:divBdr>
        <w:top w:val="none" w:sz="0" w:space="0" w:color="auto"/>
        <w:left w:val="none" w:sz="0" w:space="0" w:color="auto"/>
        <w:bottom w:val="none" w:sz="0" w:space="0" w:color="auto"/>
        <w:right w:val="none" w:sz="0" w:space="0" w:color="auto"/>
      </w:divBdr>
    </w:div>
    <w:div w:id="1645819007">
      <w:bodyDiv w:val="1"/>
      <w:marLeft w:val="0"/>
      <w:marRight w:val="0"/>
      <w:marTop w:val="0"/>
      <w:marBottom w:val="0"/>
      <w:divBdr>
        <w:top w:val="none" w:sz="0" w:space="0" w:color="auto"/>
        <w:left w:val="none" w:sz="0" w:space="0" w:color="auto"/>
        <w:bottom w:val="none" w:sz="0" w:space="0" w:color="auto"/>
        <w:right w:val="none" w:sz="0" w:space="0" w:color="auto"/>
      </w:divBdr>
    </w:div>
    <w:div w:id="1646624218">
      <w:bodyDiv w:val="1"/>
      <w:marLeft w:val="0"/>
      <w:marRight w:val="0"/>
      <w:marTop w:val="0"/>
      <w:marBottom w:val="0"/>
      <w:divBdr>
        <w:top w:val="none" w:sz="0" w:space="0" w:color="auto"/>
        <w:left w:val="none" w:sz="0" w:space="0" w:color="auto"/>
        <w:bottom w:val="none" w:sz="0" w:space="0" w:color="auto"/>
        <w:right w:val="none" w:sz="0" w:space="0" w:color="auto"/>
      </w:divBdr>
    </w:div>
    <w:div w:id="1648822642">
      <w:bodyDiv w:val="1"/>
      <w:marLeft w:val="0"/>
      <w:marRight w:val="0"/>
      <w:marTop w:val="0"/>
      <w:marBottom w:val="0"/>
      <w:divBdr>
        <w:top w:val="none" w:sz="0" w:space="0" w:color="auto"/>
        <w:left w:val="none" w:sz="0" w:space="0" w:color="auto"/>
        <w:bottom w:val="none" w:sz="0" w:space="0" w:color="auto"/>
        <w:right w:val="none" w:sz="0" w:space="0" w:color="auto"/>
      </w:divBdr>
    </w:div>
    <w:div w:id="1649243004">
      <w:bodyDiv w:val="1"/>
      <w:marLeft w:val="0"/>
      <w:marRight w:val="0"/>
      <w:marTop w:val="0"/>
      <w:marBottom w:val="0"/>
      <w:divBdr>
        <w:top w:val="none" w:sz="0" w:space="0" w:color="auto"/>
        <w:left w:val="none" w:sz="0" w:space="0" w:color="auto"/>
        <w:bottom w:val="none" w:sz="0" w:space="0" w:color="auto"/>
        <w:right w:val="none" w:sz="0" w:space="0" w:color="auto"/>
      </w:divBdr>
    </w:div>
    <w:div w:id="1650403428">
      <w:bodyDiv w:val="1"/>
      <w:marLeft w:val="0"/>
      <w:marRight w:val="0"/>
      <w:marTop w:val="0"/>
      <w:marBottom w:val="0"/>
      <w:divBdr>
        <w:top w:val="none" w:sz="0" w:space="0" w:color="auto"/>
        <w:left w:val="none" w:sz="0" w:space="0" w:color="auto"/>
        <w:bottom w:val="none" w:sz="0" w:space="0" w:color="auto"/>
        <w:right w:val="none" w:sz="0" w:space="0" w:color="auto"/>
      </w:divBdr>
    </w:div>
    <w:div w:id="1650551483">
      <w:bodyDiv w:val="1"/>
      <w:marLeft w:val="0"/>
      <w:marRight w:val="0"/>
      <w:marTop w:val="0"/>
      <w:marBottom w:val="0"/>
      <w:divBdr>
        <w:top w:val="none" w:sz="0" w:space="0" w:color="auto"/>
        <w:left w:val="none" w:sz="0" w:space="0" w:color="auto"/>
        <w:bottom w:val="none" w:sz="0" w:space="0" w:color="auto"/>
        <w:right w:val="none" w:sz="0" w:space="0" w:color="auto"/>
      </w:divBdr>
    </w:div>
    <w:div w:id="1650672852">
      <w:bodyDiv w:val="1"/>
      <w:marLeft w:val="0"/>
      <w:marRight w:val="0"/>
      <w:marTop w:val="0"/>
      <w:marBottom w:val="0"/>
      <w:divBdr>
        <w:top w:val="none" w:sz="0" w:space="0" w:color="auto"/>
        <w:left w:val="none" w:sz="0" w:space="0" w:color="auto"/>
        <w:bottom w:val="none" w:sz="0" w:space="0" w:color="auto"/>
        <w:right w:val="none" w:sz="0" w:space="0" w:color="auto"/>
      </w:divBdr>
    </w:div>
    <w:div w:id="1651984373">
      <w:bodyDiv w:val="1"/>
      <w:marLeft w:val="0"/>
      <w:marRight w:val="0"/>
      <w:marTop w:val="0"/>
      <w:marBottom w:val="0"/>
      <w:divBdr>
        <w:top w:val="none" w:sz="0" w:space="0" w:color="auto"/>
        <w:left w:val="none" w:sz="0" w:space="0" w:color="auto"/>
        <w:bottom w:val="none" w:sz="0" w:space="0" w:color="auto"/>
        <w:right w:val="none" w:sz="0" w:space="0" w:color="auto"/>
      </w:divBdr>
    </w:div>
    <w:div w:id="1652709015">
      <w:bodyDiv w:val="1"/>
      <w:marLeft w:val="0"/>
      <w:marRight w:val="0"/>
      <w:marTop w:val="0"/>
      <w:marBottom w:val="0"/>
      <w:divBdr>
        <w:top w:val="none" w:sz="0" w:space="0" w:color="auto"/>
        <w:left w:val="none" w:sz="0" w:space="0" w:color="auto"/>
        <w:bottom w:val="none" w:sz="0" w:space="0" w:color="auto"/>
        <w:right w:val="none" w:sz="0" w:space="0" w:color="auto"/>
      </w:divBdr>
    </w:div>
    <w:div w:id="1652710807">
      <w:bodyDiv w:val="1"/>
      <w:marLeft w:val="0"/>
      <w:marRight w:val="0"/>
      <w:marTop w:val="0"/>
      <w:marBottom w:val="0"/>
      <w:divBdr>
        <w:top w:val="none" w:sz="0" w:space="0" w:color="auto"/>
        <w:left w:val="none" w:sz="0" w:space="0" w:color="auto"/>
        <w:bottom w:val="none" w:sz="0" w:space="0" w:color="auto"/>
        <w:right w:val="none" w:sz="0" w:space="0" w:color="auto"/>
      </w:divBdr>
    </w:div>
    <w:div w:id="1653177612">
      <w:bodyDiv w:val="1"/>
      <w:marLeft w:val="0"/>
      <w:marRight w:val="0"/>
      <w:marTop w:val="0"/>
      <w:marBottom w:val="0"/>
      <w:divBdr>
        <w:top w:val="none" w:sz="0" w:space="0" w:color="auto"/>
        <w:left w:val="none" w:sz="0" w:space="0" w:color="auto"/>
        <w:bottom w:val="none" w:sz="0" w:space="0" w:color="auto"/>
        <w:right w:val="none" w:sz="0" w:space="0" w:color="auto"/>
      </w:divBdr>
    </w:div>
    <w:div w:id="1653366490">
      <w:bodyDiv w:val="1"/>
      <w:marLeft w:val="0"/>
      <w:marRight w:val="0"/>
      <w:marTop w:val="0"/>
      <w:marBottom w:val="0"/>
      <w:divBdr>
        <w:top w:val="none" w:sz="0" w:space="0" w:color="auto"/>
        <w:left w:val="none" w:sz="0" w:space="0" w:color="auto"/>
        <w:bottom w:val="none" w:sz="0" w:space="0" w:color="auto"/>
        <w:right w:val="none" w:sz="0" w:space="0" w:color="auto"/>
      </w:divBdr>
    </w:div>
    <w:div w:id="1653632177">
      <w:bodyDiv w:val="1"/>
      <w:marLeft w:val="0"/>
      <w:marRight w:val="0"/>
      <w:marTop w:val="0"/>
      <w:marBottom w:val="0"/>
      <w:divBdr>
        <w:top w:val="none" w:sz="0" w:space="0" w:color="auto"/>
        <w:left w:val="none" w:sz="0" w:space="0" w:color="auto"/>
        <w:bottom w:val="none" w:sz="0" w:space="0" w:color="auto"/>
        <w:right w:val="none" w:sz="0" w:space="0" w:color="auto"/>
      </w:divBdr>
    </w:div>
    <w:div w:id="1653635753">
      <w:bodyDiv w:val="1"/>
      <w:marLeft w:val="0"/>
      <w:marRight w:val="0"/>
      <w:marTop w:val="0"/>
      <w:marBottom w:val="0"/>
      <w:divBdr>
        <w:top w:val="none" w:sz="0" w:space="0" w:color="auto"/>
        <w:left w:val="none" w:sz="0" w:space="0" w:color="auto"/>
        <w:bottom w:val="none" w:sz="0" w:space="0" w:color="auto"/>
        <w:right w:val="none" w:sz="0" w:space="0" w:color="auto"/>
      </w:divBdr>
    </w:div>
    <w:div w:id="1653636328">
      <w:bodyDiv w:val="1"/>
      <w:marLeft w:val="0"/>
      <w:marRight w:val="0"/>
      <w:marTop w:val="0"/>
      <w:marBottom w:val="0"/>
      <w:divBdr>
        <w:top w:val="none" w:sz="0" w:space="0" w:color="auto"/>
        <w:left w:val="none" w:sz="0" w:space="0" w:color="auto"/>
        <w:bottom w:val="none" w:sz="0" w:space="0" w:color="auto"/>
        <w:right w:val="none" w:sz="0" w:space="0" w:color="auto"/>
      </w:divBdr>
    </w:div>
    <w:div w:id="1654025266">
      <w:bodyDiv w:val="1"/>
      <w:marLeft w:val="0"/>
      <w:marRight w:val="0"/>
      <w:marTop w:val="0"/>
      <w:marBottom w:val="0"/>
      <w:divBdr>
        <w:top w:val="none" w:sz="0" w:space="0" w:color="auto"/>
        <w:left w:val="none" w:sz="0" w:space="0" w:color="auto"/>
        <w:bottom w:val="none" w:sz="0" w:space="0" w:color="auto"/>
        <w:right w:val="none" w:sz="0" w:space="0" w:color="auto"/>
      </w:divBdr>
    </w:div>
    <w:div w:id="1654262010">
      <w:bodyDiv w:val="1"/>
      <w:marLeft w:val="0"/>
      <w:marRight w:val="0"/>
      <w:marTop w:val="0"/>
      <w:marBottom w:val="0"/>
      <w:divBdr>
        <w:top w:val="none" w:sz="0" w:space="0" w:color="auto"/>
        <w:left w:val="none" w:sz="0" w:space="0" w:color="auto"/>
        <w:bottom w:val="none" w:sz="0" w:space="0" w:color="auto"/>
        <w:right w:val="none" w:sz="0" w:space="0" w:color="auto"/>
      </w:divBdr>
    </w:div>
    <w:div w:id="1654674861">
      <w:bodyDiv w:val="1"/>
      <w:marLeft w:val="0"/>
      <w:marRight w:val="0"/>
      <w:marTop w:val="0"/>
      <w:marBottom w:val="0"/>
      <w:divBdr>
        <w:top w:val="none" w:sz="0" w:space="0" w:color="auto"/>
        <w:left w:val="none" w:sz="0" w:space="0" w:color="auto"/>
        <w:bottom w:val="none" w:sz="0" w:space="0" w:color="auto"/>
        <w:right w:val="none" w:sz="0" w:space="0" w:color="auto"/>
      </w:divBdr>
    </w:div>
    <w:div w:id="1656449919">
      <w:bodyDiv w:val="1"/>
      <w:marLeft w:val="0"/>
      <w:marRight w:val="0"/>
      <w:marTop w:val="0"/>
      <w:marBottom w:val="0"/>
      <w:divBdr>
        <w:top w:val="none" w:sz="0" w:space="0" w:color="auto"/>
        <w:left w:val="none" w:sz="0" w:space="0" w:color="auto"/>
        <w:bottom w:val="none" w:sz="0" w:space="0" w:color="auto"/>
        <w:right w:val="none" w:sz="0" w:space="0" w:color="auto"/>
      </w:divBdr>
    </w:div>
    <w:div w:id="1658529732">
      <w:bodyDiv w:val="1"/>
      <w:marLeft w:val="0"/>
      <w:marRight w:val="0"/>
      <w:marTop w:val="0"/>
      <w:marBottom w:val="0"/>
      <w:divBdr>
        <w:top w:val="none" w:sz="0" w:space="0" w:color="auto"/>
        <w:left w:val="none" w:sz="0" w:space="0" w:color="auto"/>
        <w:bottom w:val="none" w:sz="0" w:space="0" w:color="auto"/>
        <w:right w:val="none" w:sz="0" w:space="0" w:color="auto"/>
      </w:divBdr>
    </w:div>
    <w:div w:id="1658610626">
      <w:bodyDiv w:val="1"/>
      <w:marLeft w:val="0"/>
      <w:marRight w:val="0"/>
      <w:marTop w:val="0"/>
      <w:marBottom w:val="0"/>
      <w:divBdr>
        <w:top w:val="none" w:sz="0" w:space="0" w:color="auto"/>
        <w:left w:val="none" w:sz="0" w:space="0" w:color="auto"/>
        <w:bottom w:val="none" w:sz="0" w:space="0" w:color="auto"/>
        <w:right w:val="none" w:sz="0" w:space="0" w:color="auto"/>
      </w:divBdr>
    </w:div>
    <w:div w:id="1659529423">
      <w:bodyDiv w:val="1"/>
      <w:marLeft w:val="0"/>
      <w:marRight w:val="0"/>
      <w:marTop w:val="0"/>
      <w:marBottom w:val="0"/>
      <w:divBdr>
        <w:top w:val="none" w:sz="0" w:space="0" w:color="auto"/>
        <w:left w:val="none" w:sz="0" w:space="0" w:color="auto"/>
        <w:bottom w:val="none" w:sz="0" w:space="0" w:color="auto"/>
        <w:right w:val="none" w:sz="0" w:space="0" w:color="auto"/>
      </w:divBdr>
    </w:div>
    <w:div w:id="1660116704">
      <w:bodyDiv w:val="1"/>
      <w:marLeft w:val="0"/>
      <w:marRight w:val="0"/>
      <w:marTop w:val="0"/>
      <w:marBottom w:val="0"/>
      <w:divBdr>
        <w:top w:val="none" w:sz="0" w:space="0" w:color="auto"/>
        <w:left w:val="none" w:sz="0" w:space="0" w:color="auto"/>
        <w:bottom w:val="none" w:sz="0" w:space="0" w:color="auto"/>
        <w:right w:val="none" w:sz="0" w:space="0" w:color="auto"/>
      </w:divBdr>
    </w:div>
    <w:div w:id="1660765453">
      <w:bodyDiv w:val="1"/>
      <w:marLeft w:val="0"/>
      <w:marRight w:val="0"/>
      <w:marTop w:val="0"/>
      <w:marBottom w:val="0"/>
      <w:divBdr>
        <w:top w:val="none" w:sz="0" w:space="0" w:color="auto"/>
        <w:left w:val="none" w:sz="0" w:space="0" w:color="auto"/>
        <w:bottom w:val="none" w:sz="0" w:space="0" w:color="auto"/>
        <w:right w:val="none" w:sz="0" w:space="0" w:color="auto"/>
      </w:divBdr>
    </w:div>
    <w:div w:id="1660958832">
      <w:bodyDiv w:val="1"/>
      <w:marLeft w:val="0"/>
      <w:marRight w:val="0"/>
      <w:marTop w:val="0"/>
      <w:marBottom w:val="0"/>
      <w:divBdr>
        <w:top w:val="none" w:sz="0" w:space="0" w:color="auto"/>
        <w:left w:val="none" w:sz="0" w:space="0" w:color="auto"/>
        <w:bottom w:val="none" w:sz="0" w:space="0" w:color="auto"/>
        <w:right w:val="none" w:sz="0" w:space="0" w:color="auto"/>
      </w:divBdr>
    </w:div>
    <w:div w:id="1661616737">
      <w:bodyDiv w:val="1"/>
      <w:marLeft w:val="0"/>
      <w:marRight w:val="0"/>
      <w:marTop w:val="0"/>
      <w:marBottom w:val="0"/>
      <w:divBdr>
        <w:top w:val="none" w:sz="0" w:space="0" w:color="auto"/>
        <w:left w:val="none" w:sz="0" w:space="0" w:color="auto"/>
        <w:bottom w:val="none" w:sz="0" w:space="0" w:color="auto"/>
        <w:right w:val="none" w:sz="0" w:space="0" w:color="auto"/>
      </w:divBdr>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
    <w:div w:id="1664502487">
      <w:bodyDiv w:val="1"/>
      <w:marLeft w:val="0"/>
      <w:marRight w:val="0"/>
      <w:marTop w:val="0"/>
      <w:marBottom w:val="0"/>
      <w:divBdr>
        <w:top w:val="none" w:sz="0" w:space="0" w:color="auto"/>
        <w:left w:val="none" w:sz="0" w:space="0" w:color="auto"/>
        <w:bottom w:val="none" w:sz="0" w:space="0" w:color="auto"/>
        <w:right w:val="none" w:sz="0" w:space="0" w:color="auto"/>
      </w:divBdr>
    </w:div>
    <w:div w:id="1665695541">
      <w:bodyDiv w:val="1"/>
      <w:marLeft w:val="0"/>
      <w:marRight w:val="0"/>
      <w:marTop w:val="0"/>
      <w:marBottom w:val="0"/>
      <w:divBdr>
        <w:top w:val="none" w:sz="0" w:space="0" w:color="auto"/>
        <w:left w:val="none" w:sz="0" w:space="0" w:color="auto"/>
        <w:bottom w:val="none" w:sz="0" w:space="0" w:color="auto"/>
        <w:right w:val="none" w:sz="0" w:space="0" w:color="auto"/>
      </w:divBdr>
    </w:div>
    <w:div w:id="1666009400">
      <w:bodyDiv w:val="1"/>
      <w:marLeft w:val="0"/>
      <w:marRight w:val="0"/>
      <w:marTop w:val="0"/>
      <w:marBottom w:val="0"/>
      <w:divBdr>
        <w:top w:val="none" w:sz="0" w:space="0" w:color="auto"/>
        <w:left w:val="none" w:sz="0" w:space="0" w:color="auto"/>
        <w:bottom w:val="none" w:sz="0" w:space="0" w:color="auto"/>
        <w:right w:val="none" w:sz="0" w:space="0" w:color="auto"/>
      </w:divBdr>
    </w:div>
    <w:div w:id="1666938686">
      <w:bodyDiv w:val="1"/>
      <w:marLeft w:val="0"/>
      <w:marRight w:val="0"/>
      <w:marTop w:val="0"/>
      <w:marBottom w:val="0"/>
      <w:divBdr>
        <w:top w:val="none" w:sz="0" w:space="0" w:color="auto"/>
        <w:left w:val="none" w:sz="0" w:space="0" w:color="auto"/>
        <w:bottom w:val="none" w:sz="0" w:space="0" w:color="auto"/>
        <w:right w:val="none" w:sz="0" w:space="0" w:color="auto"/>
      </w:divBdr>
    </w:div>
    <w:div w:id="1669670892">
      <w:bodyDiv w:val="1"/>
      <w:marLeft w:val="0"/>
      <w:marRight w:val="0"/>
      <w:marTop w:val="0"/>
      <w:marBottom w:val="0"/>
      <w:divBdr>
        <w:top w:val="none" w:sz="0" w:space="0" w:color="auto"/>
        <w:left w:val="none" w:sz="0" w:space="0" w:color="auto"/>
        <w:bottom w:val="none" w:sz="0" w:space="0" w:color="auto"/>
        <w:right w:val="none" w:sz="0" w:space="0" w:color="auto"/>
      </w:divBdr>
    </w:div>
    <w:div w:id="1669795913">
      <w:bodyDiv w:val="1"/>
      <w:marLeft w:val="0"/>
      <w:marRight w:val="0"/>
      <w:marTop w:val="0"/>
      <w:marBottom w:val="0"/>
      <w:divBdr>
        <w:top w:val="none" w:sz="0" w:space="0" w:color="auto"/>
        <w:left w:val="none" w:sz="0" w:space="0" w:color="auto"/>
        <w:bottom w:val="none" w:sz="0" w:space="0" w:color="auto"/>
        <w:right w:val="none" w:sz="0" w:space="0" w:color="auto"/>
      </w:divBdr>
    </w:div>
    <w:div w:id="1670674538">
      <w:bodyDiv w:val="1"/>
      <w:marLeft w:val="0"/>
      <w:marRight w:val="0"/>
      <w:marTop w:val="0"/>
      <w:marBottom w:val="0"/>
      <w:divBdr>
        <w:top w:val="none" w:sz="0" w:space="0" w:color="auto"/>
        <w:left w:val="none" w:sz="0" w:space="0" w:color="auto"/>
        <w:bottom w:val="none" w:sz="0" w:space="0" w:color="auto"/>
        <w:right w:val="none" w:sz="0" w:space="0" w:color="auto"/>
      </w:divBdr>
    </w:div>
    <w:div w:id="1671985785">
      <w:bodyDiv w:val="1"/>
      <w:marLeft w:val="0"/>
      <w:marRight w:val="0"/>
      <w:marTop w:val="0"/>
      <w:marBottom w:val="0"/>
      <w:divBdr>
        <w:top w:val="none" w:sz="0" w:space="0" w:color="auto"/>
        <w:left w:val="none" w:sz="0" w:space="0" w:color="auto"/>
        <w:bottom w:val="none" w:sz="0" w:space="0" w:color="auto"/>
        <w:right w:val="none" w:sz="0" w:space="0" w:color="auto"/>
      </w:divBdr>
    </w:div>
    <w:div w:id="1672902971">
      <w:bodyDiv w:val="1"/>
      <w:marLeft w:val="0"/>
      <w:marRight w:val="0"/>
      <w:marTop w:val="0"/>
      <w:marBottom w:val="0"/>
      <w:divBdr>
        <w:top w:val="none" w:sz="0" w:space="0" w:color="auto"/>
        <w:left w:val="none" w:sz="0" w:space="0" w:color="auto"/>
        <w:bottom w:val="none" w:sz="0" w:space="0" w:color="auto"/>
        <w:right w:val="none" w:sz="0" w:space="0" w:color="auto"/>
      </w:divBdr>
    </w:div>
    <w:div w:id="1673875851">
      <w:bodyDiv w:val="1"/>
      <w:marLeft w:val="0"/>
      <w:marRight w:val="0"/>
      <w:marTop w:val="0"/>
      <w:marBottom w:val="0"/>
      <w:divBdr>
        <w:top w:val="none" w:sz="0" w:space="0" w:color="auto"/>
        <w:left w:val="none" w:sz="0" w:space="0" w:color="auto"/>
        <w:bottom w:val="none" w:sz="0" w:space="0" w:color="auto"/>
        <w:right w:val="none" w:sz="0" w:space="0" w:color="auto"/>
      </w:divBdr>
    </w:div>
    <w:div w:id="1674455606">
      <w:bodyDiv w:val="1"/>
      <w:marLeft w:val="0"/>
      <w:marRight w:val="0"/>
      <w:marTop w:val="0"/>
      <w:marBottom w:val="0"/>
      <w:divBdr>
        <w:top w:val="none" w:sz="0" w:space="0" w:color="auto"/>
        <w:left w:val="none" w:sz="0" w:space="0" w:color="auto"/>
        <w:bottom w:val="none" w:sz="0" w:space="0" w:color="auto"/>
        <w:right w:val="none" w:sz="0" w:space="0" w:color="auto"/>
      </w:divBdr>
    </w:div>
    <w:div w:id="1675843961">
      <w:bodyDiv w:val="1"/>
      <w:marLeft w:val="0"/>
      <w:marRight w:val="0"/>
      <w:marTop w:val="0"/>
      <w:marBottom w:val="0"/>
      <w:divBdr>
        <w:top w:val="none" w:sz="0" w:space="0" w:color="auto"/>
        <w:left w:val="none" w:sz="0" w:space="0" w:color="auto"/>
        <w:bottom w:val="none" w:sz="0" w:space="0" w:color="auto"/>
        <w:right w:val="none" w:sz="0" w:space="0" w:color="auto"/>
      </w:divBdr>
    </w:div>
    <w:div w:id="1676034680">
      <w:bodyDiv w:val="1"/>
      <w:marLeft w:val="0"/>
      <w:marRight w:val="0"/>
      <w:marTop w:val="0"/>
      <w:marBottom w:val="0"/>
      <w:divBdr>
        <w:top w:val="none" w:sz="0" w:space="0" w:color="auto"/>
        <w:left w:val="none" w:sz="0" w:space="0" w:color="auto"/>
        <w:bottom w:val="none" w:sz="0" w:space="0" w:color="auto"/>
        <w:right w:val="none" w:sz="0" w:space="0" w:color="auto"/>
      </w:divBdr>
    </w:div>
    <w:div w:id="1678267306">
      <w:bodyDiv w:val="1"/>
      <w:marLeft w:val="0"/>
      <w:marRight w:val="0"/>
      <w:marTop w:val="0"/>
      <w:marBottom w:val="0"/>
      <w:divBdr>
        <w:top w:val="none" w:sz="0" w:space="0" w:color="auto"/>
        <w:left w:val="none" w:sz="0" w:space="0" w:color="auto"/>
        <w:bottom w:val="none" w:sz="0" w:space="0" w:color="auto"/>
        <w:right w:val="none" w:sz="0" w:space="0" w:color="auto"/>
      </w:divBdr>
    </w:div>
    <w:div w:id="1679187408">
      <w:bodyDiv w:val="1"/>
      <w:marLeft w:val="0"/>
      <w:marRight w:val="0"/>
      <w:marTop w:val="0"/>
      <w:marBottom w:val="0"/>
      <w:divBdr>
        <w:top w:val="none" w:sz="0" w:space="0" w:color="auto"/>
        <w:left w:val="none" w:sz="0" w:space="0" w:color="auto"/>
        <w:bottom w:val="none" w:sz="0" w:space="0" w:color="auto"/>
        <w:right w:val="none" w:sz="0" w:space="0" w:color="auto"/>
      </w:divBdr>
    </w:div>
    <w:div w:id="1679386919">
      <w:bodyDiv w:val="1"/>
      <w:marLeft w:val="0"/>
      <w:marRight w:val="0"/>
      <w:marTop w:val="0"/>
      <w:marBottom w:val="0"/>
      <w:divBdr>
        <w:top w:val="none" w:sz="0" w:space="0" w:color="auto"/>
        <w:left w:val="none" w:sz="0" w:space="0" w:color="auto"/>
        <w:bottom w:val="none" w:sz="0" w:space="0" w:color="auto"/>
        <w:right w:val="none" w:sz="0" w:space="0" w:color="auto"/>
      </w:divBdr>
      <w:divsChild>
        <w:div w:id="182283317">
          <w:marLeft w:val="0"/>
          <w:marRight w:val="0"/>
          <w:marTop w:val="0"/>
          <w:marBottom w:val="0"/>
          <w:divBdr>
            <w:top w:val="none" w:sz="0" w:space="0" w:color="auto"/>
            <w:left w:val="none" w:sz="0" w:space="0" w:color="auto"/>
            <w:bottom w:val="none" w:sz="0" w:space="0" w:color="auto"/>
            <w:right w:val="none" w:sz="0" w:space="0" w:color="auto"/>
          </w:divBdr>
        </w:div>
      </w:divsChild>
    </w:div>
    <w:div w:id="1679455035">
      <w:bodyDiv w:val="1"/>
      <w:marLeft w:val="0"/>
      <w:marRight w:val="0"/>
      <w:marTop w:val="0"/>
      <w:marBottom w:val="0"/>
      <w:divBdr>
        <w:top w:val="none" w:sz="0" w:space="0" w:color="auto"/>
        <w:left w:val="none" w:sz="0" w:space="0" w:color="auto"/>
        <w:bottom w:val="none" w:sz="0" w:space="0" w:color="auto"/>
        <w:right w:val="none" w:sz="0" w:space="0" w:color="auto"/>
      </w:divBdr>
    </w:div>
    <w:div w:id="1679697162">
      <w:bodyDiv w:val="1"/>
      <w:marLeft w:val="0"/>
      <w:marRight w:val="0"/>
      <w:marTop w:val="0"/>
      <w:marBottom w:val="0"/>
      <w:divBdr>
        <w:top w:val="none" w:sz="0" w:space="0" w:color="auto"/>
        <w:left w:val="none" w:sz="0" w:space="0" w:color="auto"/>
        <w:bottom w:val="none" w:sz="0" w:space="0" w:color="auto"/>
        <w:right w:val="none" w:sz="0" w:space="0" w:color="auto"/>
      </w:divBdr>
    </w:div>
    <w:div w:id="1680152827">
      <w:bodyDiv w:val="1"/>
      <w:marLeft w:val="0"/>
      <w:marRight w:val="0"/>
      <w:marTop w:val="0"/>
      <w:marBottom w:val="0"/>
      <w:divBdr>
        <w:top w:val="none" w:sz="0" w:space="0" w:color="auto"/>
        <w:left w:val="none" w:sz="0" w:space="0" w:color="auto"/>
        <w:bottom w:val="none" w:sz="0" w:space="0" w:color="auto"/>
        <w:right w:val="none" w:sz="0" w:space="0" w:color="auto"/>
      </w:divBdr>
    </w:div>
    <w:div w:id="1683432355">
      <w:bodyDiv w:val="1"/>
      <w:marLeft w:val="0"/>
      <w:marRight w:val="0"/>
      <w:marTop w:val="0"/>
      <w:marBottom w:val="0"/>
      <w:divBdr>
        <w:top w:val="none" w:sz="0" w:space="0" w:color="auto"/>
        <w:left w:val="none" w:sz="0" w:space="0" w:color="auto"/>
        <w:bottom w:val="none" w:sz="0" w:space="0" w:color="auto"/>
        <w:right w:val="none" w:sz="0" w:space="0" w:color="auto"/>
      </w:divBdr>
    </w:div>
    <w:div w:id="1685479702">
      <w:bodyDiv w:val="1"/>
      <w:marLeft w:val="0"/>
      <w:marRight w:val="0"/>
      <w:marTop w:val="0"/>
      <w:marBottom w:val="0"/>
      <w:divBdr>
        <w:top w:val="none" w:sz="0" w:space="0" w:color="auto"/>
        <w:left w:val="none" w:sz="0" w:space="0" w:color="auto"/>
        <w:bottom w:val="none" w:sz="0" w:space="0" w:color="auto"/>
        <w:right w:val="none" w:sz="0" w:space="0" w:color="auto"/>
      </w:divBdr>
    </w:div>
    <w:div w:id="1685939580">
      <w:bodyDiv w:val="1"/>
      <w:marLeft w:val="0"/>
      <w:marRight w:val="0"/>
      <w:marTop w:val="0"/>
      <w:marBottom w:val="0"/>
      <w:divBdr>
        <w:top w:val="none" w:sz="0" w:space="0" w:color="auto"/>
        <w:left w:val="none" w:sz="0" w:space="0" w:color="auto"/>
        <w:bottom w:val="none" w:sz="0" w:space="0" w:color="auto"/>
        <w:right w:val="none" w:sz="0" w:space="0" w:color="auto"/>
      </w:divBdr>
    </w:div>
    <w:div w:id="1687441219">
      <w:bodyDiv w:val="1"/>
      <w:marLeft w:val="0"/>
      <w:marRight w:val="0"/>
      <w:marTop w:val="0"/>
      <w:marBottom w:val="0"/>
      <w:divBdr>
        <w:top w:val="none" w:sz="0" w:space="0" w:color="auto"/>
        <w:left w:val="none" w:sz="0" w:space="0" w:color="auto"/>
        <w:bottom w:val="none" w:sz="0" w:space="0" w:color="auto"/>
        <w:right w:val="none" w:sz="0" w:space="0" w:color="auto"/>
      </w:divBdr>
    </w:div>
    <w:div w:id="1687629912">
      <w:bodyDiv w:val="1"/>
      <w:marLeft w:val="0"/>
      <w:marRight w:val="0"/>
      <w:marTop w:val="0"/>
      <w:marBottom w:val="0"/>
      <w:divBdr>
        <w:top w:val="none" w:sz="0" w:space="0" w:color="auto"/>
        <w:left w:val="none" w:sz="0" w:space="0" w:color="auto"/>
        <w:bottom w:val="none" w:sz="0" w:space="0" w:color="auto"/>
        <w:right w:val="none" w:sz="0" w:space="0" w:color="auto"/>
      </w:divBdr>
    </w:div>
    <w:div w:id="1687949090">
      <w:bodyDiv w:val="1"/>
      <w:marLeft w:val="0"/>
      <w:marRight w:val="0"/>
      <w:marTop w:val="0"/>
      <w:marBottom w:val="0"/>
      <w:divBdr>
        <w:top w:val="none" w:sz="0" w:space="0" w:color="auto"/>
        <w:left w:val="none" w:sz="0" w:space="0" w:color="auto"/>
        <w:bottom w:val="none" w:sz="0" w:space="0" w:color="auto"/>
        <w:right w:val="none" w:sz="0" w:space="0" w:color="auto"/>
      </w:divBdr>
    </w:div>
    <w:div w:id="1688865292">
      <w:bodyDiv w:val="1"/>
      <w:marLeft w:val="0"/>
      <w:marRight w:val="0"/>
      <w:marTop w:val="0"/>
      <w:marBottom w:val="0"/>
      <w:divBdr>
        <w:top w:val="none" w:sz="0" w:space="0" w:color="auto"/>
        <w:left w:val="none" w:sz="0" w:space="0" w:color="auto"/>
        <w:bottom w:val="none" w:sz="0" w:space="0" w:color="auto"/>
        <w:right w:val="none" w:sz="0" w:space="0" w:color="auto"/>
      </w:divBdr>
    </w:div>
    <w:div w:id="1692486844">
      <w:bodyDiv w:val="1"/>
      <w:marLeft w:val="0"/>
      <w:marRight w:val="0"/>
      <w:marTop w:val="0"/>
      <w:marBottom w:val="0"/>
      <w:divBdr>
        <w:top w:val="none" w:sz="0" w:space="0" w:color="auto"/>
        <w:left w:val="none" w:sz="0" w:space="0" w:color="auto"/>
        <w:bottom w:val="none" w:sz="0" w:space="0" w:color="auto"/>
        <w:right w:val="none" w:sz="0" w:space="0" w:color="auto"/>
      </w:divBdr>
    </w:div>
    <w:div w:id="1692535198">
      <w:bodyDiv w:val="1"/>
      <w:marLeft w:val="0"/>
      <w:marRight w:val="0"/>
      <w:marTop w:val="0"/>
      <w:marBottom w:val="0"/>
      <w:divBdr>
        <w:top w:val="none" w:sz="0" w:space="0" w:color="auto"/>
        <w:left w:val="none" w:sz="0" w:space="0" w:color="auto"/>
        <w:bottom w:val="none" w:sz="0" w:space="0" w:color="auto"/>
        <w:right w:val="none" w:sz="0" w:space="0" w:color="auto"/>
      </w:divBdr>
    </w:div>
    <w:div w:id="1692608192">
      <w:bodyDiv w:val="1"/>
      <w:marLeft w:val="0"/>
      <w:marRight w:val="0"/>
      <w:marTop w:val="0"/>
      <w:marBottom w:val="0"/>
      <w:divBdr>
        <w:top w:val="none" w:sz="0" w:space="0" w:color="auto"/>
        <w:left w:val="none" w:sz="0" w:space="0" w:color="auto"/>
        <w:bottom w:val="none" w:sz="0" w:space="0" w:color="auto"/>
        <w:right w:val="none" w:sz="0" w:space="0" w:color="auto"/>
      </w:divBdr>
    </w:div>
    <w:div w:id="1693141777">
      <w:bodyDiv w:val="1"/>
      <w:marLeft w:val="0"/>
      <w:marRight w:val="0"/>
      <w:marTop w:val="0"/>
      <w:marBottom w:val="0"/>
      <w:divBdr>
        <w:top w:val="none" w:sz="0" w:space="0" w:color="auto"/>
        <w:left w:val="none" w:sz="0" w:space="0" w:color="auto"/>
        <w:bottom w:val="none" w:sz="0" w:space="0" w:color="auto"/>
        <w:right w:val="none" w:sz="0" w:space="0" w:color="auto"/>
      </w:divBdr>
    </w:div>
    <w:div w:id="1693604716">
      <w:bodyDiv w:val="1"/>
      <w:marLeft w:val="0"/>
      <w:marRight w:val="0"/>
      <w:marTop w:val="0"/>
      <w:marBottom w:val="0"/>
      <w:divBdr>
        <w:top w:val="none" w:sz="0" w:space="0" w:color="auto"/>
        <w:left w:val="none" w:sz="0" w:space="0" w:color="auto"/>
        <w:bottom w:val="none" w:sz="0" w:space="0" w:color="auto"/>
        <w:right w:val="none" w:sz="0" w:space="0" w:color="auto"/>
      </w:divBdr>
    </w:div>
    <w:div w:id="1693989764">
      <w:bodyDiv w:val="1"/>
      <w:marLeft w:val="0"/>
      <w:marRight w:val="0"/>
      <w:marTop w:val="0"/>
      <w:marBottom w:val="0"/>
      <w:divBdr>
        <w:top w:val="none" w:sz="0" w:space="0" w:color="auto"/>
        <w:left w:val="none" w:sz="0" w:space="0" w:color="auto"/>
        <w:bottom w:val="none" w:sz="0" w:space="0" w:color="auto"/>
        <w:right w:val="none" w:sz="0" w:space="0" w:color="auto"/>
      </w:divBdr>
    </w:div>
    <w:div w:id="1695496594">
      <w:bodyDiv w:val="1"/>
      <w:marLeft w:val="0"/>
      <w:marRight w:val="0"/>
      <w:marTop w:val="0"/>
      <w:marBottom w:val="0"/>
      <w:divBdr>
        <w:top w:val="none" w:sz="0" w:space="0" w:color="auto"/>
        <w:left w:val="none" w:sz="0" w:space="0" w:color="auto"/>
        <w:bottom w:val="none" w:sz="0" w:space="0" w:color="auto"/>
        <w:right w:val="none" w:sz="0" w:space="0" w:color="auto"/>
      </w:divBdr>
    </w:div>
    <w:div w:id="1696999242">
      <w:bodyDiv w:val="1"/>
      <w:marLeft w:val="0"/>
      <w:marRight w:val="0"/>
      <w:marTop w:val="0"/>
      <w:marBottom w:val="0"/>
      <w:divBdr>
        <w:top w:val="none" w:sz="0" w:space="0" w:color="auto"/>
        <w:left w:val="none" w:sz="0" w:space="0" w:color="auto"/>
        <w:bottom w:val="none" w:sz="0" w:space="0" w:color="auto"/>
        <w:right w:val="none" w:sz="0" w:space="0" w:color="auto"/>
      </w:divBdr>
    </w:div>
    <w:div w:id="1697152013">
      <w:bodyDiv w:val="1"/>
      <w:marLeft w:val="0"/>
      <w:marRight w:val="0"/>
      <w:marTop w:val="0"/>
      <w:marBottom w:val="0"/>
      <w:divBdr>
        <w:top w:val="none" w:sz="0" w:space="0" w:color="auto"/>
        <w:left w:val="none" w:sz="0" w:space="0" w:color="auto"/>
        <w:bottom w:val="none" w:sz="0" w:space="0" w:color="auto"/>
        <w:right w:val="none" w:sz="0" w:space="0" w:color="auto"/>
      </w:divBdr>
    </w:div>
    <w:div w:id="1699157748">
      <w:bodyDiv w:val="1"/>
      <w:marLeft w:val="0"/>
      <w:marRight w:val="0"/>
      <w:marTop w:val="0"/>
      <w:marBottom w:val="0"/>
      <w:divBdr>
        <w:top w:val="none" w:sz="0" w:space="0" w:color="auto"/>
        <w:left w:val="none" w:sz="0" w:space="0" w:color="auto"/>
        <w:bottom w:val="none" w:sz="0" w:space="0" w:color="auto"/>
        <w:right w:val="none" w:sz="0" w:space="0" w:color="auto"/>
      </w:divBdr>
    </w:div>
    <w:div w:id="1699162595">
      <w:bodyDiv w:val="1"/>
      <w:marLeft w:val="0"/>
      <w:marRight w:val="0"/>
      <w:marTop w:val="0"/>
      <w:marBottom w:val="0"/>
      <w:divBdr>
        <w:top w:val="none" w:sz="0" w:space="0" w:color="auto"/>
        <w:left w:val="none" w:sz="0" w:space="0" w:color="auto"/>
        <w:bottom w:val="none" w:sz="0" w:space="0" w:color="auto"/>
        <w:right w:val="none" w:sz="0" w:space="0" w:color="auto"/>
      </w:divBdr>
    </w:div>
    <w:div w:id="1701204043">
      <w:bodyDiv w:val="1"/>
      <w:marLeft w:val="0"/>
      <w:marRight w:val="0"/>
      <w:marTop w:val="0"/>
      <w:marBottom w:val="0"/>
      <w:divBdr>
        <w:top w:val="none" w:sz="0" w:space="0" w:color="auto"/>
        <w:left w:val="none" w:sz="0" w:space="0" w:color="auto"/>
        <w:bottom w:val="none" w:sz="0" w:space="0" w:color="auto"/>
        <w:right w:val="none" w:sz="0" w:space="0" w:color="auto"/>
      </w:divBdr>
    </w:div>
    <w:div w:id="1702046241">
      <w:bodyDiv w:val="1"/>
      <w:marLeft w:val="0"/>
      <w:marRight w:val="0"/>
      <w:marTop w:val="0"/>
      <w:marBottom w:val="0"/>
      <w:divBdr>
        <w:top w:val="none" w:sz="0" w:space="0" w:color="auto"/>
        <w:left w:val="none" w:sz="0" w:space="0" w:color="auto"/>
        <w:bottom w:val="none" w:sz="0" w:space="0" w:color="auto"/>
        <w:right w:val="none" w:sz="0" w:space="0" w:color="auto"/>
      </w:divBdr>
    </w:div>
    <w:div w:id="1702438585">
      <w:bodyDiv w:val="1"/>
      <w:marLeft w:val="0"/>
      <w:marRight w:val="0"/>
      <w:marTop w:val="0"/>
      <w:marBottom w:val="0"/>
      <w:divBdr>
        <w:top w:val="none" w:sz="0" w:space="0" w:color="auto"/>
        <w:left w:val="none" w:sz="0" w:space="0" w:color="auto"/>
        <w:bottom w:val="none" w:sz="0" w:space="0" w:color="auto"/>
        <w:right w:val="none" w:sz="0" w:space="0" w:color="auto"/>
      </w:divBdr>
    </w:div>
    <w:div w:id="1702441662">
      <w:bodyDiv w:val="1"/>
      <w:marLeft w:val="0"/>
      <w:marRight w:val="0"/>
      <w:marTop w:val="0"/>
      <w:marBottom w:val="0"/>
      <w:divBdr>
        <w:top w:val="none" w:sz="0" w:space="0" w:color="auto"/>
        <w:left w:val="none" w:sz="0" w:space="0" w:color="auto"/>
        <w:bottom w:val="none" w:sz="0" w:space="0" w:color="auto"/>
        <w:right w:val="none" w:sz="0" w:space="0" w:color="auto"/>
      </w:divBdr>
    </w:div>
    <w:div w:id="1702784364">
      <w:bodyDiv w:val="1"/>
      <w:marLeft w:val="0"/>
      <w:marRight w:val="0"/>
      <w:marTop w:val="0"/>
      <w:marBottom w:val="0"/>
      <w:divBdr>
        <w:top w:val="none" w:sz="0" w:space="0" w:color="auto"/>
        <w:left w:val="none" w:sz="0" w:space="0" w:color="auto"/>
        <w:bottom w:val="none" w:sz="0" w:space="0" w:color="auto"/>
        <w:right w:val="none" w:sz="0" w:space="0" w:color="auto"/>
      </w:divBdr>
    </w:div>
    <w:div w:id="1704743826">
      <w:bodyDiv w:val="1"/>
      <w:marLeft w:val="0"/>
      <w:marRight w:val="0"/>
      <w:marTop w:val="0"/>
      <w:marBottom w:val="0"/>
      <w:divBdr>
        <w:top w:val="none" w:sz="0" w:space="0" w:color="auto"/>
        <w:left w:val="none" w:sz="0" w:space="0" w:color="auto"/>
        <w:bottom w:val="none" w:sz="0" w:space="0" w:color="auto"/>
        <w:right w:val="none" w:sz="0" w:space="0" w:color="auto"/>
      </w:divBdr>
    </w:div>
    <w:div w:id="1706245719">
      <w:bodyDiv w:val="1"/>
      <w:marLeft w:val="0"/>
      <w:marRight w:val="0"/>
      <w:marTop w:val="0"/>
      <w:marBottom w:val="0"/>
      <w:divBdr>
        <w:top w:val="none" w:sz="0" w:space="0" w:color="auto"/>
        <w:left w:val="none" w:sz="0" w:space="0" w:color="auto"/>
        <w:bottom w:val="none" w:sz="0" w:space="0" w:color="auto"/>
        <w:right w:val="none" w:sz="0" w:space="0" w:color="auto"/>
      </w:divBdr>
    </w:div>
    <w:div w:id="1706564950">
      <w:bodyDiv w:val="1"/>
      <w:marLeft w:val="0"/>
      <w:marRight w:val="0"/>
      <w:marTop w:val="0"/>
      <w:marBottom w:val="0"/>
      <w:divBdr>
        <w:top w:val="none" w:sz="0" w:space="0" w:color="auto"/>
        <w:left w:val="none" w:sz="0" w:space="0" w:color="auto"/>
        <w:bottom w:val="none" w:sz="0" w:space="0" w:color="auto"/>
        <w:right w:val="none" w:sz="0" w:space="0" w:color="auto"/>
      </w:divBdr>
    </w:div>
    <w:div w:id="1708261834">
      <w:bodyDiv w:val="1"/>
      <w:marLeft w:val="0"/>
      <w:marRight w:val="0"/>
      <w:marTop w:val="0"/>
      <w:marBottom w:val="0"/>
      <w:divBdr>
        <w:top w:val="none" w:sz="0" w:space="0" w:color="auto"/>
        <w:left w:val="none" w:sz="0" w:space="0" w:color="auto"/>
        <w:bottom w:val="none" w:sz="0" w:space="0" w:color="auto"/>
        <w:right w:val="none" w:sz="0" w:space="0" w:color="auto"/>
      </w:divBdr>
    </w:div>
    <w:div w:id="1708600837">
      <w:bodyDiv w:val="1"/>
      <w:marLeft w:val="0"/>
      <w:marRight w:val="0"/>
      <w:marTop w:val="0"/>
      <w:marBottom w:val="0"/>
      <w:divBdr>
        <w:top w:val="none" w:sz="0" w:space="0" w:color="auto"/>
        <w:left w:val="none" w:sz="0" w:space="0" w:color="auto"/>
        <w:bottom w:val="none" w:sz="0" w:space="0" w:color="auto"/>
        <w:right w:val="none" w:sz="0" w:space="0" w:color="auto"/>
      </w:divBdr>
    </w:div>
    <w:div w:id="1708604866">
      <w:bodyDiv w:val="1"/>
      <w:marLeft w:val="0"/>
      <w:marRight w:val="0"/>
      <w:marTop w:val="0"/>
      <w:marBottom w:val="0"/>
      <w:divBdr>
        <w:top w:val="none" w:sz="0" w:space="0" w:color="auto"/>
        <w:left w:val="none" w:sz="0" w:space="0" w:color="auto"/>
        <w:bottom w:val="none" w:sz="0" w:space="0" w:color="auto"/>
        <w:right w:val="none" w:sz="0" w:space="0" w:color="auto"/>
      </w:divBdr>
    </w:div>
    <w:div w:id="1710259994">
      <w:bodyDiv w:val="1"/>
      <w:marLeft w:val="0"/>
      <w:marRight w:val="0"/>
      <w:marTop w:val="0"/>
      <w:marBottom w:val="0"/>
      <w:divBdr>
        <w:top w:val="none" w:sz="0" w:space="0" w:color="auto"/>
        <w:left w:val="none" w:sz="0" w:space="0" w:color="auto"/>
        <w:bottom w:val="none" w:sz="0" w:space="0" w:color="auto"/>
        <w:right w:val="none" w:sz="0" w:space="0" w:color="auto"/>
      </w:divBdr>
    </w:div>
    <w:div w:id="1710832583">
      <w:bodyDiv w:val="1"/>
      <w:marLeft w:val="0"/>
      <w:marRight w:val="0"/>
      <w:marTop w:val="0"/>
      <w:marBottom w:val="0"/>
      <w:divBdr>
        <w:top w:val="none" w:sz="0" w:space="0" w:color="auto"/>
        <w:left w:val="none" w:sz="0" w:space="0" w:color="auto"/>
        <w:bottom w:val="none" w:sz="0" w:space="0" w:color="auto"/>
        <w:right w:val="none" w:sz="0" w:space="0" w:color="auto"/>
      </w:divBdr>
    </w:div>
    <w:div w:id="1710955558">
      <w:bodyDiv w:val="1"/>
      <w:marLeft w:val="0"/>
      <w:marRight w:val="0"/>
      <w:marTop w:val="0"/>
      <w:marBottom w:val="0"/>
      <w:divBdr>
        <w:top w:val="none" w:sz="0" w:space="0" w:color="auto"/>
        <w:left w:val="none" w:sz="0" w:space="0" w:color="auto"/>
        <w:bottom w:val="none" w:sz="0" w:space="0" w:color="auto"/>
        <w:right w:val="none" w:sz="0" w:space="0" w:color="auto"/>
      </w:divBdr>
    </w:div>
    <w:div w:id="1712264473">
      <w:bodyDiv w:val="1"/>
      <w:marLeft w:val="0"/>
      <w:marRight w:val="0"/>
      <w:marTop w:val="0"/>
      <w:marBottom w:val="0"/>
      <w:divBdr>
        <w:top w:val="none" w:sz="0" w:space="0" w:color="auto"/>
        <w:left w:val="none" w:sz="0" w:space="0" w:color="auto"/>
        <w:bottom w:val="none" w:sz="0" w:space="0" w:color="auto"/>
        <w:right w:val="none" w:sz="0" w:space="0" w:color="auto"/>
      </w:divBdr>
    </w:div>
    <w:div w:id="1712336656">
      <w:bodyDiv w:val="1"/>
      <w:marLeft w:val="0"/>
      <w:marRight w:val="0"/>
      <w:marTop w:val="0"/>
      <w:marBottom w:val="0"/>
      <w:divBdr>
        <w:top w:val="none" w:sz="0" w:space="0" w:color="auto"/>
        <w:left w:val="none" w:sz="0" w:space="0" w:color="auto"/>
        <w:bottom w:val="none" w:sz="0" w:space="0" w:color="auto"/>
        <w:right w:val="none" w:sz="0" w:space="0" w:color="auto"/>
      </w:divBdr>
    </w:div>
    <w:div w:id="1715544358">
      <w:bodyDiv w:val="1"/>
      <w:marLeft w:val="0"/>
      <w:marRight w:val="0"/>
      <w:marTop w:val="0"/>
      <w:marBottom w:val="0"/>
      <w:divBdr>
        <w:top w:val="none" w:sz="0" w:space="0" w:color="auto"/>
        <w:left w:val="none" w:sz="0" w:space="0" w:color="auto"/>
        <w:bottom w:val="none" w:sz="0" w:space="0" w:color="auto"/>
        <w:right w:val="none" w:sz="0" w:space="0" w:color="auto"/>
      </w:divBdr>
    </w:div>
    <w:div w:id="1715885586">
      <w:bodyDiv w:val="1"/>
      <w:marLeft w:val="0"/>
      <w:marRight w:val="0"/>
      <w:marTop w:val="0"/>
      <w:marBottom w:val="0"/>
      <w:divBdr>
        <w:top w:val="none" w:sz="0" w:space="0" w:color="auto"/>
        <w:left w:val="none" w:sz="0" w:space="0" w:color="auto"/>
        <w:bottom w:val="none" w:sz="0" w:space="0" w:color="auto"/>
        <w:right w:val="none" w:sz="0" w:space="0" w:color="auto"/>
      </w:divBdr>
    </w:div>
    <w:div w:id="1717002632">
      <w:bodyDiv w:val="1"/>
      <w:marLeft w:val="0"/>
      <w:marRight w:val="0"/>
      <w:marTop w:val="0"/>
      <w:marBottom w:val="0"/>
      <w:divBdr>
        <w:top w:val="none" w:sz="0" w:space="0" w:color="auto"/>
        <w:left w:val="none" w:sz="0" w:space="0" w:color="auto"/>
        <w:bottom w:val="none" w:sz="0" w:space="0" w:color="auto"/>
        <w:right w:val="none" w:sz="0" w:space="0" w:color="auto"/>
      </w:divBdr>
    </w:div>
    <w:div w:id="1719091513">
      <w:bodyDiv w:val="1"/>
      <w:marLeft w:val="0"/>
      <w:marRight w:val="0"/>
      <w:marTop w:val="0"/>
      <w:marBottom w:val="0"/>
      <w:divBdr>
        <w:top w:val="none" w:sz="0" w:space="0" w:color="auto"/>
        <w:left w:val="none" w:sz="0" w:space="0" w:color="auto"/>
        <w:bottom w:val="none" w:sz="0" w:space="0" w:color="auto"/>
        <w:right w:val="none" w:sz="0" w:space="0" w:color="auto"/>
      </w:divBdr>
    </w:div>
    <w:div w:id="1719741573">
      <w:bodyDiv w:val="1"/>
      <w:marLeft w:val="0"/>
      <w:marRight w:val="0"/>
      <w:marTop w:val="0"/>
      <w:marBottom w:val="0"/>
      <w:divBdr>
        <w:top w:val="none" w:sz="0" w:space="0" w:color="auto"/>
        <w:left w:val="none" w:sz="0" w:space="0" w:color="auto"/>
        <w:bottom w:val="none" w:sz="0" w:space="0" w:color="auto"/>
        <w:right w:val="none" w:sz="0" w:space="0" w:color="auto"/>
      </w:divBdr>
    </w:div>
    <w:div w:id="1720199520">
      <w:bodyDiv w:val="1"/>
      <w:marLeft w:val="0"/>
      <w:marRight w:val="0"/>
      <w:marTop w:val="0"/>
      <w:marBottom w:val="0"/>
      <w:divBdr>
        <w:top w:val="none" w:sz="0" w:space="0" w:color="auto"/>
        <w:left w:val="none" w:sz="0" w:space="0" w:color="auto"/>
        <w:bottom w:val="none" w:sz="0" w:space="0" w:color="auto"/>
        <w:right w:val="none" w:sz="0" w:space="0" w:color="auto"/>
      </w:divBdr>
    </w:div>
    <w:div w:id="1720394592">
      <w:bodyDiv w:val="1"/>
      <w:marLeft w:val="0"/>
      <w:marRight w:val="0"/>
      <w:marTop w:val="0"/>
      <w:marBottom w:val="0"/>
      <w:divBdr>
        <w:top w:val="none" w:sz="0" w:space="0" w:color="auto"/>
        <w:left w:val="none" w:sz="0" w:space="0" w:color="auto"/>
        <w:bottom w:val="none" w:sz="0" w:space="0" w:color="auto"/>
        <w:right w:val="none" w:sz="0" w:space="0" w:color="auto"/>
      </w:divBdr>
    </w:div>
    <w:div w:id="1721126729">
      <w:bodyDiv w:val="1"/>
      <w:marLeft w:val="0"/>
      <w:marRight w:val="0"/>
      <w:marTop w:val="0"/>
      <w:marBottom w:val="0"/>
      <w:divBdr>
        <w:top w:val="none" w:sz="0" w:space="0" w:color="auto"/>
        <w:left w:val="none" w:sz="0" w:space="0" w:color="auto"/>
        <w:bottom w:val="none" w:sz="0" w:space="0" w:color="auto"/>
        <w:right w:val="none" w:sz="0" w:space="0" w:color="auto"/>
      </w:divBdr>
    </w:div>
    <w:div w:id="1721436873">
      <w:bodyDiv w:val="1"/>
      <w:marLeft w:val="0"/>
      <w:marRight w:val="0"/>
      <w:marTop w:val="0"/>
      <w:marBottom w:val="0"/>
      <w:divBdr>
        <w:top w:val="none" w:sz="0" w:space="0" w:color="auto"/>
        <w:left w:val="none" w:sz="0" w:space="0" w:color="auto"/>
        <w:bottom w:val="none" w:sz="0" w:space="0" w:color="auto"/>
        <w:right w:val="none" w:sz="0" w:space="0" w:color="auto"/>
      </w:divBdr>
    </w:div>
    <w:div w:id="1722053243">
      <w:bodyDiv w:val="1"/>
      <w:marLeft w:val="0"/>
      <w:marRight w:val="0"/>
      <w:marTop w:val="0"/>
      <w:marBottom w:val="0"/>
      <w:divBdr>
        <w:top w:val="none" w:sz="0" w:space="0" w:color="auto"/>
        <w:left w:val="none" w:sz="0" w:space="0" w:color="auto"/>
        <w:bottom w:val="none" w:sz="0" w:space="0" w:color="auto"/>
        <w:right w:val="none" w:sz="0" w:space="0" w:color="auto"/>
      </w:divBdr>
    </w:div>
    <w:div w:id="1722290903">
      <w:bodyDiv w:val="1"/>
      <w:marLeft w:val="0"/>
      <w:marRight w:val="0"/>
      <w:marTop w:val="0"/>
      <w:marBottom w:val="0"/>
      <w:divBdr>
        <w:top w:val="none" w:sz="0" w:space="0" w:color="auto"/>
        <w:left w:val="none" w:sz="0" w:space="0" w:color="auto"/>
        <w:bottom w:val="none" w:sz="0" w:space="0" w:color="auto"/>
        <w:right w:val="none" w:sz="0" w:space="0" w:color="auto"/>
      </w:divBdr>
    </w:div>
    <w:div w:id="1723400901">
      <w:bodyDiv w:val="1"/>
      <w:marLeft w:val="0"/>
      <w:marRight w:val="0"/>
      <w:marTop w:val="0"/>
      <w:marBottom w:val="0"/>
      <w:divBdr>
        <w:top w:val="none" w:sz="0" w:space="0" w:color="auto"/>
        <w:left w:val="none" w:sz="0" w:space="0" w:color="auto"/>
        <w:bottom w:val="none" w:sz="0" w:space="0" w:color="auto"/>
        <w:right w:val="none" w:sz="0" w:space="0" w:color="auto"/>
      </w:divBdr>
    </w:div>
    <w:div w:id="1725643754">
      <w:bodyDiv w:val="1"/>
      <w:marLeft w:val="0"/>
      <w:marRight w:val="0"/>
      <w:marTop w:val="0"/>
      <w:marBottom w:val="0"/>
      <w:divBdr>
        <w:top w:val="none" w:sz="0" w:space="0" w:color="auto"/>
        <w:left w:val="none" w:sz="0" w:space="0" w:color="auto"/>
        <w:bottom w:val="none" w:sz="0" w:space="0" w:color="auto"/>
        <w:right w:val="none" w:sz="0" w:space="0" w:color="auto"/>
      </w:divBdr>
    </w:div>
    <w:div w:id="1727753994">
      <w:bodyDiv w:val="1"/>
      <w:marLeft w:val="0"/>
      <w:marRight w:val="0"/>
      <w:marTop w:val="0"/>
      <w:marBottom w:val="0"/>
      <w:divBdr>
        <w:top w:val="none" w:sz="0" w:space="0" w:color="auto"/>
        <w:left w:val="none" w:sz="0" w:space="0" w:color="auto"/>
        <w:bottom w:val="none" w:sz="0" w:space="0" w:color="auto"/>
        <w:right w:val="none" w:sz="0" w:space="0" w:color="auto"/>
      </w:divBdr>
    </w:div>
    <w:div w:id="1729457238">
      <w:bodyDiv w:val="1"/>
      <w:marLeft w:val="0"/>
      <w:marRight w:val="0"/>
      <w:marTop w:val="0"/>
      <w:marBottom w:val="0"/>
      <w:divBdr>
        <w:top w:val="none" w:sz="0" w:space="0" w:color="auto"/>
        <w:left w:val="none" w:sz="0" w:space="0" w:color="auto"/>
        <w:bottom w:val="none" w:sz="0" w:space="0" w:color="auto"/>
        <w:right w:val="none" w:sz="0" w:space="0" w:color="auto"/>
      </w:divBdr>
    </w:div>
    <w:div w:id="1729496074">
      <w:bodyDiv w:val="1"/>
      <w:marLeft w:val="0"/>
      <w:marRight w:val="0"/>
      <w:marTop w:val="0"/>
      <w:marBottom w:val="0"/>
      <w:divBdr>
        <w:top w:val="none" w:sz="0" w:space="0" w:color="auto"/>
        <w:left w:val="none" w:sz="0" w:space="0" w:color="auto"/>
        <w:bottom w:val="none" w:sz="0" w:space="0" w:color="auto"/>
        <w:right w:val="none" w:sz="0" w:space="0" w:color="auto"/>
      </w:divBdr>
    </w:div>
    <w:div w:id="1731070731">
      <w:bodyDiv w:val="1"/>
      <w:marLeft w:val="0"/>
      <w:marRight w:val="0"/>
      <w:marTop w:val="0"/>
      <w:marBottom w:val="0"/>
      <w:divBdr>
        <w:top w:val="none" w:sz="0" w:space="0" w:color="auto"/>
        <w:left w:val="none" w:sz="0" w:space="0" w:color="auto"/>
        <w:bottom w:val="none" w:sz="0" w:space="0" w:color="auto"/>
        <w:right w:val="none" w:sz="0" w:space="0" w:color="auto"/>
      </w:divBdr>
    </w:div>
    <w:div w:id="1731079726">
      <w:bodyDiv w:val="1"/>
      <w:marLeft w:val="0"/>
      <w:marRight w:val="0"/>
      <w:marTop w:val="0"/>
      <w:marBottom w:val="0"/>
      <w:divBdr>
        <w:top w:val="none" w:sz="0" w:space="0" w:color="auto"/>
        <w:left w:val="none" w:sz="0" w:space="0" w:color="auto"/>
        <w:bottom w:val="none" w:sz="0" w:space="0" w:color="auto"/>
        <w:right w:val="none" w:sz="0" w:space="0" w:color="auto"/>
      </w:divBdr>
    </w:div>
    <w:div w:id="1731343457">
      <w:bodyDiv w:val="1"/>
      <w:marLeft w:val="0"/>
      <w:marRight w:val="0"/>
      <w:marTop w:val="0"/>
      <w:marBottom w:val="0"/>
      <w:divBdr>
        <w:top w:val="none" w:sz="0" w:space="0" w:color="auto"/>
        <w:left w:val="none" w:sz="0" w:space="0" w:color="auto"/>
        <w:bottom w:val="none" w:sz="0" w:space="0" w:color="auto"/>
        <w:right w:val="none" w:sz="0" w:space="0" w:color="auto"/>
      </w:divBdr>
    </w:div>
    <w:div w:id="1731348797">
      <w:bodyDiv w:val="1"/>
      <w:marLeft w:val="0"/>
      <w:marRight w:val="0"/>
      <w:marTop w:val="0"/>
      <w:marBottom w:val="0"/>
      <w:divBdr>
        <w:top w:val="none" w:sz="0" w:space="0" w:color="auto"/>
        <w:left w:val="none" w:sz="0" w:space="0" w:color="auto"/>
        <w:bottom w:val="none" w:sz="0" w:space="0" w:color="auto"/>
        <w:right w:val="none" w:sz="0" w:space="0" w:color="auto"/>
      </w:divBdr>
    </w:div>
    <w:div w:id="1732340390">
      <w:bodyDiv w:val="1"/>
      <w:marLeft w:val="0"/>
      <w:marRight w:val="0"/>
      <w:marTop w:val="0"/>
      <w:marBottom w:val="0"/>
      <w:divBdr>
        <w:top w:val="none" w:sz="0" w:space="0" w:color="auto"/>
        <w:left w:val="none" w:sz="0" w:space="0" w:color="auto"/>
        <w:bottom w:val="none" w:sz="0" w:space="0" w:color="auto"/>
        <w:right w:val="none" w:sz="0" w:space="0" w:color="auto"/>
      </w:divBdr>
    </w:div>
    <w:div w:id="1732463525">
      <w:bodyDiv w:val="1"/>
      <w:marLeft w:val="0"/>
      <w:marRight w:val="0"/>
      <w:marTop w:val="0"/>
      <w:marBottom w:val="0"/>
      <w:divBdr>
        <w:top w:val="none" w:sz="0" w:space="0" w:color="auto"/>
        <w:left w:val="none" w:sz="0" w:space="0" w:color="auto"/>
        <w:bottom w:val="none" w:sz="0" w:space="0" w:color="auto"/>
        <w:right w:val="none" w:sz="0" w:space="0" w:color="auto"/>
      </w:divBdr>
    </w:div>
    <w:div w:id="1733845034">
      <w:bodyDiv w:val="1"/>
      <w:marLeft w:val="0"/>
      <w:marRight w:val="0"/>
      <w:marTop w:val="0"/>
      <w:marBottom w:val="0"/>
      <w:divBdr>
        <w:top w:val="none" w:sz="0" w:space="0" w:color="auto"/>
        <w:left w:val="none" w:sz="0" w:space="0" w:color="auto"/>
        <w:bottom w:val="none" w:sz="0" w:space="0" w:color="auto"/>
        <w:right w:val="none" w:sz="0" w:space="0" w:color="auto"/>
      </w:divBdr>
    </w:div>
    <w:div w:id="1735160620">
      <w:bodyDiv w:val="1"/>
      <w:marLeft w:val="0"/>
      <w:marRight w:val="0"/>
      <w:marTop w:val="0"/>
      <w:marBottom w:val="0"/>
      <w:divBdr>
        <w:top w:val="none" w:sz="0" w:space="0" w:color="auto"/>
        <w:left w:val="none" w:sz="0" w:space="0" w:color="auto"/>
        <w:bottom w:val="none" w:sz="0" w:space="0" w:color="auto"/>
        <w:right w:val="none" w:sz="0" w:space="0" w:color="auto"/>
      </w:divBdr>
    </w:div>
    <w:div w:id="1737168401">
      <w:bodyDiv w:val="1"/>
      <w:marLeft w:val="0"/>
      <w:marRight w:val="0"/>
      <w:marTop w:val="0"/>
      <w:marBottom w:val="0"/>
      <w:divBdr>
        <w:top w:val="none" w:sz="0" w:space="0" w:color="auto"/>
        <w:left w:val="none" w:sz="0" w:space="0" w:color="auto"/>
        <w:bottom w:val="none" w:sz="0" w:space="0" w:color="auto"/>
        <w:right w:val="none" w:sz="0" w:space="0" w:color="auto"/>
      </w:divBdr>
    </w:div>
    <w:div w:id="1737193976">
      <w:bodyDiv w:val="1"/>
      <w:marLeft w:val="0"/>
      <w:marRight w:val="0"/>
      <w:marTop w:val="0"/>
      <w:marBottom w:val="0"/>
      <w:divBdr>
        <w:top w:val="none" w:sz="0" w:space="0" w:color="auto"/>
        <w:left w:val="none" w:sz="0" w:space="0" w:color="auto"/>
        <w:bottom w:val="none" w:sz="0" w:space="0" w:color="auto"/>
        <w:right w:val="none" w:sz="0" w:space="0" w:color="auto"/>
      </w:divBdr>
    </w:div>
    <w:div w:id="1737438426">
      <w:bodyDiv w:val="1"/>
      <w:marLeft w:val="0"/>
      <w:marRight w:val="0"/>
      <w:marTop w:val="0"/>
      <w:marBottom w:val="0"/>
      <w:divBdr>
        <w:top w:val="none" w:sz="0" w:space="0" w:color="auto"/>
        <w:left w:val="none" w:sz="0" w:space="0" w:color="auto"/>
        <w:bottom w:val="none" w:sz="0" w:space="0" w:color="auto"/>
        <w:right w:val="none" w:sz="0" w:space="0" w:color="auto"/>
      </w:divBdr>
    </w:div>
    <w:div w:id="1737774150">
      <w:bodyDiv w:val="1"/>
      <w:marLeft w:val="0"/>
      <w:marRight w:val="0"/>
      <w:marTop w:val="0"/>
      <w:marBottom w:val="0"/>
      <w:divBdr>
        <w:top w:val="none" w:sz="0" w:space="0" w:color="auto"/>
        <w:left w:val="none" w:sz="0" w:space="0" w:color="auto"/>
        <w:bottom w:val="none" w:sz="0" w:space="0" w:color="auto"/>
        <w:right w:val="none" w:sz="0" w:space="0" w:color="auto"/>
      </w:divBdr>
    </w:div>
    <w:div w:id="1738238176">
      <w:bodyDiv w:val="1"/>
      <w:marLeft w:val="0"/>
      <w:marRight w:val="0"/>
      <w:marTop w:val="0"/>
      <w:marBottom w:val="0"/>
      <w:divBdr>
        <w:top w:val="none" w:sz="0" w:space="0" w:color="auto"/>
        <w:left w:val="none" w:sz="0" w:space="0" w:color="auto"/>
        <w:bottom w:val="none" w:sz="0" w:space="0" w:color="auto"/>
        <w:right w:val="none" w:sz="0" w:space="0" w:color="auto"/>
      </w:divBdr>
    </w:div>
    <w:div w:id="1738552910">
      <w:bodyDiv w:val="1"/>
      <w:marLeft w:val="0"/>
      <w:marRight w:val="0"/>
      <w:marTop w:val="0"/>
      <w:marBottom w:val="0"/>
      <w:divBdr>
        <w:top w:val="none" w:sz="0" w:space="0" w:color="auto"/>
        <w:left w:val="none" w:sz="0" w:space="0" w:color="auto"/>
        <w:bottom w:val="none" w:sz="0" w:space="0" w:color="auto"/>
        <w:right w:val="none" w:sz="0" w:space="0" w:color="auto"/>
      </w:divBdr>
    </w:div>
    <w:div w:id="1739476968">
      <w:bodyDiv w:val="1"/>
      <w:marLeft w:val="0"/>
      <w:marRight w:val="0"/>
      <w:marTop w:val="0"/>
      <w:marBottom w:val="0"/>
      <w:divBdr>
        <w:top w:val="none" w:sz="0" w:space="0" w:color="auto"/>
        <w:left w:val="none" w:sz="0" w:space="0" w:color="auto"/>
        <w:bottom w:val="none" w:sz="0" w:space="0" w:color="auto"/>
        <w:right w:val="none" w:sz="0" w:space="0" w:color="auto"/>
      </w:divBdr>
    </w:div>
    <w:div w:id="1740054015">
      <w:bodyDiv w:val="1"/>
      <w:marLeft w:val="0"/>
      <w:marRight w:val="0"/>
      <w:marTop w:val="0"/>
      <w:marBottom w:val="0"/>
      <w:divBdr>
        <w:top w:val="none" w:sz="0" w:space="0" w:color="auto"/>
        <w:left w:val="none" w:sz="0" w:space="0" w:color="auto"/>
        <w:bottom w:val="none" w:sz="0" w:space="0" w:color="auto"/>
        <w:right w:val="none" w:sz="0" w:space="0" w:color="auto"/>
      </w:divBdr>
    </w:div>
    <w:div w:id="1740514999">
      <w:bodyDiv w:val="1"/>
      <w:marLeft w:val="0"/>
      <w:marRight w:val="0"/>
      <w:marTop w:val="0"/>
      <w:marBottom w:val="0"/>
      <w:divBdr>
        <w:top w:val="none" w:sz="0" w:space="0" w:color="auto"/>
        <w:left w:val="none" w:sz="0" w:space="0" w:color="auto"/>
        <w:bottom w:val="none" w:sz="0" w:space="0" w:color="auto"/>
        <w:right w:val="none" w:sz="0" w:space="0" w:color="auto"/>
      </w:divBdr>
    </w:div>
    <w:div w:id="1741293804">
      <w:bodyDiv w:val="1"/>
      <w:marLeft w:val="0"/>
      <w:marRight w:val="0"/>
      <w:marTop w:val="0"/>
      <w:marBottom w:val="0"/>
      <w:divBdr>
        <w:top w:val="none" w:sz="0" w:space="0" w:color="auto"/>
        <w:left w:val="none" w:sz="0" w:space="0" w:color="auto"/>
        <w:bottom w:val="none" w:sz="0" w:space="0" w:color="auto"/>
        <w:right w:val="none" w:sz="0" w:space="0" w:color="auto"/>
      </w:divBdr>
    </w:div>
    <w:div w:id="1743331595">
      <w:bodyDiv w:val="1"/>
      <w:marLeft w:val="0"/>
      <w:marRight w:val="0"/>
      <w:marTop w:val="0"/>
      <w:marBottom w:val="0"/>
      <w:divBdr>
        <w:top w:val="none" w:sz="0" w:space="0" w:color="auto"/>
        <w:left w:val="none" w:sz="0" w:space="0" w:color="auto"/>
        <w:bottom w:val="none" w:sz="0" w:space="0" w:color="auto"/>
        <w:right w:val="none" w:sz="0" w:space="0" w:color="auto"/>
      </w:divBdr>
    </w:div>
    <w:div w:id="1746608035">
      <w:bodyDiv w:val="1"/>
      <w:marLeft w:val="0"/>
      <w:marRight w:val="0"/>
      <w:marTop w:val="0"/>
      <w:marBottom w:val="0"/>
      <w:divBdr>
        <w:top w:val="none" w:sz="0" w:space="0" w:color="auto"/>
        <w:left w:val="none" w:sz="0" w:space="0" w:color="auto"/>
        <w:bottom w:val="none" w:sz="0" w:space="0" w:color="auto"/>
        <w:right w:val="none" w:sz="0" w:space="0" w:color="auto"/>
      </w:divBdr>
    </w:div>
    <w:div w:id="1747189900">
      <w:bodyDiv w:val="1"/>
      <w:marLeft w:val="0"/>
      <w:marRight w:val="0"/>
      <w:marTop w:val="0"/>
      <w:marBottom w:val="0"/>
      <w:divBdr>
        <w:top w:val="none" w:sz="0" w:space="0" w:color="auto"/>
        <w:left w:val="none" w:sz="0" w:space="0" w:color="auto"/>
        <w:bottom w:val="none" w:sz="0" w:space="0" w:color="auto"/>
        <w:right w:val="none" w:sz="0" w:space="0" w:color="auto"/>
      </w:divBdr>
    </w:div>
    <w:div w:id="1747336449">
      <w:bodyDiv w:val="1"/>
      <w:marLeft w:val="0"/>
      <w:marRight w:val="0"/>
      <w:marTop w:val="0"/>
      <w:marBottom w:val="0"/>
      <w:divBdr>
        <w:top w:val="none" w:sz="0" w:space="0" w:color="auto"/>
        <w:left w:val="none" w:sz="0" w:space="0" w:color="auto"/>
        <w:bottom w:val="none" w:sz="0" w:space="0" w:color="auto"/>
        <w:right w:val="none" w:sz="0" w:space="0" w:color="auto"/>
      </w:divBdr>
    </w:div>
    <w:div w:id="1749420535">
      <w:bodyDiv w:val="1"/>
      <w:marLeft w:val="0"/>
      <w:marRight w:val="0"/>
      <w:marTop w:val="0"/>
      <w:marBottom w:val="0"/>
      <w:divBdr>
        <w:top w:val="none" w:sz="0" w:space="0" w:color="auto"/>
        <w:left w:val="none" w:sz="0" w:space="0" w:color="auto"/>
        <w:bottom w:val="none" w:sz="0" w:space="0" w:color="auto"/>
        <w:right w:val="none" w:sz="0" w:space="0" w:color="auto"/>
      </w:divBdr>
    </w:div>
    <w:div w:id="1750343125">
      <w:bodyDiv w:val="1"/>
      <w:marLeft w:val="0"/>
      <w:marRight w:val="0"/>
      <w:marTop w:val="0"/>
      <w:marBottom w:val="0"/>
      <w:divBdr>
        <w:top w:val="none" w:sz="0" w:space="0" w:color="auto"/>
        <w:left w:val="none" w:sz="0" w:space="0" w:color="auto"/>
        <w:bottom w:val="none" w:sz="0" w:space="0" w:color="auto"/>
        <w:right w:val="none" w:sz="0" w:space="0" w:color="auto"/>
      </w:divBdr>
    </w:div>
    <w:div w:id="1752847451">
      <w:bodyDiv w:val="1"/>
      <w:marLeft w:val="0"/>
      <w:marRight w:val="0"/>
      <w:marTop w:val="0"/>
      <w:marBottom w:val="0"/>
      <w:divBdr>
        <w:top w:val="none" w:sz="0" w:space="0" w:color="auto"/>
        <w:left w:val="none" w:sz="0" w:space="0" w:color="auto"/>
        <w:bottom w:val="none" w:sz="0" w:space="0" w:color="auto"/>
        <w:right w:val="none" w:sz="0" w:space="0" w:color="auto"/>
      </w:divBdr>
    </w:div>
    <w:div w:id="1753157330">
      <w:bodyDiv w:val="1"/>
      <w:marLeft w:val="0"/>
      <w:marRight w:val="0"/>
      <w:marTop w:val="0"/>
      <w:marBottom w:val="0"/>
      <w:divBdr>
        <w:top w:val="none" w:sz="0" w:space="0" w:color="auto"/>
        <w:left w:val="none" w:sz="0" w:space="0" w:color="auto"/>
        <w:bottom w:val="none" w:sz="0" w:space="0" w:color="auto"/>
        <w:right w:val="none" w:sz="0" w:space="0" w:color="auto"/>
      </w:divBdr>
    </w:div>
    <w:div w:id="1753307516">
      <w:bodyDiv w:val="1"/>
      <w:marLeft w:val="0"/>
      <w:marRight w:val="0"/>
      <w:marTop w:val="0"/>
      <w:marBottom w:val="0"/>
      <w:divBdr>
        <w:top w:val="none" w:sz="0" w:space="0" w:color="auto"/>
        <w:left w:val="none" w:sz="0" w:space="0" w:color="auto"/>
        <w:bottom w:val="none" w:sz="0" w:space="0" w:color="auto"/>
        <w:right w:val="none" w:sz="0" w:space="0" w:color="auto"/>
      </w:divBdr>
    </w:div>
    <w:div w:id="1754085359">
      <w:bodyDiv w:val="1"/>
      <w:marLeft w:val="0"/>
      <w:marRight w:val="0"/>
      <w:marTop w:val="0"/>
      <w:marBottom w:val="0"/>
      <w:divBdr>
        <w:top w:val="none" w:sz="0" w:space="0" w:color="auto"/>
        <w:left w:val="none" w:sz="0" w:space="0" w:color="auto"/>
        <w:bottom w:val="none" w:sz="0" w:space="0" w:color="auto"/>
        <w:right w:val="none" w:sz="0" w:space="0" w:color="auto"/>
      </w:divBdr>
    </w:div>
    <w:div w:id="1755740094">
      <w:bodyDiv w:val="1"/>
      <w:marLeft w:val="0"/>
      <w:marRight w:val="0"/>
      <w:marTop w:val="0"/>
      <w:marBottom w:val="0"/>
      <w:divBdr>
        <w:top w:val="none" w:sz="0" w:space="0" w:color="auto"/>
        <w:left w:val="none" w:sz="0" w:space="0" w:color="auto"/>
        <w:bottom w:val="none" w:sz="0" w:space="0" w:color="auto"/>
        <w:right w:val="none" w:sz="0" w:space="0" w:color="auto"/>
      </w:divBdr>
    </w:div>
    <w:div w:id="1755854567">
      <w:bodyDiv w:val="1"/>
      <w:marLeft w:val="0"/>
      <w:marRight w:val="0"/>
      <w:marTop w:val="0"/>
      <w:marBottom w:val="0"/>
      <w:divBdr>
        <w:top w:val="none" w:sz="0" w:space="0" w:color="auto"/>
        <w:left w:val="none" w:sz="0" w:space="0" w:color="auto"/>
        <w:bottom w:val="none" w:sz="0" w:space="0" w:color="auto"/>
        <w:right w:val="none" w:sz="0" w:space="0" w:color="auto"/>
      </w:divBdr>
    </w:div>
    <w:div w:id="1757706595">
      <w:bodyDiv w:val="1"/>
      <w:marLeft w:val="0"/>
      <w:marRight w:val="0"/>
      <w:marTop w:val="0"/>
      <w:marBottom w:val="0"/>
      <w:divBdr>
        <w:top w:val="none" w:sz="0" w:space="0" w:color="auto"/>
        <w:left w:val="none" w:sz="0" w:space="0" w:color="auto"/>
        <w:bottom w:val="none" w:sz="0" w:space="0" w:color="auto"/>
        <w:right w:val="none" w:sz="0" w:space="0" w:color="auto"/>
      </w:divBdr>
    </w:div>
    <w:div w:id="1759054123">
      <w:bodyDiv w:val="1"/>
      <w:marLeft w:val="0"/>
      <w:marRight w:val="0"/>
      <w:marTop w:val="0"/>
      <w:marBottom w:val="0"/>
      <w:divBdr>
        <w:top w:val="none" w:sz="0" w:space="0" w:color="auto"/>
        <w:left w:val="none" w:sz="0" w:space="0" w:color="auto"/>
        <w:bottom w:val="none" w:sz="0" w:space="0" w:color="auto"/>
        <w:right w:val="none" w:sz="0" w:space="0" w:color="auto"/>
      </w:divBdr>
    </w:div>
    <w:div w:id="1760828157">
      <w:bodyDiv w:val="1"/>
      <w:marLeft w:val="0"/>
      <w:marRight w:val="0"/>
      <w:marTop w:val="0"/>
      <w:marBottom w:val="0"/>
      <w:divBdr>
        <w:top w:val="none" w:sz="0" w:space="0" w:color="auto"/>
        <w:left w:val="none" w:sz="0" w:space="0" w:color="auto"/>
        <w:bottom w:val="none" w:sz="0" w:space="0" w:color="auto"/>
        <w:right w:val="none" w:sz="0" w:space="0" w:color="auto"/>
      </w:divBdr>
    </w:div>
    <w:div w:id="1761363745">
      <w:bodyDiv w:val="1"/>
      <w:marLeft w:val="0"/>
      <w:marRight w:val="0"/>
      <w:marTop w:val="0"/>
      <w:marBottom w:val="0"/>
      <w:divBdr>
        <w:top w:val="none" w:sz="0" w:space="0" w:color="auto"/>
        <w:left w:val="none" w:sz="0" w:space="0" w:color="auto"/>
        <w:bottom w:val="none" w:sz="0" w:space="0" w:color="auto"/>
        <w:right w:val="none" w:sz="0" w:space="0" w:color="auto"/>
      </w:divBdr>
    </w:div>
    <w:div w:id="1761562354">
      <w:bodyDiv w:val="1"/>
      <w:marLeft w:val="0"/>
      <w:marRight w:val="0"/>
      <w:marTop w:val="0"/>
      <w:marBottom w:val="0"/>
      <w:divBdr>
        <w:top w:val="none" w:sz="0" w:space="0" w:color="auto"/>
        <w:left w:val="none" w:sz="0" w:space="0" w:color="auto"/>
        <w:bottom w:val="none" w:sz="0" w:space="0" w:color="auto"/>
        <w:right w:val="none" w:sz="0" w:space="0" w:color="auto"/>
      </w:divBdr>
    </w:div>
    <w:div w:id="1761682105">
      <w:bodyDiv w:val="1"/>
      <w:marLeft w:val="0"/>
      <w:marRight w:val="0"/>
      <w:marTop w:val="0"/>
      <w:marBottom w:val="0"/>
      <w:divBdr>
        <w:top w:val="none" w:sz="0" w:space="0" w:color="auto"/>
        <w:left w:val="none" w:sz="0" w:space="0" w:color="auto"/>
        <w:bottom w:val="none" w:sz="0" w:space="0" w:color="auto"/>
        <w:right w:val="none" w:sz="0" w:space="0" w:color="auto"/>
      </w:divBdr>
    </w:div>
    <w:div w:id="1762948061">
      <w:bodyDiv w:val="1"/>
      <w:marLeft w:val="0"/>
      <w:marRight w:val="0"/>
      <w:marTop w:val="0"/>
      <w:marBottom w:val="0"/>
      <w:divBdr>
        <w:top w:val="none" w:sz="0" w:space="0" w:color="auto"/>
        <w:left w:val="none" w:sz="0" w:space="0" w:color="auto"/>
        <w:bottom w:val="none" w:sz="0" w:space="0" w:color="auto"/>
        <w:right w:val="none" w:sz="0" w:space="0" w:color="auto"/>
      </w:divBdr>
    </w:div>
    <w:div w:id="1764109758">
      <w:bodyDiv w:val="1"/>
      <w:marLeft w:val="0"/>
      <w:marRight w:val="0"/>
      <w:marTop w:val="0"/>
      <w:marBottom w:val="0"/>
      <w:divBdr>
        <w:top w:val="none" w:sz="0" w:space="0" w:color="auto"/>
        <w:left w:val="none" w:sz="0" w:space="0" w:color="auto"/>
        <w:bottom w:val="none" w:sz="0" w:space="0" w:color="auto"/>
        <w:right w:val="none" w:sz="0" w:space="0" w:color="auto"/>
      </w:divBdr>
    </w:div>
    <w:div w:id="1764183119">
      <w:bodyDiv w:val="1"/>
      <w:marLeft w:val="0"/>
      <w:marRight w:val="0"/>
      <w:marTop w:val="0"/>
      <w:marBottom w:val="0"/>
      <w:divBdr>
        <w:top w:val="none" w:sz="0" w:space="0" w:color="auto"/>
        <w:left w:val="none" w:sz="0" w:space="0" w:color="auto"/>
        <w:bottom w:val="none" w:sz="0" w:space="0" w:color="auto"/>
        <w:right w:val="none" w:sz="0" w:space="0" w:color="auto"/>
      </w:divBdr>
    </w:div>
    <w:div w:id="1767070713">
      <w:bodyDiv w:val="1"/>
      <w:marLeft w:val="0"/>
      <w:marRight w:val="0"/>
      <w:marTop w:val="0"/>
      <w:marBottom w:val="0"/>
      <w:divBdr>
        <w:top w:val="none" w:sz="0" w:space="0" w:color="auto"/>
        <w:left w:val="none" w:sz="0" w:space="0" w:color="auto"/>
        <w:bottom w:val="none" w:sz="0" w:space="0" w:color="auto"/>
        <w:right w:val="none" w:sz="0" w:space="0" w:color="auto"/>
      </w:divBdr>
    </w:div>
    <w:div w:id="1771049355">
      <w:bodyDiv w:val="1"/>
      <w:marLeft w:val="0"/>
      <w:marRight w:val="0"/>
      <w:marTop w:val="0"/>
      <w:marBottom w:val="0"/>
      <w:divBdr>
        <w:top w:val="none" w:sz="0" w:space="0" w:color="auto"/>
        <w:left w:val="none" w:sz="0" w:space="0" w:color="auto"/>
        <w:bottom w:val="none" w:sz="0" w:space="0" w:color="auto"/>
        <w:right w:val="none" w:sz="0" w:space="0" w:color="auto"/>
      </w:divBdr>
    </w:div>
    <w:div w:id="1771585715">
      <w:bodyDiv w:val="1"/>
      <w:marLeft w:val="0"/>
      <w:marRight w:val="0"/>
      <w:marTop w:val="0"/>
      <w:marBottom w:val="0"/>
      <w:divBdr>
        <w:top w:val="none" w:sz="0" w:space="0" w:color="auto"/>
        <w:left w:val="none" w:sz="0" w:space="0" w:color="auto"/>
        <w:bottom w:val="none" w:sz="0" w:space="0" w:color="auto"/>
        <w:right w:val="none" w:sz="0" w:space="0" w:color="auto"/>
      </w:divBdr>
    </w:div>
    <w:div w:id="1772696984">
      <w:bodyDiv w:val="1"/>
      <w:marLeft w:val="0"/>
      <w:marRight w:val="0"/>
      <w:marTop w:val="0"/>
      <w:marBottom w:val="0"/>
      <w:divBdr>
        <w:top w:val="none" w:sz="0" w:space="0" w:color="auto"/>
        <w:left w:val="none" w:sz="0" w:space="0" w:color="auto"/>
        <w:bottom w:val="none" w:sz="0" w:space="0" w:color="auto"/>
        <w:right w:val="none" w:sz="0" w:space="0" w:color="auto"/>
      </w:divBdr>
    </w:div>
    <w:div w:id="1773630028">
      <w:bodyDiv w:val="1"/>
      <w:marLeft w:val="0"/>
      <w:marRight w:val="0"/>
      <w:marTop w:val="0"/>
      <w:marBottom w:val="0"/>
      <w:divBdr>
        <w:top w:val="none" w:sz="0" w:space="0" w:color="auto"/>
        <w:left w:val="none" w:sz="0" w:space="0" w:color="auto"/>
        <w:bottom w:val="none" w:sz="0" w:space="0" w:color="auto"/>
        <w:right w:val="none" w:sz="0" w:space="0" w:color="auto"/>
      </w:divBdr>
    </w:div>
    <w:div w:id="1773669065">
      <w:bodyDiv w:val="1"/>
      <w:marLeft w:val="0"/>
      <w:marRight w:val="0"/>
      <w:marTop w:val="0"/>
      <w:marBottom w:val="0"/>
      <w:divBdr>
        <w:top w:val="none" w:sz="0" w:space="0" w:color="auto"/>
        <w:left w:val="none" w:sz="0" w:space="0" w:color="auto"/>
        <w:bottom w:val="none" w:sz="0" w:space="0" w:color="auto"/>
        <w:right w:val="none" w:sz="0" w:space="0" w:color="auto"/>
      </w:divBdr>
    </w:div>
    <w:div w:id="1775054240">
      <w:bodyDiv w:val="1"/>
      <w:marLeft w:val="0"/>
      <w:marRight w:val="0"/>
      <w:marTop w:val="0"/>
      <w:marBottom w:val="0"/>
      <w:divBdr>
        <w:top w:val="none" w:sz="0" w:space="0" w:color="auto"/>
        <w:left w:val="none" w:sz="0" w:space="0" w:color="auto"/>
        <w:bottom w:val="none" w:sz="0" w:space="0" w:color="auto"/>
        <w:right w:val="none" w:sz="0" w:space="0" w:color="auto"/>
      </w:divBdr>
    </w:div>
    <w:div w:id="1776440100">
      <w:bodyDiv w:val="1"/>
      <w:marLeft w:val="0"/>
      <w:marRight w:val="0"/>
      <w:marTop w:val="0"/>
      <w:marBottom w:val="0"/>
      <w:divBdr>
        <w:top w:val="none" w:sz="0" w:space="0" w:color="auto"/>
        <w:left w:val="none" w:sz="0" w:space="0" w:color="auto"/>
        <w:bottom w:val="none" w:sz="0" w:space="0" w:color="auto"/>
        <w:right w:val="none" w:sz="0" w:space="0" w:color="auto"/>
      </w:divBdr>
    </w:div>
    <w:div w:id="1776630730">
      <w:bodyDiv w:val="1"/>
      <w:marLeft w:val="0"/>
      <w:marRight w:val="0"/>
      <w:marTop w:val="0"/>
      <w:marBottom w:val="0"/>
      <w:divBdr>
        <w:top w:val="none" w:sz="0" w:space="0" w:color="auto"/>
        <w:left w:val="none" w:sz="0" w:space="0" w:color="auto"/>
        <w:bottom w:val="none" w:sz="0" w:space="0" w:color="auto"/>
        <w:right w:val="none" w:sz="0" w:space="0" w:color="auto"/>
      </w:divBdr>
    </w:div>
    <w:div w:id="1776706121">
      <w:bodyDiv w:val="1"/>
      <w:marLeft w:val="0"/>
      <w:marRight w:val="0"/>
      <w:marTop w:val="0"/>
      <w:marBottom w:val="0"/>
      <w:divBdr>
        <w:top w:val="none" w:sz="0" w:space="0" w:color="auto"/>
        <w:left w:val="none" w:sz="0" w:space="0" w:color="auto"/>
        <w:bottom w:val="none" w:sz="0" w:space="0" w:color="auto"/>
        <w:right w:val="none" w:sz="0" w:space="0" w:color="auto"/>
      </w:divBdr>
    </w:div>
    <w:div w:id="1777553466">
      <w:bodyDiv w:val="1"/>
      <w:marLeft w:val="0"/>
      <w:marRight w:val="0"/>
      <w:marTop w:val="0"/>
      <w:marBottom w:val="0"/>
      <w:divBdr>
        <w:top w:val="none" w:sz="0" w:space="0" w:color="auto"/>
        <w:left w:val="none" w:sz="0" w:space="0" w:color="auto"/>
        <w:bottom w:val="none" w:sz="0" w:space="0" w:color="auto"/>
        <w:right w:val="none" w:sz="0" w:space="0" w:color="auto"/>
      </w:divBdr>
    </w:div>
    <w:div w:id="1777676647">
      <w:bodyDiv w:val="1"/>
      <w:marLeft w:val="0"/>
      <w:marRight w:val="0"/>
      <w:marTop w:val="0"/>
      <w:marBottom w:val="0"/>
      <w:divBdr>
        <w:top w:val="none" w:sz="0" w:space="0" w:color="auto"/>
        <w:left w:val="none" w:sz="0" w:space="0" w:color="auto"/>
        <w:bottom w:val="none" w:sz="0" w:space="0" w:color="auto"/>
        <w:right w:val="none" w:sz="0" w:space="0" w:color="auto"/>
      </w:divBdr>
    </w:div>
    <w:div w:id="1778064330">
      <w:bodyDiv w:val="1"/>
      <w:marLeft w:val="0"/>
      <w:marRight w:val="0"/>
      <w:marTop w:val="0"/>
      <w:marBottom w:val="0"/>
      <w:divBdr>
        <w:top w:val="none" w:sz="0" w:space="0" w:color="auto"/>
        <w:left w:val="none" w:sz="0" w:space="0" w:color="auto"/>
        <w:bottom w:val="none" w:sz="0" w:space="0" w:color="auto"/>
        <w:right w:val="none" w:sz="0" w:space="0" w:color="auto"/>
      </w:divBdr>
    </w:div>
    <w:div w:id="1778255177">
      <w:bodyDiv w:val="1"/>
      <w:marLeft w:val="0"/>
      <w:marRight w:val="0"/>
      <w:marTop w:val="0"/>
      <w:marBottom w:val="0"/>
      <w:divBdr>
        <w:top w:val="none" w:sz="0" w:space="0" w:color="auto"/>
        <w:left w:val="none" w:sz="0" w:space="0" w:color="auto"/>
        <w:bottom w:val="none" w:sz="0" w:space="0" w:color="auto"/>
        <w:right w:val="none" w:sz="0" w:space="0" w:color="auto"/>
      </w:divBdr>
    </w:div>
    <w:div w:id="1780564087">
      <w:bodyDiv w:val="1"/>
      <w:marLeft w:val="0"/>
      <w:marRight w:val="0"/>
      <w:marTop w:val="0"/>
      <w:marBottom w:val="0"/>
      <w:divBdr>
        <w:top w:val="none" w:sz="0" w:space="0" w:color="auto"/>
        <w:left w:val="none" w:sz="0" w:space="0" w:color="auto"/>
        <w:bottom w:val="none" w:sz="0" w:space="0" w:color="auto"/>
        <w:right w:val="none" w:sz="0" w:space="0" w:color="auto"/>
      </w:divBdr>
    </w:div>
    <w:div w:id="1781025359">
      <w:bodyDiv w:val="1"/>
      <w:marLeft w:val="0"/>
      <w:marRight w:val="0"/>
      <w:marTop w:val="0"/>
      <w:marBottom w:val="0"/>
      <w:divBdr>
        <w:top w:val="none" w:sz="0" w:space="0" w:color="auto"/>
        <w:left w:val="none" w:sz="0" w:space="0" w:color="auto"/>
        <w:bottom w:val="none" w:sz="0" w:space="0" w:color="auto"/>
        <w:right w:val="none" w:sz="0" w:space="0" w:color="auto"/>
      </w:divBdr>
    </w:div>
    <w:div w:id="1781294833">
      <w:bodyDiv w:val="1"/>
      <w:marLeft w:val="0"/>
      <w:marRight w:val="0"/>
      <w:marTop w:val="0"/>
      <w:marBottom w:val="0"/>
      <w:divBdr>
        <w:top w:val="none" w:sz="0" w:space="0" w:color="auto"/>
        <w:left w:val="none" w:sz="0" w:space="0" w:color="auto"/>
        <w:bottom w:val="none" w:sz="0" w:space="0" w:color="auto"/>
        <w:right w:val="none" w:sz="0" w:space="0" w:color="auto"/>
      </w:divBdr>
    </w:div>
    <w:div w:id="1781365878">
      <w:bodyDiv w:val="1"/>
      <w:marLeft w:val="0"/>
      <w:marRight w:val="0"/>
      <w:marTop w:val="0"/>
      <w:marBottom w:val="0"/>
      <w:divBdr>
        <w:top w:val="none" w:sz="0" w:space="0" w:color="auto"/>
        <w:left w:val="none" w:sz="0" w:space="0" w:color="auto"/>
        <w:bottom w:val="none" w:sz="0" w:space="0" w:color="auto"/>
        <w:right w:val="none" w:sz="0" w:space="0" w:color="auto"/>
      </w:divBdr>
    </w:div>
    <w:div w:id="1781416151">
      <w:bodyDiv w:val="1"/>
      <w:marLeft w:val="0"/>
      <w:marRight w:val="0"/>
      <w:marTop w:val="0"/>
      <w:marBottom w:val="0"/>
      <w:divBdr>
        <w:top w:val="none" w:sz="0" w:space="0" w:color="auto"/>
        <w:left w:val="none" w:sz="0" w:space="0" w:color="auto"/>
        <w:bottom w:val="none" w:sz="0" w:space="0" w:color="auto"/>
        <w:right w:val="none" w:sz="0" w:space="0" w:color="auto"/>
      </w:divBdr>
    </w:div>
    <w:div w:id="1781797525">
      <w:bodyDiv w:val="1"/>
      <w:marLeft w:val="0"/>
      <w:marRight w:val="0"/>
      <w:marTop w:val="0"/>
      <w:marBottom w:val="0"/>
      <w:divBdr>
        <w:top w:val="none" w:sz="0" w:space="0" w:color="auto"/>
        <w:left w:val="none" w:sz="0" w:space="0" w:color="auto"/>
        <w:bottom w:val="none" w:sz="0" w:space="0" w:color="auto"/>
        <w:right w:val="none" w:sz="0" w:space="0" w:color="auto"/>
      </w:divBdr>
    </w:div>
    <w:div w:id="1781993042">
      <w:bodyDiv w:val="1"/>
      <w:marLeft w:val="0"/>
      <w:marRight w:val="0"/>
      <w:marTop w:val="0"/>
      <w:marBottom w:val="0"/>
      <w:divBdr>
        <w:top w:val="none" w:sz="0" w:space="0" w:color="auto"/>
        <w:left w:val="none" w:sz="0" w:space="0" w:color="auto"/>
        <w:bottom w:val="none" w:sz="0" w:space="0" w:color="auto"/>
        <w:right w:val="none" w:sz="0" w:space="0" w:color="auto"/>
      </w:divBdr>
    </w:div>
    <w:div w:id="1784887427">
      <w:bodyDiv w:val="1"/>
      <w:marLeft w:val="0"/>
      <w:marRight w:val="0"/>
      <w:marTop w:val="0"/>
      <w:marBottom w:val="0"/>
      <w:divBdr>
        <w:top w:val="none" w:sz="0" w:space="0" w:color="auto"/>
        <w:left w:val="none" w:sz="0" w:space="0" w:color="auto"/>
        <w:bottom w:val="none" w:sz="0" w:space="0" w:color="auto"/>
        <w:right w:val="none" w:sz="0" w:space="0" w:color="auto"/>
      </w:divBdr>
    </w:div>
    <w:div w:id="1785346341">
      <w:bodyDiv w:val="1"/>
      <w:marLeft w:val="0"/>
      <w:marRight w:val="0"/>
      <w:marTop w:val="0"/>
      <w:marBottom w:val="0"/>
      <w:divBdr>
        <w:top w:val="none" w:sz="0" w:space="0" w:color="auto"/>
        <w:left w:val="none" w:sz="0" w:space="0" w:color="auto"/>
        <w:bottom w:val="none" w:sz="0" w:space="0" w:color="auto"/>
        <w:right w:val="none" w:sz="0" w:space="0" w:color="auto"/>
      </w:divBdr>
    </w:div>
    <w:div w:id="1786927516">
      <w:bodyDiv w:val="1"/>
      <w:marLeft w:val="0"/>
      <w:marRight w:val="0"/>
      <w:marTop w:val="0"/>
      <w:marBottom w:val="0"/>
      <w:divBdr>
        <w:top w:val="none" w:sz="0" w:space="0" w:color="auto"/>
        <w:left w:val="none" w:sz="0" w:space="0" w:color="auto"/>
        <w:bottom w:val="none" w:sz="0" w:space="0" w:color="auto"/>
        <w:right w:val="none" w:sz="0" w:space="0" w:color="auto"/>
      </w:divBdr>
    </w:div>
    <w:div w:id="1788115341">
      <w:bodyDiv w:val="1"/>
      <w:marLeft w:val="0"/>
      <w:marRight w:val="0"/>
      <w:marTop w:val="0"/>
      <w:marBottom w:val="0"/>
      <w:divBdr>
        <w:top w:val="none" w:sz="0" w:space="0" w:color="auto"/>
        <w:left w:val="none" w:sz="0" w:space="0" w:color="auto"/>
        <w:bottom w:val="none" w:sz="0" w:space="0" w:color="auto"/>
        <w:right w:val="none" w:sz="0" w:space="0" w:color="auto"/>
      </w:divBdr>
    </w:div>
    <w:div w:id="1790313341">
      <w:bodyDiv w:val="1"/>
      <w:marLeft w:val="0"/>
      <w:marRight w:val="0"/>
      <w:marTop w:val="0"/>
      <w:marBottom w:val="0"/>
      <w:divBdr>
        <w:top w:val="none" w:sz="0" w:space="0" w:color="auto"/>
        <w:left w:val="none" w:sz="0" w:space="0" w:color="auto"/>
        <w:bottom w:val="none" w:sz="0" w:space="0" w:color="auto"/>
        <w:right w:val="none" w:sz="0" w:space="0" w:color="auto"/>
      </w:divBdr>
    </w:div>
    <w:div w:id="1790316385">
      <w:bodyDiv w:val="1"/>
      <w:marLeft w:val="0"/>
      <w:marRight w:val="0"/>
      <w:marTop w:val="0"/>
      <w:marBottom w:val="0"/>
      <w:divBdr>
        <w:top w:val="none" w:sz="0" w:space="0" w:color="auto"/>
        <w:left w:val="none" w:sz="0" w:space="0" w:color="auto"/>
        <w:bottom w:val="none" w:sz="0" w:space="0" w:color="auto"/>
        <w:right w:val="none" w:sz="0" w:space="0" w:color="auto"/>
      </w:divBdr>
    </w:div>
    <w:div w:id="1790317159">
      <w:bodyDiv w:val="1"/>
      <w:marLeft w:val="0"/>
      <w:marRight w:val="0"/>
      <w:marTop w:val="0"/>
      <w:marBottom w:val="0"/>
      <w:divBdr>
        <w:top w:val="none" w:sz="0" w:space="0" w:color="auto"/>
        <w:left w:val="none" w:sz="0" w:space="0" w:color="auto"/>
        <w:bottom w:val="none" w:sz="0" w:space="0" w:color="auto"/>
        <w:right w:val="none" w:sz="0" w:space="0" w:color="auto"/>
      </w:divBdr>
    </w:div>
    <w:div w:id="1790784710">
      <w:bodyDiv w:val="1"/>
      <w:marLeft w:val="0"/>
      <w:marRight w:val="0"/>
      <w:marTop w:val="0"/>
      <w:marBottom w:val="0"/>
      <w:divBdr>
        <w:top w:val="none" w:sz="0" w:space="0" w:color="auto"/>
        <w:left w:val="none" w:sz="0" w:space="0" w:color="auto"/>
        <w:bottom w:val="none" w:sz="0" w:space="0" w:color="auto"/>
        <w:right w:val="none" w:sz="0" w:space="0" w:color="auto"/>
      </w:divBdr>
    </w:div>
    <w:div w:id="1792093067">
      <w:bodyDiv w:val="1"/>
      <w:marLeft w:val="0"/>
      <w:marRight w:val="0"/>
      <w:marTop w:val="0"/>
      <w:marBottom w:val="0"/>
      <w:divBdr>
        <w:top w:val="none" w:sz="0" w:space="0" w:color="auto"/>
        <w:left w:val="none" w:sz="0" w:space="0" w:color="auto"/>
        <w:bottom w:val="none" w:sz="0" w:space="0" w:color="auto"/>
        <w:right w:val="none" w:sz="0" w:space="0" w:color="auto"/>
      </w:divBdr>
    </w:div>
    <w:div w:id="1792506511">
      <w:bodyDiv w:val="1"/>
      <w:marLeft w:val="0"/>
      <w:marRight w:val="0"/>
      <w:marTop w:val="0"/>
      <w:marBottom w:val="0"/>
      <w:divBdr>
        <w:top w:val="none" w:sz="0" w:space="0" w:color="auto"/>
        <w:left w:val="none" w:sz="0" w:space="0" w:color="auto"/>
        <w:bottom w:val="none" w:sz="0" w:space="0" w:color="auto"/>
        <w:right w:val="none" w:sz="0" w:space="0" w:color="auto"/>
      </w:divBdr>
    </w:div>
    <w:div w:id="1792935854">
      <w:bodyDiv w:val="1"/>
      <w:marLeft w:val="0"/>
      <w:marRight w:val="0"/>
      <w:marTop w:val="0"/>
      <w:marBottom w:val="0"/>
      <w:divBdr>
        <w:top w:val="none" w:sz="0" w:space="0" w:color="auto"/>
        <w:left w:val="none" w:sz="0" w:space="0" w:color="auto"/>
        <w:bottom w:val="none" w:sz="0" w:space="0" w:color="auto"/>
        <w:right w:val="none" w:sz="0" w:space="0" w:color="auto"/>
      </w:divBdr>
    </w:div>
    <w:div w:id="1793087752">
      <w:bodyDiv w:val="1"/>
      <w:marLeft w:val="0"/>
      <w:marRight w:val="0"/>
      <w:marTop w:val="0"/>
      <w:marBottom w:val="0"/>
      <w:divBdr>
        <w:top w:val="none" w:sz="0" w:space="0" w:color="auto"/>
        <w:left w:val="none" w:sz="0" w:space="0" w:color="auto"/>
        <w:bottom w:val="none" w:sz="0" w:space="0" w:color="auto"/>
        <w:right w:val="none" w:sz="0" w:space="0" w:color="auto"/>
      </w:divBdr>
    </w:div>
    <w:div w:id="1793815839">
      <w:bodyDiv w:val="1"/>
      <w:marLeft w:val="0"/>
      <w:marRight w:val="0"/>
      <w:marTop w:val="0"/>
      <w:marBottom w:val="0"/>
      <w:divBdr>
        <w:top w:val="none" w:sz="0" w:space="0" w:color="auto"/>
        <w:left w:val="none" w:sz="0" w:space="0" w:color="auto"/>
        <w:bottom w:val="none" w:sz="0" w:space="0" w:color="auto"/>
        <w:right w:val="none" w:sz="0" w:space="0" w:color="auto"/>
      </w:divBdr>
    </w:div>
    <w:div w:id="1793864641">
      <w:bodyDiv w:val="1"/>
      <w:marLeft w:val="0"/>
      <w:marRight w:val="0"/>
      <w:marTop w:val="0"/>
      <w:marBottom w:val="0"/>
      <w:divBdr>
        <w:top w:val="none" w:sz="0" w:space="0" w:color="auto"/>
        <w:left w:val="none" w:sz="0" w:space="0" w:color="auto"/>
        <w:bottom w:val="none" w:sz="0" w:space="0" w:color="auto"/>
        <w:right w:val="none" w:sz="0" w:space="0" w:color="auto"/>
      </w:divBdr>
    </w:div>
    <w:div w:id="1794014062">
      <w:bodyDiv w:val="1"/>
      <w:marLeft w:val="0"/>
      <w:marRight w:val="0"/>
      <w:marTop w:val="0"/>
      <w:marBottom w:val="0"/>
      <w:divBdr>
        <w:top w:val="none" w:sz="0" w:space="0" w:color="auto"/>
        <w:left w:val="none" w:sz="0" w:space="0" w:color="auto"/>
        <w:bottom w:val="none" w:sz="0" w:space="0" w:color="auto"/>
        <w:right w:val="none" w:sz="0" w:space="0" w:color="auto"/>
      </w:divBdr>
    </w:div>
    <w:div w:id="1795126471">
      <w:bodyDiv w:val="1"/>
      <w:marLeft w:val="0"/>
      <w:marRight w:val="0"/>
      <w:marTop w:val="0"/>
      <w:marBottom w:val="0"/>
      <w:divBdr>
        <w:top w:val="none" w:sz="0" w:space="0" w:color="auto"/>
        <w:left w:val="none" w:sz="0" w:space="0" w:color="auto"/>
        <w:bottom w:val="none" w:sz="0" w:space="0" w:color="auto"/>
        <w:right w:val="none" w:sz="0" w:space="0" w:color="auto"/>
      </w:divBdr>
    </w:div>
    <w:div w:id="1795365195">
      <w:bodyDiv w:val="1"/>
      <w:marLeft w:val="0"/>
      <w:marRight w:val="0"/>
      <w:marTop w:val="0"/>
      <w:marBottom w:val="0"/>
      <w:divBdr>
        <w:top w:val="none" w:sz="0" w:space="0" w:color="auto"/>
        <w:left w:val="none" w:sz="0" w:space="0" w:color="auto"/>
        <w:bottom w:val="none" w:sz="0" w:space="0" w:color="auto"/>
        <w:right w:val="none" w:sz="0" w:space="0" w:color="auto"/>
      </w:divBdr>
    </w:div>
    <w:div w:id="1796944634">
      <w:bodyDiv w:val="1"/>
      <w:marLeft w:val="0"/>
      <w:marRight w:val="0"/>
      <w:marTop w:val="0"/>
      <w:marBottom w:val="0"/>
      <w:divBdr>
        <w:top w:val="none" w:sz="0" w:space="0" w:color="auto"/>
        <w:left w:val="none" w:sz="0" w:space="0" w:color="auto"/>
        <w:bottom w:val="none" w:sz="0" w:space="0" w:color="auto"/>
        <w:right w:val="none" w:sz="0" w:space="0" w:color="auto"/>
      </w:divBdr>
    </w:div>
    <w:div w:id="1797412142">
      <w:bodyDiv w:val="1"/>
      <w:marLeft w:val="0"/>
      <w:marRight w:val="0"/>
      <w:marTop w:val="0"/>
      <w:marBottom w:val="0"/>
      <w:divBdr>
        <w:top w:val="none" w:sz="0" w:space="0" w:color="auto"/>
        <w:left w:val="none" w:sz="0" w:space="0" w:color="auto"/>
        <w:bottom w:val="none" w:sz="0" w:space="0" w:color="auto"/>
        <w:right w:val="none" w:sz="0" w:space="0" w:color="auto"/>
      </w:divBdr>
    </w:div>
    <w:div w:id="1797487640">
      <w:bodyDiv w:val="1"/>
      <w:marLeft w:val="0"/>
      <w:marRight w:val="0"/>
      <w:marTop w:val="0"/>
      <w:marBottom w:val="0"/>
      <w:divBdr>
        <w:top w:val="none" w:sz="0" w:space="0" w:color="auto"/>
        <w:left w:val="none" w:sz="0" w:space="0" w:color="auto"/>
        <w:bottom w:val="none" w:sz="0" w:space="0" w:color="auto"/>
        <w:right w:val="none" w:sz="0" w:space="0" w:color="auto"/>
      </w:divBdr>
    </w:div>
    <w:div w:id="1797984407">
      <w:bodyDiv w:val="1"/>
      <w:marLeft w:val="0"/>
      <w:marRight w:val="0"/>
      <w:marTop w:val="0"/>
      <w:marBottom w:val="0"/>
      <w:divBdr>
        <w:top w:val="none" w:sz="0" w:space="0" w:color="auto"/>
        <w:left w:val="none" w:sz="0" w:space="0" w:color="auto"/>
        <w:bottom w:val="none" w:sz="0" w:space="0" w:color="auto"/>
        <w:right w:val="none" w:sz="0" w:space="0" w:color="auto"/>
      </w:divBdr>
    </w:div>
    <w:div w:id="1799764377">
      <w:bodyDiv w:val="1"/>
      <w:marLeft w:val="0"/>
      <w:marRight w:val="0"/>
      <w:marTop w:val="0"/>
      <w:marBottom w:val="0"/>
      <w:divBdr>
        <w:top w:val="none" w:sz="0" w:space="0" w:color="auto"/>
        <w:left w:val="none" w:sz="0" w:space="0" w:color="auto"/>
        <w:bottom w:val="none" w:sz="0" w:space="0" w:color="auto"/>
        <w:right w:val="none" w:sz="0" w:space="0" w:color="auto"/>
      </w:divBdr>
    </w:div>
    <w:div w:id="1801145781">
      <w:bodyDiv w:val="1"/>
      <w:marLeft w:val="0"/>
      <w:marRight w:val="0"/>
      <w:marTop w:val="0"/>
      <w:marBottom w:val="0"/>
      <w:divBdr>
        <w:top w:val="none" w:sz="0" w:space="0" w:color="auto"/>
        <w:left w:val="none" w:sz="0" w:space="0" w:color="auto"/>
        <w:bottom w:val="none" w:sz="0" w:space="0" w:color="auto"/>
        <w:right w:val="none" w:sz="0" w:space="0" w:color="auto"/>
      </w:divBdr>
    </w:div>
    <w:div w:id="1801222847">
      <w:bodyDiv w:val="1"/>
      <w:marLeft w:val="0"/>
      <w:marRight w:val="0"/>
      <w:marTop w:val="0"/>
      <w:marBottom w:val="0"/>
      <w:divBdr>
        <w:top w:val="none" w:sz="0" w:space="0" w:color="auto"/>
        <w:left w:val="none" w:sz="0" w:space="0" w:color="auto"/>
        <w:bottom w:val="none" w:sz="0" w:space="0" w:color="auto"/>
        <w:right w:val="none" w:sz="0" w:space="0" w:color="auto"/>
      </w:divBdr>
    </w:div>
    <w:div w:id="1801337834">
      <w:bodyDiv w:val="1"/>
      <w:marLeft w:val="0"/>
      <w:marRight w:val="0"/>
      <w:marTop w:val="0"/>
      <w:marBottom w:val="0"/>
      <w:divBdr>
        <w:top w:val="none" w:sz="0" w:space="0" w:color="auto"/>
        <w:left w:val="none" w:sz="0" w:space="0" w:color="auto"/>
        <w:bottom w:val="none" w:sz="0" w:space="0" w:color="auto"/>
        <w:right w:val="none" w:sz="0" w:space="0" w:color="auto"/>
      </w:divBdr>
    </w:div>
    <w:div w:id="1802382719">
      <w:bodyDiv w:val="1"/>
      <w:marLeft w:val="0"/>
      <w:marRight w:val="0"/>
      <w:marTop w:val="0"/>
      <w:marBottom w:val="0"/>
      <w:divBdr>
        <w:top w:val="none" w:sz="0" w:space="0" w:color="auto"/>
        <w:left w:val="none" w:sz="0" w:space="0" w:color="auto"/>
        <w:bottom w:val="none" w:sz="0" w:space="0" w:color="auto"/>
        <w:right w:val="none" w:sz="0" w:space="0" w:color="auto"/>
      </w:divBdr>
    </w:div>
    <w:div w:id="1803035660">
      <w:bodyDiv w:val="1"/>
      <w:marLeft w:val="0"/>
      <w:marRight w:val="0"/>
      <w:marTop w:val="0"/>
      <w:marBottom w:val="0"/>
      <w:divBdr>
        <w:top w:val="none" w:sz="0" w:space="0" w:color="auto"/>
        <w:left w:val="none" w:sz="0" w:space="0" w:color="auto"/>
        <w:bottom w:val="none" w:sz="0" w:space="0" w:color="auto"/>
        <w:right w:val="none" w:sz="0" w:space="0" w:color="auto"/>
      </w:divBdr>
    </w:div>
    <w:div w:id="1803619199">
      <w:bodyDiv w:val="1"/>
      <w:marLeft w:val="0"/>
      <w:marRight w:val="0"/>
      <w:marTop w:val="0"/>
      <w:marBottom w:val="0"/>
      <w:divBdr>
        <w:top w:val="none" w:sz="0" w:space="0" w:color="auto"/>
        <w:left w:val="none" w:sz="0" w:space="0" w:color="auto"/>
        <w:bottom w:val="none" w:sz="0" w:space="0" w:color="auto"/>
        <w:right w:val="none" w:sz="0" w:space="0" w:color="auto"/>
      </w:divBdr>
    </w:div>
    <w:div w:id="1804303514">
      <w:bodyDiv w:val="1"/>
      <w:marLeft w:val="0"/>
      <w:marRight w:val="0"/>
      <w:marTop w:val="0"/>
      <w:marBottom w:val="0"/>
      <w:divBdr>
        <w:top w:val="none" w:sz="0" w:space="0" w:color="auto"/>
        <w:left w:val="none" w:sz="0" w:space="0" w:color="auto"/>
        <w:bottom w:val="none" w:sz="0" w:space="0" w:color="auto"/>
        <w:right w:val="none" w:sz="0" w:space="0" w:color="auto"/>
      </w:divBdr>
    </w:div>
    <w:div w:id="1804808152">
      <w:bodyDiv w:val="1"/>
      <w:marLeft w:val="0"/>
      <w:marRight w:val="0"/>
      <w:marTop w:val="0"/>
      <w:marBottom w:val="0"/>
      <w:divBdr>
        <w:top w:val="none" w:sz="0" w:space="0" w:color="auto"/>
        <w:left w:val="none" w:sz="0" w:space="0" w:color="auto"/>
        <w:bottom w:val="none" w:sz="0" w:space="0" w:color="auto"/>
        <w:right w:val="none" w:sz="0" w:space="0" w:color="auto"/>
      </w:divBdr>
    </w:div>
    <w:div w:id="1805268412">
      <w:bodyDiv w:val="1"/>
      <w:marLeft w:val="0"/>
      <w:marRight w:val="0"/>
      <w:marTop w:val="0"/>
      <w:marBottom w:val="0"/>
      <w:divBdr>
        <w:top w:val="none" w:sz="0" w:space="0" w:color="auto"/>
        <w:left w:val="none" w:sz="0" w:space="0" w:color="auto"/>
        <w:bottom w:val="none" w:sz="0" w:space="0" w:color="auto"/>
        <w:right w:val="none" w:sz="0" w:space="0" w:color="auto"/>
      </w:divBdr>
    </w:div>
    <w:div w:id="1805273259">
      <w:bodyDiv w:val="1"/>
      <w:marLeft w:val="0"/>
      <w:marRight w:val="0"/>
      <w:marTop w:val="0"/>
      <w:marBottom w:val="0"/>
      <w:divBdr>
        <w:top w:val="none" w:sz="0" w:space="0" w:color="auto"/>
        <w:left w:val="none" w:sz="0" w:space="0" w:color="auto"/>
        <w:bottom w:val="none" w:sz="0" w:space="0" w:color="auto"/>
        <w:right w:val="none" w:sz="0" w:space="0" w:color="auto"/>
      </w:divBdr>
    </w:div>
    <w:div w:id="1806124825">
      <w:bodyDiv w:val="1"/>
      <w:marLeft w:val="0"/>
      <w:marRight w:val="0"/>
      <w:marTop w:val="0"/>
      <w:marBottom w:val="0"/>
      <w:divBdr>
        <w:top w:val="none" w:sz="0" w:space="0" w:color="auto"/>
        <w:left w:val="none" w:sz="0" w:space="0" w:color="auto"/>
        <w:bottom w:val="none" w:sz="0" w:space="0" w:color="auto"/>
        <w:right w:val="none" w:sz="0" w:space="0" w:color="auto"/>
      </w:divBdr>
    </w:div>
    <w:div w:id="1806578215">
      <w:bodyDiv w:val="1"/>
      <w:marLeft w:val="0"/>
      <w:marRight w:val="0"/>
      <w:marTop w:val="0"/>
      <w:marBottom w:val="0"/>
      <w:divBdr>
        <w:top w:val="none" w:sz="0" w:space="0" w:color="auto"/>
        <w:left w:val="none" w:sz="0" w:space="0" w:color="auto"/>
        <w:bottom w:val="none" w:sz="0" w:space="0" w:color="auto"/>
        <w:right w:val="none" w:sz="0" w:space="0" w:color="auto"/>
      </w:divBdr>
    </w:div>
    <w:div w:id="1806771003">
      <w:bodyDiv w:val="1"/>
      <w:marLeft w:val="0"/>
      <w:marRight w:val="0"/>
      <w:marTop w:val="0"/>
      <w:marBottom w:val="0"/>
      <w:divBdr>
        <w:top w:val="none" w:sz="0" w:space="0" w:color="auto"/>
        <w:left w:val="none" w:sz="0" w:space="0" w:color="auto"/>
        <w:bottom w:val="none" w:sz="0" w:space="0" w:color="auto"/>
        <w:right w:val="none" w:sz="0" w:space="0" w:color="auto"/>
      </w:divBdr>
    </w:div>
    <w:div w:id="1808204183">
      <w:bodyDiv w:val="1"/>
      <w:marLeft w:val="0"/>
      <w:marRight w:val="0"/>
      <w:marTop w:val="0"/>
      <w:marBottom w:val="0"/>
      <w:divBdr>
        <w:top w:val="none" w:sz="0" w:space="0" w:color="auto"/>
        <w:left w:val="none" w:sz="0" w:space="0" w:color="auto"/>
        <w:bottom w:val="none" w:sz="0" w:space="0" w:color="auto"/>
        <w:right w:val="none" w:sz="0" w:space="0" w:color="auto"/>
      </w:divBdr>
    </w:div>
    <w:div w:id="1809128138">
      <w:bodyDiv w:val="1"/>
      <w:marLeft w:val="0"/>
      <w:marRight w:val="0"/>
      <w:marTop w:val="0"/>
      <w:marBottom w:val="0"/>
      <w:divBdr>
        <w:top w:val="none" w:sz="0" w:space="0" w:color="auto"/>
        <w:left w:val="none" w:sz="0" w:space="0" w:color="auto"/>
        <w:bottom w:val="none" w:sz="0" w:space="0" w:color="auto"/>
        <w:right w:val="none" w:sz="0" w:space="0" w:color="auto"/>
      </w:divBdr>
    </w:div>
    <w:div w:id="1809932835">
      <w:bodyDiv w:val="1"/>
      <w:marLeft w:val="0"/>
      <w:marRight w:val="0"/>
      <w:marTop w:val="0"/>
      <w:marBottom w:val="0"/>
      <w:divBdr>
        <w:top w:val="none" w:sz="0" w:space="0" w:color="auto"/>
        <w:left w:val="none" w:sz="0" w:space="0" w:color="auto"/>
        <w:bottom w:val="none" w:sz="0" w:space="0" w:color="auto"/>
        <w:right w:val="none" w:sz="0" w:space="0" w:color="auto"/>
      </w:divBdr>
    </w:div>
    <w:div w:id="1810702889">
      <w:bodyDiv w:val="1"/>
      <w:marLeft w:val="0"/>
      <w:marRight w:val="0"/>
      <w:marTop w:val="0"/>
      <w:marBottom w:val="0"/>
      <w:divBdr>
        <w:top w:val="none" w:sz="0" w:space="0" w:color="auto"/>
        <w:left w:val="none" w:sz="0" w:space="0" w:color="auto"/>
        <w:bottom w:val="none" w:sz="0" w:space="0" w:color="auto"/>
        <w:right w:val="none" w:sz="0" w:space="0" w:color="auto"/>
      </w:divBdr>
    </w:div>
    <w:div w:id="1810827254">
      <w:bodyDiv w:val="1"/>
      <w:marLeft w:val="0"/>
      <w:marRight w:val="0"/>
      <w:marTop w:val="0"/>
      <w:marBottom w:val="0"/>
      <w:divBdr>
        <w:top w:val="none" w:sz="0" w:space="0" w:color="auto"/>
        <w:left w:val="none" w:sz="0" w:space="0" w:color="auto"/>
        <w:bottom w:val="none" w:sz="0" w:space="0" w:color="auto"/>
        <w:right w:val="none" w:sz="0" w:space="0" w:color="auto"/>
      </w:divBdr>
    </w:div>
    <w:div w:id="1810975980">
      <w:bodyDiv w:val="1"/>
      <w:marLeft w:val="0"/>
      <w:marRight w:val="0"/>
      <w:marTop w:val="0"/>
      <w:marBottom w:val="0"/>
      <w:divBdr>
        <w:top w:val="none" w:sz="0" w:space="0" w:color="auto"/>
        <w:left w:val="none" w:sz="0" w:space="0" w:color="auto"/>
        <w:bottom w:val="none" w:sz="0" w:space="0" w:color="auto"/>
        <w:right w:val="none" w:sz="0" w:space="0" w:color="auto"/>
      </w:divBdr>
    </w:div>
    <w:div w:id="1811940077">
      <w:bodyDiv w:val="1"/>
      <w:marLeft w:val="0"/>
      <w:marRight w:val="0"/>
      <w:marTop w:val="0"/>
      <w:marBottom w:val="0"/>
      <w:divBdr>
        <w:top w:val="none" w:sz="0" w:space="0" w:color="auto"/>
        <w:left w:val="none" w:sz="0" w:space="0" w:color="auto"/>
        <w:bottom w:val="none" w:sz="0" w:space="0" w:color="auto"/>
        <w:right w:val="none" w:sz="0" w:space="0" w:color="auto"/>
      </w:divBdr>
    </w:div>
    <w:div w:id="1812282150">
      <w:bodyDiv w:val="1"/>
      <w:marLeft w:val="0"/>
      <w:marRight w:val="0"/>
      <w:marTop w:val="0"/>
      <w:marBottom w:val="0"/>
      <w:divBdr>
        <w:top w:val="none" w:sz="0" w:space="0" w:color="auto"/>
        <w:left w:val="none" w:sz="0" w:space="0" w:color="auto"/>
        <w:bottom w:val="none" w:sz="0" w:space="0" w:color="auto"/>
        <w:right w:val="none" w:sz="0" w:space="0" w:color="auto"/>
      </w:divBdr>
    </w:div>
    <w:div w:id="1813399509">
      <w:bodyDiv w:val="1"/>
      <w:marLeft w:val="0"/>
      <w:marRight w:val="0"/>
      <w:marTop w:val="0"/>
      <w:marBottom w:val="0"/>
      <w:divBdr>
        <w:top w:val="none" w:sz="0" w:space="0" w:color="auto"/>
        <w:left w:val="none" w:sz="0" w:space="0" w:color="auto"/>
        <w:bottom w:val="none" w:sz="0" w:space="0" w:color="auto"/>
        <w:right w:val="none" w:sz="0" w:space="0" w:color="auto"/>
      </w:divBdr>
    </w:div>
    <w:div w:id="1814366130">
      <w:bodyDiv w:val="1"/>
      <w:marLeft w:val="0"/>
      <w:marRight w:val="0"/>
      <w:marTop w:val="0"/>
      <w:marBottom w:val="0"/>
      <w:divBdr>
        <w:top w:val="none" w:sz="0" w:space="0" w:color="auto"/>
        <w:left w:val="none" w:sz="0" w:space="0" w:color="auto"/>
        <w:bottom w:val="none" w:sz="0" w:space="0" w:color="auto"/>
        <w:right w:val="none" w:sz="0" w:space="0" w:color="auto"/>
      </w:divBdr>
    </w:div>
    <w:div w:id="1815173161">
      <w:bodyDiv w:val="1"/>
      <w:marLeft w:val="0"/>
      <w:marRight w:val="0"/>
      <w:marTop w:val="0"/>
      <w:marBottom w:val="0"/>
      <w:divBdr>
        <w:top w:val="none" w:sz="0" w:space="0" w:color="auto"/>
        <w:left w:val="none" w:sz="0" w:space="0" w:color="auto"/>
        <w:bottom w:val="none" w:sz="0" w:space="0" w:color="auto"/>
        <w:right w:val="none" w:sz="0" w:space="0" w:color="auto"/>
      </w:divBdr>
    </w:div>
    <w:div w:id="1816483554">
      <w:bodyDiv w:val="1"/>
      <w:marLeft w:val="0"/>
      <w:marRight w:val="0"/>
      <w:marTop w:val="0"/>
      <w:marBottom w:val="0"/>
      <w:divBdr>
        <w:top w:val="none" w:sz="0" w:space="0" w:color="auto"/>
        <w:left w:val="none" w:sz="0" w:space="0" w:color="auto"/>
        <w:bottom w:val="none" w:sz="0" w:space="0" w:color="auto"/>
        <w:right w:val="none" w:sz="0" w:space="0" w:color="auto"/>
      </w:divBdr>
    </w:div>
    <w:div w:id="1817065885">
      <w:bodyDiv w:val="1"/>
      <w:marLeft w:val="0"/>
      <w:marRight w:val="0"/>
      <w:marTop w:val="0"/>
      <w:marBottom w:val="0"/>
      <w:divBdr>
        <w:top w:val="none" w:sz="0" w:space="0" w:color="auto"/>
        <w:left w:val="none" w:sz="0" w:space="0" w:color="auto"/>
        <w:bottom w:val="none" w:sz="0" w:space="0" w:color="auto"/>
        <w:right w:val="none" w:sz="0" w:space="0" w:color="auto"/>
      </w:divBdr>
    </w:div>
    <w:div w:id="1817338605">
      <w:bodyDiv w:val="1"/>
      <w:marLeft w:val="0"/>
      <w:marRight w:val="0"/>
      <w:marTop w:val="0"/>
      <w:marBottom w:val="0"/>
      <w:divBdr>
        <w:top w:val="none" w:sz="0" w:space="0" w:color="auto"/>
        <w:left w:val="none" w:sz="0" w:space="0" w:color="auto"/>
        <w:bottom w:val="none" w:sz="0" w:space="0" w:color="auto"/>
        <w:right w:val="none" w:sz="0" w:space="0" w:color="auto"/>
      </w:divBdr>
    </w:div>
    <w:div w:id="1817994279">
      <w:bodyDiv w:val="1"/>
      <w:marLeft w:val="0"/>
      <w:marRight w:val="0"/>
      <w:marTop w:val="0"/>
      <w:marBottom w:val="0"/>
      <w:divBdr>
        <w:top w:val="none" w:sz="0" w:space="0" w:color="auto"/>
        <w:left w:val="none" w:sz="0" w:space="0" w:color="auto"/>
        <w:bottom w:val="none" w:sz="0" w:space="0" w:color="auto"/>
        <w:right w:val="none" w:sz="0" w:space="0" w:color="auto"/>
      </w:divBdr>
    </w:div>
    <w:div w:id="1818573486">
      <w:bodyDiv w:val="1"/>
      <w:marLeft w:val="0"/>
      <w:marRight w:val="0"/>
      <w:marTop w:val="0"/>
      <w:marBottom w:val="0"/>
      <w:divBdr>
        <w:top w:val="none" w:sz="0" w:space="0" w:color="auto"/>
        <w:left w:val="none" w:sz="0" w:space="0" w:color="auto"/>
        <w:bottom w:val="none" w:sz="0" w:space="0" w:color="auto"/>
        <w:right w:val="none" w:sz="0" w:space="0" w:color="auto"/>
      </w:divBdr>
    </w:div>
    <w:div w:id="1819373746">
      <w:bodyDiv w:val="1"/>
      <w:marLeft w:val="0"/>
      <w:marRight w:val="0"/>
      <w:marTop w:val="0"/>
      <w:marBottom w:val="0"/>
      <w:divBdr>
        <w:top w:val="none" w:sz="0" w:space="0" w:color="auto"/>
        <w:left w:val="none" w:sz="0" w:space="0" w:color="auto"/>
        <w:bottom w:val="none" w:sz="0" w:space="0" w:color="auto"/>
        <w:right w:val="none" w:sz="0" w:space="0" w:color="auto"/>
      </w:divBdr>
    </w:div>
    <w:div w:id="1820072668">
      <w:bodyDiv w:val="1"/>
      <w:marLeft w:val="0"/>
      <w:marRight w:val="0"/>
      <w:marTop w:val="0"/>
      <w:marBottom w:val="0"/>
      <w:divBdr>
        <w:top w:val="none" w:sz="0" w:space="0" w:color="auto"/>
        <w:left w:val="none" w:sz="0" w:space="0" w:color="auto"/>
        <w:bottom w:val="none" w:sz="0" w:space="0" w:color="auto"/>
        <w:right w:val="none" w:sz="0" w:space="0" w:color="auto"/>
      </w:divBdr>
    </w:div>
    <w:div w:id="1820725529">
      <w:bodyDiv w:val="1"/>
      <w:marLeft w:val="0"/>
      <w:marRight w:val="0"/>
      <w:marTop w:val="0"/>
      <w:marBottom w:val="0"/>
      <w:divBdr>
        <w:top w:val="none" w:sz="0" w:space="0" w:color="auto"/>
        <w:left w:val="none" w:sz="0" w:space="0" w:color="auto"/>
        <w:bottom w:val="none" w:sz="0" w:space="0" w:color="auto"/>
        <w:right w:val="none" w:sz="0" w:space="0" w:color="auto"/>
      </w:divBdr>
    </w:div>
    <w:div w:id="1821117105">
      <w:bodyDiv w:val="1"/>
      <w:marLeft w:val="0"/>
      <w:marRight w:val="0"/>
      <w:marTop w:val="0"/>
      <w:marBottom w:val="0"/>
      <w:divBdr>
        <w:top w:val="none" w:sz="0" w:space="0" w:color="auto"/>
        <w:left w:val="none" w:sz="0" w:space="0" w:color="auto"/>
        <w:bottom w:val="none" w:sz="0" w:space="0" w:color="auto"/>
        <w:right w:val="none" w:sz="0" w:space="0" w:color="auto"/>
      </w:divBdr>
    </w:div>
    <w:div w:id="1821381511">
      <w:bodyDiv w:val="1"/>
      <w:marLeft w:val="0"/>
      <w:marRight w:val="0"/>
      <w:marTop w:val="0"/>
      <w:marBottom w:val="0"/>
      <w:divBdr>
        <w:top w:val="none" w:sz="0" w:space="0" w:color="auto"/>
        <w:left w:val="none" w:sz="0" w:space="0" w:color="auto"/>
        <w:bottom w:val="none" w:sz="0" w:space="0" w:color="auto"/>
        <w:right w:val="none" w:sz="0" w:space="0" w:color="auto"/>
      </w:divBdr>
    </w:div>
    <w:div w:id="1821921128">
      <w:bodyDiv w:val="1"/>
      <w:marLeft w:val="0"/>
      <w:marRight w:val="0"/>
      <w:marTop w:val="0"/>
      <w:marBottom w:val="0"/>
      <w:divBdr>
        <w:top w:val="none" w:sz="0" w:space="0" w:color="auto"/>
        <w:left w:val="none" w:sz="0" w:space="0" w:color="auto"/>
        <w:bottom w:val="none" w:sz="0" w:space="0" w:color="auto"/>
        <w:right w:val="none" w:sz="0" w:space="0" w:color="auto"/>
      </w:divBdr>
    </w:div>
    <w:div w:id="1822572396">
      <w:bodyDiv w:val="1"/>
      <w:marLeft w:val="0"/>
      <w:marRight w:val="0"/>
      <w:marTop w:val="0"/>
      <w:marBottom w:val="0"/>
      <w:divBdr>
        <w:top w:val="none" w:sz="0" w:space="0" w:color="auto"/>
        <w:left w:val="none" w:sz="0" w:space="0" w:color="auto"/>
        <w:bottom w:val="none" w:sz="0" w:space="0" w:color="auto"/>
        <w:right w:val="none" w:sz="0" w:space="0" w:color="auto"/>
      </w:divBdr>
    </w:div>
    <w:div w:id="1822692172">
      <w:bodyDiv w:val="1"/>
      <w:marLeft w:val="0"/>
      <w:marRight w:val="0"/>
      <w:marTop w:val="0"/>
      <w:marBottom w:val="0"/>
      <w:divBdr>
        <w:top w:val="none" w:sz="0" w:space="0" w:color="auto"/>
        <w:left w:val="none" w:sz="0" w:space="0" w:color="auto"/>
        <w:bottom w:val="none" w:sz="0" w:space="0" w:color="auto"/>
        <w:right w:val="none" w:sz="0" w:space="0" w:color="auto"/>
      </w:divBdr>
    </w:div>
    <w:div w:id="1822850613">
      <w:bodyDiv w:val="1"/>
      <w:marLeft w:val="0"/>
      <w:marRight w:val="0"/>
      <w:marTop w:val="0"/>
      <w:marBottom w:val="0"/>
      <w:divBdr>
        <w:top w:val="none" w:sz="0" w:space="0" w:color="auto"/>
        <w:left w:val="none" w:sz="0" w:space="0" w:color="auto"/>
        <w:bottom w:val="none" w:sz="0" w:space="0" w:color="auto"/>
        <w:right w:val="none" w:sz="0" w:space="0" w:color="auto"/>
      </w:divBdr>
    </w:div>
    <w:div w:id="1822886229">
      <w:bodyDiv w:val="1"/>
      <w:marLeft w:val="0"/>
      <w:marRight w:val="0"/>
      <w:marTop w:val="0"/>
      <w:marBottom w:val="0"/>
      <w:divBdr>
        <w:top w:val="none" w:sz="0" w:space="0" w:color="auto"/>
        <w:left w:val="none" w:sz="0" w:space="0" w:color="auto"/>
        <w:bottom w:val="none" w:sz="0" w:space="0" w:color="auto"/>
        <w:right w:val="none" w:sz="0" w:space="0" w:color="auto"/>
      </w:divBdr>
    </w:div>
    <w:div w:id="1823766762">
      <w:bodyDiv w:val="1"/>
      <w:marLeft w:val="0"/>
      <w:marRight w:val="0"/>
      <w:marTop w:val="0"/>
      <w:marBottom w:val="0"/>
      <w:divBdr>
        <w:top w:val="none" w:sz="0" w:space="0" w:color="auto"/>
        <w:left w:val="none" w:sz="0" w:space="0" w:color="auto"/>
        <w:bottom w:val="none" w:sz="0" w:space="0" w:color="auto"/>
        <w:right w:val="none" w:sz="0" w:space="0" w:color="auto"/>
      </w:divBdr>
    </w:div>
    <w:div w:id="1825465029">
      <w:bodyDiv w:val="1"/>
      <w:marLeft w:val="0"/>
      <w:marRight w:val="0"/>
      <w:marTop w:val="0"/>
      <w:marBottom w:val="0"/>
      <w:divBdr>
        <w:top w:val="none" w:sz="0" w:space="0" w:color="auto"/>
        <w:left w:val="none" w:sz="0" w:space="0" w:color="auto"/>
        <w:bottom w:val="none" w:sz="0" w:space="0" w:color="auto"/>
        <w:right w:val="none" w:sz="0" w:space="0" w:color="auto"/>
      </w:divBdr>
    </w:div>
    <w:div w:id="1825927947">
      <w:bodyDiv w:val="1"/>
      <w:marLeft w:val="0"/>
      <w:marRight w:val="0"/>
      <w:marTop w:val="0"/>
      <w:marBottom w:val="0"/>
      <w:divBdr>
        <w:top w:val="none" w:sz="0" w:space="0" w:color="auto"/>
        <w:left w:val="none" w:sz="0" w:space="0" w:color="auto"/>
        <w:bottom w:val="none" w:sz="0" w:space="0" w:color="auto"/>
        <w:right w:val="none" w:sz="0" w:space="0" w:color="auto"/>
      </w:divBdr>
    </w:div>
    <w:div w:id="1827083892">
      <w:bodyDiv w:val="1"/>
      <w:marLeft w:val="0"/>
      <w:marRight w:val="0"/>
      <w:marTop w:val="0"/>
      <w:marBottom w:val="0"/>
      <w:divBdr>
        <w:top w:val="none" w:sz="0" w:space="0" w:color="auto"/>
        <w:left w:val="none" w:sz="0" w:space="0" w:color="auto"/>
        <w:bottom w:val="none" w:sz="0" w:space="0" w:color="auto"/>
        <w:right w:val="none" w:sz="0" w:space="0" w:color="auto"/>
      </w:divBdr>
    </w:div>
    <w:div w:id="1827936926">
      <w:bodyDiv w:val="1"/>
      <w:marLeft w:val="0"/>
      <w:marRight w:val="0"/>
      <w:marTop w:val="0"/>
      <w:marBottom w:val="0"/>
      <w:divBdr>
        <w:top w:val="none" w:sz="0" w:space="0" w:color="auto"/>
        <w:left w:val="none" w:sz="0" w:space="0" w:color="auto"/>
        <w:bottom w:val="none" w:sz="0" w:space="0" w:color="auto"/>
        <w:right w:val="none" w:sz="0" w:space="0" w:color="auto"/>
      </w:divBdr>
    </w:div>
    <w:div w:id="1830511071">
      <w:bodyDiv w:val="1"/>
      <w:marLeft w:val="0"/>
      <w:marRight w:val="0"/>
      <w:marTop w:val="0"/>
      <w:marBottom w:val="0"/>
      <w:divBdr>
        <w:top w:val="none" w:sz="0" w:space="0" w:color="auto"/>
        <w:left w:val="none" w:sz="0" w:space="0" w:color="auto"/>
        <w:bottom w:val="none" w:sz="0" w:space="0" w:color="auto"/>
        <w:right w:val="none" w:sz="0" w:space="0" w:color="auto"/>
      </w:divBdr>
    </w:div>
    <w:div w:id="1831557064">
      <w:bodyDiv w:val="1"/>
      <w:marLeft w:val="0"/>
      <w:marRight w:val="0"/>
      <w:marTop w:val="0"/>
      <w:marBottom w:val="0"/>
      <w:divBdr>
        <w:top w:val="none" w:sz="0" w:space="0" w:color="auto"/>
        <w:left w:val="none" w:sz="0" w:space="0" w:color="auto"/>
        <w:bottom w:val="none" w:sz="0" w:space="0" w:color="auto"/>
        <w:right w:val="none" w:sz="0" w:space="0" w:color="auto"/>
      </w:divBdr>
    </w:div>
    <w:div w:id="1832138886">
      <w:bodyDiv w:val="1"/>
      <w:marLeft w:val="0"/>
      <w:marRight w:val="0"/>
      <w:marTop w:val="0"/>
      <w:marBottom w:val="0"/>
      <w:divBdr>
        <w:top w:val="none" w:sz="0" w:space="0" w:color="auto"/>
        <w:left w:val="none" w:sz="0" w:space="0" w:color="auto"/>
        <w:bottom w:val="none" w:sz="0" w:space="0" w:color="auto"/>
        <w:right w:val="none" w:sz="0" w:space="0" w:color="auto"/>
      </w:divBdr>
    </w:div>
    <w:div w:id="1832717468">
      <w:bodyDiv w:val="1"/>
      <w:marLeft w:val="0"/>
      <w:marRight w:val="0"/>
      <w:marTop w:val="0"/>
      <w:marBottom w:val="0"/>
      <w:divBdr>
        <w:top w:val="none" w:sz="0" w:space="0" w:color="auto"/>
        <w:left w:val="none" w:sz="0" w:space="0" w:color="auto"/>
        <w:bottom w:val="none" w:sz="0" w:space="0" w:color="auto"/>
        <w:right w:val="none" w:sz="0" w:space="0" w:color="auto"/>
      </w:divBdr>
    </w:div>
    <w:div w:id="1833065982">
      <w:bodyDiv w:val="1"/>
      <w:marLeft w:val="0"/>
      <w:marRight w:val="0"/>
      <w:marTop w:val="0"/>
      <w:marBottom w:val="0"/>
      <w:divBdr>
        <w:top w:val="none" w:sz="0" w:space="0" w:color="auto"/>
        <w:left w:val="none" w:sz="0" w:space="0" w:color="auto"/>
        <w:bottom w:val="none" w:sz="0" w:space="0" w:color="auto"/>
        <w:right w:val="none" w:sz="0" w:space="0" w:color="auto"/>
      </w:divBdr>
    </w:div>
    <w:div w:id="1833641960">
      <w:bodyDiv w:val="1"/>
      <w:marLeft w:val="0"/>
      <w:marRight w:val="0"/>
      <w:marTop w:val="0"/>
      <w:marBottom w:val="0"/>
      <w:divBdr>
        <w:top w:val="none" w:sz="0" w:space="0" w:color="auto"/>
        <w:left w:val="none" w:sz="0" w:space="0" w:color="auto"/>
        <w:bottom w:val="none" w:sz="0" w:space="0" w:color="auto"/>
        <w:right w:val="none" w:sz="0" w:space="0" w:color="auto"/>
      </w:divBdr>
    </w:div>
    <w:div w:id="1834367372">
      <w:bodyDiv w:val="1"/>
      <w:marLeft w:val="0"/>
      <w:marRight w:val="0"/>
      <w:marTop w:val="0"/>
      <w:marBottom w:val="0"/>
      <w:divBdr>
        <w:top w:val="none" w:sz="0" w:space="0" w:color="auto"/>
        <w:left w:val="none" w:sz="0" w:space="0" w:color="auto"/>
        <w:bottom w:val="none" w:sz="0" w:space="0" w:color="auto"/>
        <w:right w:val="none" w:sz="0" w:space="0" w:color="auto"/>
      </w:divBdr>
    </w:div>
    <w:div w:id="1834712545">
      <w:bodyDiv w:val="1"/>
      <w:marLeft w:val="0"/>
      <w:marRight w:val="0"/>
      <w:marTop w:val="0"/>
      <w:marBottom w:val="0"/>
      <w:divBdr>
        <w:top w:val="none" w:sz="0" w:space="0" w:color="auto"/>
        <w:left w:val="none" w:sz="0" w:space="0" w:color="auto"/>
        <w:bottom w:val="none" w:sz="0" w:space="0" w:color="auto"/>
        <w:right w:val="none" w:sz="0" w:space="0" w:color="auto"/>
      </w:divBdr>
    </w:div>
    <w:div w:id="1834909632">
      <w:bodyDiv w:val="1"/>
      <w:marLeft w:val="0"/>
      <w:marRight w:val="0"/>
      <w:marTop w:val="0"/>
      <w:marBottom w:val="0"/>
      <w:divBdr>
        <w:top w:val="none" w:sz="0" w:space="0" w:color="auto"/>
        <w:left w:val="none" w:sz="0" w:space="0" w:color="auto"/>
        <w:bottom w:val="none" w:sz="0" w:space="0" w:color="auto"/>
        <w:right w:val="none" w:sz="0" w:space="0" w:color="auto"/>
      </w:divBdr>
    </w:div>
    <w:div w:id="1835684469">
      <w:bodyDiv w:val="1"/>
      <w:marLeft w:val="0"/>
      <w:marRight w:val="0"/>
      <w:marTop w:val="0"/>
      <w:marBottom w:val="0"/>
      <w:divBdr>
        <w:top w:val="none" w:sz="0" w:space="0" w:color="auto"/>
        <w:left w:val="none" w:sz="0" w:space="0" w:color="auto"/>
        <w:bottom w:val="none" w:sz="0" w:space="0" w:color="auto"/>
        <w:right w:val="none" w:sz="0" w:space="0" w:color="auto"/>
      </w:divBdr>
    </w:div>
    <w:div w:id="1836609549">
      <w:bodyDiv w:val="1"/>
      <w:marLeft w:val="0"/>
      <w:marRight w:val="0"/>
      <w:marTop w:val="0"/>
      <w:marBottom w:val="0"/>
      <w:divBdr>
        <w:top w:val="none" w:sz="0" w:space="0" w:color="auto"/>
        <w:left w:val="none" w:sz="0" w:space="0" w:color="auto"/>
        <w:bottom w:val="none" w:sz="0" w:space="0" w:color="auto"/>
        <w:right w:val="none" w:sz="0" w:space="0" w:color="auto"/>
      </w:divBdr>
    </w:div>
    <w:div w:id="1837763873">
      <w:bodyDiv w:val="1"/>
      <w:marLeft w:val="0"/>
      <w:marRight w:val="0"/>
      <w:marTop w:val="0"/>
      <w:marBottom w:val="0"/>
      <w:divBdr>
        <w:top w:val="none" w:sz="0" w:space="0" w:color="auto"/>
        <w:left w:val="none" w:sz="0" w:space="0" w:color="auto"/>
        <w:bottom w:val="none" w:sz="0" w:space="0" w:color="auto"/>
        <w:right w:val="none" w:sz="0" w:space="0" w:color="auto"/>
      </w:divBdr>
    </w:div>
    <w:div w:id="1838958386">
      <w:bodyDiv w:val="1"/>
      <w:marLeft w:val="0"/>
      <w:marRight w:val="0"/>
      <w:marTop w:val="0"/>
      <w:marBottom w:val="0"/>
      <w:divBdr>
        <w:top w:val="none" w:sz="0" w:space="0" w:color="auto"/>
        <w:left w:val="none" w:sz="0" w:space="0" w:color="auto"/>
        <w:bottom w:val="none" w:sz="0" w:space="0" w:color="auto"/>
        <w:right w:val="none" w:sz="0" w:space="0" w:color="auto"/>
      </w:divBdr>
    </w:div>
    <w:div w:id="1839926760">
      <w:bodyDiv w:val="1"/>
      <w:marLeft w:val="0"/>
      <w:marRight w:val="0"/>
      <w:marTop w:val="0"/>
      <w:marBottom w:val="0"/>
      <w:divBdr>
        <w:top w:val="none" w:sz="0" w:space="0" w:color="auto"/>
        <w:left w:val="none" w:sz="0" w:space="0" w:color="auto"/>
        <w:bottom w:val="none" w:sz="0" w:space="0" w:color="auto"/>
        <w:right w:val="none" w:sz="0" w:space="0" w:color="auto"/>
      </w:divBdr>
    </w:div>
    <w:div w:id="1843620896">
      <w:bodyDiv w:val="1"/>
      <w:marLeft w:val="0"/>
      <w:marRight w:val="0"/>
      <w:marTop w:val="0"/>
      <w:marBottom w:val="0"/>
      <w:divBdr>
        <w:top w:val="none" w:sz="0" w:space="0" w:color="auto"/>
        <w:left w:val="none" w:sz="0" w:space="0" w:color="auto"/>
        <w:bottom w:val="none" w:sz="0" w:space="0" w:color="auto"/>
        <w:right w:val="none" w:sz="0" w:space="0" w:color="auto"/>
      </w:divBdr>
    </w:div>
    <w:div w:id="1843735937">
      <w:bodyDiv w:val="1"/>
      <w:marLeft w:val="0"/>
      <w:marRight w:val="0"/>
      <w:marTop w:val="0"/>
      <w:marBottom w:val="0"/>
      <w:divBdr>
        <w:top w:val="none" w:sz="0" w:space="0" w:color="auto"/>
        <w:left w:val="none" w:sz="0" w:space="0" w:color="auto"/>
        <w:bottom w:val="none" w:sz="0" w:space="0" w:color="auto"/>
        <w:right w:val="none" w:sz="0" w:space="0" w:color="auto"/>
      </w:divBdr>
    </w:div>
    <w:div w:id="1844203213">
      <w:bodyDiv w:val="1"/>
      <w:marLeft w:val="0"/>
      <w:marRight w:val="0"/>
      <w:marTop w:val="0"/>
      <w:marBottom w:val="0"/>
      <w:divBdr>
        <w:top w:val="none" w:sz="0" w:space="0" w:color="auto"/>
        <w:left w:val="none" w:sz="0" w:space="0" w:color="auto"/>
        <w:bottom w:val="none" w:sz="0" w:space="0" w:color="auto"/>
        <w:right w:val="none" w:sz="0" w:space="0" w:color="auto"/>
      </w:divBdr>
    </w:div>
    <w:div w:id="1846168981">
      <w:bodyDiv w:val="1"/>
      <w:marLeft w:val="0"/>
      <w:marRight w:val="0"/>
      <w:marTop w:val="0"/>
      <w:marBottom w:val="0"/>
      <w:divBdr>
        <w:top w:val="none" w:sz="0" w:space="0" w:color="auto"/>
        <w:left w:val="none" w:sz="0" w:space="0" w:color="auto"/>
        <w:bottom w:val="none" w:sz="0" w:space="0" w:color="auto"/>
        <w:right w:val="none" w:sz="0" w:space="0" w:color="auto"/>
      </w:divBdr>
    </w:div>
    <w:div w:id="1846361929">
      <w:bodyDiv w:val="1"/>
      <w:marLeft w:val="0"/>
      <w:marRight w:val="0"/>
      <w:marTop w:val="0"/>
      <w:marBottom w:val="0"/>
      <w:divBdr>
        <w:top w:val="none" w:sz="0" w:space="0" w:color="auto"/>
        <w:left w:val="none" w:sz="0" w:space="0" w:color="auto"/>
        <w:bottom w:val="none" w:sz="0" w:space="0" w:color="auto"/>
        <w:right w:val="none" w:sz="0" w:space="0" w:color="auto"/>
      </w:divBdr>
    </w:div>
    <w:div w:id="1846819519">
      <w:bodyDiv w:val="1"/>
      <w:marLeft w:val="0"/>
      <w:marRight w:val="0"/>
      <w:marTop w:val="0"/>
      <w:marBottom w:val="0"/>
      <w:divBdr>
        <w:top w:val="none" w:sz="0" w:space="0" w:color="auto"/>
        <w:left w:val="none" w:sz="0" w:space="0" w:color="auto"/>
        <w:bottom w:val="none" w:sz="0" w:space="0" w:color="auto"/>
        <w:right w:val="none" w:sz="0" w:space="0" w:color="auto"/>
      </w:divBdr>
    </w:div>
    <w:div w:id="1847014239">
      <w:bodyDiv w:val="1"/>
      <w:marLeft w:val="0"/>
      <w:marRight w:val="0"/>
      <w:marTop w:val="0"/>
      <w:marBottom w:val="0"/>
      <w:divBdr>
        <w:top w:val="none" w:sz="0" w:space="0" w:color="auto"/>
        <w:left w:val="none" w:sz="0" w:space="0" w:color="auto"/>
        <w:bottom w:val="none" w:sz="0" w:space="0" w:color="auto"/>
        <w:right w:val="none" w:sz="0" w:space="0" w:color="auto"/>
      </w:divBdr>
    </w:div>
    <w:div w:id="1847793287">
      <w:bodyDiv w:val="1"/>
      <w:marLeft w:val="0"/>
      <w:marRight w:val="0"/>
      <w:marTop w:val="0"/>
      <w:marBottom w:val="0"/>
      <w:divBdr>
        <w:top w:val="none" w:sz="0" w:space="0" w:color="auto"/>
        <w:left w:val="none" w:sz="0" w:space="0" w:color="auto"/>
        <w:bottom w:val="none" w:sz="0" w:space="0" w:color="auto"/>
        <w:right w:val="none" w:sz="0" w:space="0" w:color="auto"/>
      </w:divBdr>
    </w:div>
    <w:div w:id="1848052492">
      <w:bodyDiv w:val="1"/>
      <w:marLeft w:val="0"/>
      <w:marRight w:val="0"/>
      <w:marTop w:val="0"/>
      <w:marBottom w:val="0"/>
      <w:divBdr>
        <w:top w:val="none" w:sz="0" w:space="0" w:color="auto"/>
        <w:left w:val="none" w:sz="0" w:space="0" w:color="auto"/>
        <w:bottom w:val="none" w:sz="0" w:space="0" w:color="auto"/>
        <w:right w:val="none" w:sz="0" w:space="0" w:color="auto"/>
      </w:divBdr>
    </w:div>
    <w:div w:id="1848666712">
      <w:bodyDiv w:val="1"/>
      <w:marLeft w:val="0"/>
      <w:marRight w:val="0"/>
      <w:marTop w:val="0"/>
      <w:marBottom w:val="0"/>
      <w:divBdr>
        <w:top w:val="none" w:sz="0" w:space="0" w:color="auto"/>
        <w:left w:val="none" w:sz="0" w:space="0" w:color="auto"/>
        <w:bottom w:val="none" w:sz="0" w:space="0" w:color="auto"/>
        <w:right w:val="none" w:sz="0" w:space="0" w:color="auto"/>
      </w:divBdr>
    </w:div>
    <w:div w:id="1849557450">
      <w:bodyDiv w:val="1"/>
      <w:marLeft w:val="0"/>
      <w:marRight w:val="0"/>
      <w:marTop w:val="0"/>
      <w:marBottom w:val="0"/>
      <w:divBdr>
        <w:top w:val="none" w:sz="0" w:space="0" w:color="auto"/>
        <w:left w:val="none" w:sz="0" w:space="0" w:color="auto"/>
        <w:bottom w:val="none" w:sz="0" w:space="0" w:color="auto"/>
        <w:right w:val="none" w:sz="0" w:space="0" w:color="auto"/>
      </w:divBdr>
    </w:div>
    <w:div w:id="1850364163">
      <w:bodyDiv w:val="1"/>
      <w:marLeft w:val="0"/>
      <w:marRight w:val="0"/>
      <w:marTop w:val="0"/>
      <w:marBottom w:val="0"/>
      <w:divBdr>
        <w:top w:val="none" w:sz="0" w:space="0" w:color="auto"/>
        <w:left w:val="none" w:sz="0" w:space="0" w:color="auto"/>
        <w:bottom w:val="none" w:sz="0" w:space="0" w:color="auto"/>
        <w:right w:val="none" w:sz="0" w:space="0" w:color="auto"/>
      </w:divBdr>
    </w:div>
    <w:div w:id="1851407918">
      <w:bodyDiv w:val="1"/>
      <w:marLeft w:val="0"/>
      <w:marRight w:val="0"/>
      <w:marTop w:val="0"/>
      <w:marBottom w:val="0"/>
      <w:divBdr>
        <w:top w:val="none" w:sz="0" w:space="0" w:color="auto"/>
        <w:left w:val="none" w:sz="0" w:space="0" w:color="auto"/>
        <w:bottom w:val="none" w:sz="0" w:space="0" w:color="auto"/>
        <w:right w:val="none" w:sz="0" w:space="0" w:color="auto"/>
      </w:divBdr>
    </w:div>
    <w:div w:id="1852178535">
      <w:bodyDiv w:val="1"/>
      <w:marLeft w:val="0"/>
      <w:marRight w:val="0"/>
      <w:marTop w:val="0"/>
      <w:marBottom w:val="0"/>
      <w:divBdr>
        <w:top w:val="none" w:sz="0" w:space="0" w:color="auto"/>
        <w:left w:val="none" w:sz="0" w:space="0" w:color="auto"/>
        <w:bottom w:val="none" w:sz="0" w:space="0" w:color="auto"/>
        <w:right w:val="none" w:sz="0" w:space="0" w:color="auto"/>
      </w:divBdr>
    </w:div>
    <w:div w:id="1853689808">
      <w:bodyDiv w:val="1"/>
      <w:marLeft w:val="0"/>
      <w:marRight w:val="0"/>
      <w:marTop w:val="0"/>
      <w:marBottom w:val="0"/>
      <w:divBdr>
        <w:top w:val="none" w:sz="0" w:space="0" w:color="auto"/>
        <w:left w:val="none" w:sz="0" w:space="0" w:color="auto"/>
        <w:bottom w:val="none" w:sz="0" w:space="0" w:color="auto"/>
        <w:right w:val="none" w:sz="0" w:space="0" w:color="auto"/>
      </w:divBdr>
    </w:div>
    <w:div w:id="1854874624">
      <w:bodyDiv w:val="1"/>
      <w:marLeft w:val="0"/>
      <w:marRight w:val="0"/>
      <w:marTop w:val="0"/>
      <w:marBottom w:val="0"/>
      <w:divBdr>
        <w:top w:val="none" w:sz="0" w:space="0" w:color="auto"/>
        <w:left w:val="none" w:sz="0" w:space="0" w:color="auto"/>
        <w:bottom w:val="none" w:sz="0" w:space="0" w:color="auto"/>
        <w:right w:val="none" w:sz="0" w:space="0" w:color="auto"/>
      </w:divBdr>
    </w:div>
    <w:div w:id="1854880882">
      <w:bodyDiv w:val="1"/>
      <w:marLeft w:val="0"/>
      <w:marRight w:val="0"/>
      <w:marTop w:val="0"/>
      <w:marBottom w:val="0"/>
      <w:divBdr>
        <w:top w:val="none" w:sz="0" w:space="0" w:color="auto"/>
        <w:left w:val="none" w:sz="0" w:space="0" w:color="auto"/>
        <w:bottom w:val="none" w:sz="0" w:space="0" w:color="auto"/>
        <w:right w:val="none" w:sz="0" w:space="0" w:color="auto"/>
      </w:divBdr>
    </w:div>
    <w:div w:id="1856266494">
      <w:bodyDiv w:val="1"/>
      <w:marLeft w:val="0"/>
      <w:marRight w:val="0"/>
      <w:marTop w:val="0"/>
      <w:marBottom w:val="0"/>
      <w:divBdr>
        <w:top w:val="none" w:sz="0" w:space="0" w:color="auto"/>
        <w:left w:val="none" w:sz="0" w:space="0" w:color="auto"/>
        <w:bottom w:val="none" w:sz="0" w:space="0" w:color="auto"/>
        <w:right w:val="none" w:sz="0" w:space="0" w:color="auto"/>
      </w:divBdr>
    </w:div>
    <w:div w:id="1858082870">
      <w:bodyDiv w:val="1"/>
      <w:marLeft w:val="0"/>
      <w:marRight w:val="0"/>
      <w:marTop w:val="0"/>
      <w:marBottom w:val="0"/>
      <w:divBdr>
        <w:top w:val="none" w:sz="0" w:space="0" w:color="auto"/>
        <w:left w:val="none" w:sz="0" w:space="0" w:color="auto"/>
        <w:bottom w:val="none" w:sz="0" w:space="0" w:color="auto"/>
        <w:right w:val="none" w:sz="0" w:space="0" w:color="auto"/>
      </w:divBdr>
    </w:div>
    <w:div w:id="1858812326">
      <w:bodyDiv w:val="1"/>
      <w:marLeft w:val="0"/>
      <w:marRight w:val="0"/>
      <w:marTop w:val="0"/>
      <w:marBottom w:val="0"/>
      <w:divBdr>
        <w:top w:val="none" w:sz="0" w:space="0" w:color="auto"/>
        <w:left w:val="none" w:sz="0" w:space="0" w:color="auto"/>
        <w:bottom w:val="none" w:sz="0" w:space="0" w:color="auto"/>
        <w:right w:val="none" w:sz="0" w:space="0" w:color="auto"/>
      </w:divBdr>
    </w:div>
    <w:div w:id="1859923154">
      <w:bodyDiv w:val="1"/>
      <w:marLeft w:val="0"/>
      <w:marRight w:val="0"/>
      <w:marTop w:val="0"/>
      <w:marBottom w:val="0"/>
      <w:divBdr>
        <w:top w:val="none" w:sz="0" w:space="0" w:color="auto"/>
        <w:left w:val="none" w:sz="0" w:space="0" w:color="auto"/>
        <w:bottom w:val="none" w:sz="0" w:space="0" w:color="auto"/>
        <w:right w:val="none" w:sz="0" w:space="0" w:color="auto"/>
      </w:divBdr>
    </w:div>
    <w:div w:id="1860391898">
      <w:bodyDiv w:val="1"/>
      <w:marLeft w:val="0"/>
      <w:marRight w:val="0"/>
      <w:marTop w:val="0"/>
      <w:marBottom w:val="0"/>
      <w:divBdr>
        <w:top w:val="none" w:sz="0" w:space="0" w:color="auto"/>
        <w:left w:val="none" w:sz="0" w:space="0" w:color="auto"/>
        <w:bottom w:val="none" w:sz="0" w:space="0" w:color="auto"/>
        <w:right w:val="none" w:sz="0" w:space="0" w:color="auto"/>
      </w:divBdr>
    </w:div>
    <w:div w:id="1860509178">
      <w:bodyDiv w:val="1"/>
      <w:marLeft w:val="0"/>
      <w:marRight w:val="0"/>
      <w:marTop w:val="0"/>
      <w:marBottom w:val="0"/>
      <w:divBdr>
        <w:top w:val="none" w:sz="0" w:space="0" w:color="auto"/>
        <w:left w:val="none" w:sz="0" w:space="0" w:color="auto"/>
        <w:bottom w:val="none" w:sz="0" w:space="0" w:color="auto"/>
        <w:right w:val="none" w:sz="0" w:space="0" w:color="auto"/>
      </w:divBdr>
    </w:div>
    <w:div w:id="1861502708">
      <w:bodyDiv w:val="1"/>
      <w:marLeft w:val="0"/>
      <w:marRight w:val="0"/>
      <w:marTop w:val="0"/>
      <w:marBottom w:val="0"/>
      <w:divBdr>
        <w:top w:val="none" w:sz="0" w:space="0" w:color="auto"/>
        <w:left w:val="none" w:sz="0" w:space="0" w:color="auto"/>
        <w:bottom w:val="none" w:sz="0" w:space="0" w:color="auto"/>
        <w:right w:val="none" w:sz="0" w:space="0" w:color="auto"/>
      </w:divBdr>
    </w:div>
    <w:div w:id="1862476043">
      <w:bodyDiv w:val="1"/>
      <w:marLeft w:val="0"/>
      <w:marRight w:val="0"/>
      <w:marTop w:val="0"/>
      <w:marBottom w:val="0"/>
      <w:divBdr>
        <w:top w:val="none" w:sz="0" w:space="0" w:color="auto"/>
        <w:left w:val="none" w:sz="0" w:space="0" w:color="auto"/>
        <w:bottom w:val="none" w:sz="0" w:space="0" w:color="auto"/>
        <w:right w:val="none" w:sz="0" w:space="0" w:color="auto"/>
      </w:divBdr>
    </w:div>
    <w:div w:id="1863124495">
      <w:bodyDiv w:val="1"/>
      <w:marLeft w:val="0"/>
      <w:marRight w:val="0"/>
      <w:marTop w:val="0"/>
      <w:marBottom w:val="0"/>
      <w:divBdr>
        <w:top w:val="none" w:sz="0" w:space="0" w:color="auto"/>
        <w:left w:val="none" w:sz="0" w:space="0" w:color="auto"/>
        <w:bottom w:val="none" w:sz="0" w:space="0" w:color="auto"/>
        <w:right w:val="none" w:sz="0" w:space="0" w:color="auto"/>
      </w:divBdr>
    </w:div>
    <w:div w:id="1863125550">
      <w:bodyDiv w:val="1"/>
      <w:marLeft w:val="0"/>
      <w:marRight w:val="0"/>
      <w:marTop w:val="0"/>
      <w:marBottom w:val="0"/>
      <w:divBdr>
        <w:top w:val="none" w:sz="0" w:space="0" w:color="auto"/>
        <w:left w:val="none" w:sz="0" w:space="0" w:color="auto"/>
        <w:bottom w:val="none" w:sz="0" w:space="0" w:color="auto"/>
        <w:right w:val="none" w:sz="0" w:space="0" w:color="auto"/>
      </w:divBdr>
    </w:div>
    <w:div w:id="1864974510">
      <w:bodyDiv w:val="1"/>
      <w:marLeft w:val="0"/>
      <w:marRight w:val="0"/>
      <w:marTop w:val="0"/>
      <w:marBottom w:val="0"/>
      <w:divBdr>
        <w:top w:val="none" w:sz="0" w:space="0" w:color="auto"/>
        <w:left w:val="none" w:sz="0" w:space="0" w:color="auto"/>
        <w:bottom w:val="none" w:sz="0" w:space="0" w:color="auto"/>
        <w:right w:val="none" w:sz="0" w:space="0" w:color="auto"/>
      </w:divBdr>
    </w:div>
    <w:div w:id="1866477869">
      <w:bodyDiv w:val="1"/>
      <w:marLeft w:val="0"/>
      <w:marRight w:val="0"/>
      <w:marTop w:val="0"/>
      <w:marBottom w:val="0"/>
      <w:divBdr>
        <w:top w:val="none" w:sz="0" w:space="0" w:color="auto"/>
        <w:left w:val="none" w:sz="0" w:space="0" w:color="auto"/>
        <w:bottom w:val="none" w:sz="0" w:space="0" w:color="auto"/>
        <w:right w:val="none" w:sz="0" w:space="0" w:color="auto"/>
      </w:divBdr>
    </w:div>
    <w:div w:id="1867058704">
      <w:bodyDiv w:val="1"/>
      <w:marLeft w:val="0"/>
      <w:marRight w:val="0"/>
      <w:marTop w:val="0"/>
      <w:marBottom w:val="0"/>
      <w:divBdr>
        <w:top w:val="none" w:sz="0" w:space="0" w:color="auto"/>
        <w:left w:val="none" w:sz="0" w:space="0" w:color="auto"/>
        <w:bottom w:val="none" w:sz="0" w:space="0" w:color="auto"/>
        <w:right w:val="none" w:sz="0" w:space="0" w:color="auto"/>
      </w:divBdr>
    </w:div>
    <w:div w:id="1867475746">
      <w:bodyDiv w:val="1"/>
      <w:marLeft w:val="0"/>
      <w:marRight w:val="0"/>
      <w:marTop w:val="0"/>
      <w:marBottom w:val="0"/>
      <w:divBdr>
        <w:top w:val="none" w:sz="0" w:space="0" w:color="auto"/>
        <w:left w:val="none" w:sz="0" w:space="0" w:color="auto"/>
        <w:bottom w:val="none" w:sz="0" w:space="0" w:color="auto"/>
        <w:right w:val="none" w:sz="0" w:space="0" w:color="auto"/>
      </w:divBdr>
    </w:div>
    <w:div w:id="1867592766">
      <w:bodyDiv w:val="1"/>
      <w:marLeft w:val="0"/>
      <w:marRight w:val="0"/>
      <w:marTop w:val="0"/>
      <w:marBottom w:val="0"/>
      <w:divBdr>
        <w:top w:val="none" w:sz="0" w:space="0" w:color="auto"/>
        <w:left w:val="none" w:sz="0" w:space="0" w:color="auto"/>
        <w:bottom w:val="none" w:sz="0" w:space="0" w:color="auto"/>
        <w:right w:val="none" w:sz="0" w:space="0" w:color="auto"/>
      </w:divBdr>
    </w:div>
    <w:div w:id="1867600797">
      <w:bodyDiv w:val="1"/>
      <w:marLeft w:val="0"/>
      <w:marRight w:val="0"/>
      <w:marTop w:val="0"/>
      <w:marBottom w:val="0"/>
      <w:divBdr>
        <w:top w:val="none" w:sz="0" w:space="0" w:color="auto"/>
        <w:left w:val="none" w:sz="0" w:space="0" w:color="auto"/>
        <w:bottom w:val="none" w:sz="0" w:space="0" w:color="auto"/>
        <w:right w:val="none" w:sz="0" w:space="0" w:color="auto"/>
      </w:divBdr>
    </w:div>
    <w:div w:id="1868717978">
      <w:bodyDiv w:val="1"/>
      <w:marLeft w:val="0"/>
      <w:marRight w:val="0"/>
      <w:marTop w:val="0"/>
      <w:marBottom w:val="0"/>
      <w:divBdr>
        <w:top w:val="none" w:sz="0" w:space="0" w:color="auto"/>
        <w:left w:val="none" w:sz="0" w:space="0" w:color="auto"/>
        <w:bottom w:val="none" w:sz="0" w:space="0" w:color="auto"/>
        <w:right w:val="none" w:sz="0" w:space="0" w:color="auto"/>
      </w:divBdr>
    </w:div>
    <w:div w:id="1870221346">
      <w:bodyDiv w:val="1"/>
      <w:marLeft w:val="0"/>
      <w:marRight w:val="0"/>
      <w:marTop w:val="0"/>
      <w:marBottom w:val="0"/>
      <w:divBdr>
        <w:top w:val="none" w:sz="0" w:space="0" w:color="auto"/>
        <w:left w:val="none" w:sz="0" w:space="0" w:color="auto"/>
        <w:bottom w:val="none" w:sz="0" w:space="0" w:color="auto"/>
        <w:right w:val="none" w:sz="0" w:space="0" w:color="auto"/>
      </w:divBdr>
    </w:div>
    <w:div w:id="1871264356">
      <w:bodyDiv w:val="1"/>
      <w:marLeft w:val="0"/>
      <w:marRight w:val="0"/>
      <w:marTop w:val="0"/>
      <w:marBottom w:val="0"/>
      <w:divBdr>
        <w:top w:val="none" w:sz="0" w:space="0" w:color="auto"/>
        <w:left w:val="none" w:sz="0" w:space="0" w:color="auto"/>
        <w:bottom w:val="none" w:sz="0" w:space="0" w:color="auto"/>
        <w:right w:val="none" w:sz="0" w:space="0" w:color="auto"/>
      </w:divBdr>
    </w:div>
    <w:div w:id="1872764144">
      <w:bodyDiv w:val="1"/>
      <w:marLeft w:val="0"/>
      <w:marRight w:val="0"/>
      <w:marTop w:val="0"/>
      <w:marBottom w:val="0"/>
      <w:divBdr>
        <w:top w:val="none" w:sz="0" w:space="0" w:color="auto"/>
        <w:left w:val="none" w:sz="0" w:space="0" w:color="auto"/>
        <w:bottom w:val="none" w:sz="0" w:space="0" w:color="auto"/>
        <w:right w:val="none" w:sz="0" w:space="0" w:color="auto"/>
      </w:divBdr>
    </w:div>
    <w:div w:id="1875802620">
      <w:bodyDiv w:val="1"/>
      <w:marLeft w:val="0"/>
      <w:marRight w:val="0"/>
      <w:marTop w:val="0"/>
      <w:marBottom w:val="0"/>
      <w:divBdr>
        <w:top w:val="none" w:sz="0" w:space="0" w:color="auto"/>
        <w:left w:val="none" w:sz="0" w:space="0" w:color="auto"/>
        <w:bottom w:val="none" w:sz="0" w:space="0" w:color="auto"/>
        <w:right w:val="none" w:sz="0" w:space="0" w:color="auto"/>
      </w:divBdr>
    </w:div>
    <w:div w:id="1876382438">
      <w:bodyDiv w:val="1"/>
      <w:marLeft w:val="0"/>
      <w:marRight w:val="0"/>
      <w:marTop w:val="0"/>
      <w:marBottom w:val="0"/>
      <w:divBdr>
        <w:top w:val="none" w:sz="0" w:space="0" w:color="auto"/>
        <w:left w:val="none" w:sz="0" w:space="0" w:color="auto"/>
        <w:bottom w:val="none" w:sz="0" w:space="0" w:color="auto"/>
        <w:right w:val="none" w:sz="0" w:space="0" w:color="auto"/>
      </w:divBdr>
    </w:div>
    <w:div w:id="1876648915">
      <w:bodyDiv w:val="1"/>
      <w:marLeft w:val="0"/>
      <w:marRight w:val="0"/>
      <w:marTop w:val="0"/>
      <w:marBottom w:val="0"/>
      <w:divBdr>
        <w:top w:val="none" w:sz="0" w:space="0" w:color="auto"/>
        <w:left w:val="none" w:sz="0" w:space="0" w:color="auto"/>
        <w:bottom w:val="none" w:sz="0" w:space="0" w:color="auto"/>
        <w:right w:val="none" w:sz="0" w:space="0" w:color="auto"/>
      </w:divBdr>
    </w:div>
    <w:div w:id="1877308315">
      <w:bodyDiv w:val="1"/>
      <w:marLeft w:val="0"/>
      <w:marRight w:val="0"/>
      <w:marTop w:val="0"/>
      <w:marBottom w:val="0"/>
      <w:divBdr>
        <w:top w:val="none" w:sz="0" w:space="0" w:color="auto"/>
        <w:left w:val="none" w:sz="0" w:space="0" w:color="auto"/>
        <w:bottom w:val="none" w:sz="0" w:space="0" w:color="auto"/>
        <w:right w:val="none" w:sz="0" w:space="0" w:color="auto"/>
      </w:divBdr>
    </w:div>
    <w:div w:id="1878152981">
      <w:bodyDiv w:val="1"/>
      <w:marLeft w:val="0"/>
      <w:marRight w:val="0"/>
      <w:marTop w:val="0"/>
      <w:marBottom w:val="0"/>
      <w:divBdr>
        <w:top w:val="none" w:sz="0" w:space="0" w:color="auto"/>
        <w:left w:val="none" w:sz="0" w:space="0" w:color="auto"/>
        <w:bottom w:val="none" w:sz="0" w:space="0" w:color="auto"/>
        <w:right w:val="none" w:sz="0" w:space="0" w:color="auto"/>
      </w:divBdr>
    </w:div>
    <w:div w:id="1878472061">
      <w:bodyDiv w:val="1"/>
      <w:marLeft w:val="0"/>
      <w:marRight w:val="0"/>
      <w:marTop w:val="0"/>
      <w:marBottom w:val="0"/>
      <w:divBdr>
        <w:top w:val="none" w:sz="0" w:space="0" w:color="auto"/>
        <w:left w:val="none" w:sz="0" w:space="0" w:color="auto"/>
        <w:bottom w:val="none" w:sz="0" w:space="0" w:color="auto"/>
        <w:right w:val="none" w:sz="0" w:space="0" w:color="auto"/>
      </w:divBdr>
    </w:div>
    <w:div w:id="1880240384">
      <w:bodyDiv w:val="1"/>
      <w:marLeft w:val="0"/>
      <w:marRight w:val="0"/>
      <w:marTop w:val="0"/>
      <w:marBottom w:val="0"/>
      <w:divBdr>
        <w:top w:val="none" w:sz="0" w:space="0" w:color="auto"/>
        <w:left w:val="none" w:sz="0" w:space="0" w:color="auto"/>
        <w:bottom w:val="none" w:sz="0" w:space="0" w:color="auto"/>
        <w:right w:val="none" w:sz="0" w:space="0" w:color="auto"/>
      </w:divBdr>
    </w:div>
    <w:div w:id="1880436171">
      <w:bodyDiv w:val="1"/>
      <w:marLeft w:val="0"/>
      <w:marRight w:val="0"/>
      <w:marTop w:val="0"/>
      <w:marBottom w:val="0"/>
      <w:divBdr>
        <w:top w:val="none" w:sz="0" w:space="0" w:color="auto"/>
        <w:left w:val="none" w:sz="0" w:space="0" w:color="auto"/>
        <w:bottom w:val="none" w:sz="0" w:space="0" w:color="auto"/>
        <w:right w:val="none" w:sz="0" w:space="0" w:color="auto"/>
      </w:divBdr>
    </w:div>
    <w:div w:id="1883248430">
      <w:bodyDiv w:val="1"/>
      <w:marLeft w:val="0"/>
      <w:marRight w:val="0"/>
      <w:marTop w:val="0"/>
      <w:marBottom w:val="0"/>
      <w:divBdr>
        <w:top w:val="none" w:sz="0" w:space="0" w:color="auto"/>
        <w:left w:val="none" w:sz="0" w:space="0" w:color="auto"/>
        <w:bottom w:val="none" w:sz="0" w:space="0" w:color="auto"/>
        <w:right w:val="none" w:sz="0" w:space="0" w:color="auto"/>
      </w:divBdr>
    </w:div>
    <w:div w:id="1883908160">
      <w:bodyDiv w:val="1"/>
      <w:marLeft w:val="0"/>
      <w:marRight w:val="0"/>
      <w:marTop w:val="0"/>
      <w:marBottom w:val="0"/>
      <w:divBdr>
        <w:top w:val="none" w:sz="0" w:space="0" w:color="auto"/>
        <w:left w:val="none" w:sz="0" w:space="0" w:color="auto"/>
        <w:bottom w:val="none" w:sz="0" w:space="0" w:color="auto"/>
        <w:right w:val="none" w:sz="0" w:space="0" w:color="auto"/>
      </w:divBdr>
    </w:div>
    <w:div w:id="1884711031">
      <w:bodyDiv w:val="1"/>
      <w:marLeft w:val="0"/>
      <w:marRight w:val="0"/>
      <w:marTop w:val="0"/>
      <w:marBottom w:val="0"/>
      <w:divBdr>
        <w:top w:val="none" w:sz="0" w:space="0" w:color="auto"/>
        <w:left w:val="none" w:sz="0" w:space="0" w:color="auto"/>
        <w:bottom w:val="none" w:sz="0" w:space="0" w:color="auto"/>
        <w:right w:val="none" w:sz="0" w:space="0" w:color="auto"/>
      </w:divBdr>
    </w:div>
    <w:div w:id="1884756412">
      <w:bodyDiv w:val="1"/>
      <w:marLeft w:val="0"/>
      <w:marRight w:val="0"/>
      <w:marTop w:val="0"/>
      <w:marBottom w:val="0"/>
      <w:divBdr>
        <w:top w:val="none" w:sz="0" w:space="0" w:color="auto"/>
        <w:left w:val="none" w:sz="0" w:space="0" w:color="auto"/>
        <w:bottom w:val="none" w:sz="0" w:space="0" w:color="auto"/>
        <w:right w:val="none" w:sz="0" w:space="0" w:color="auto"/>
      </w:divBdr>
    </w:div>
    <w:div w:id="1885092122">
      <w:bodyDiv w:val="1"/>
      <w:marLeft w:val="0"/>
      <w:marRight w:val="0"/>
      <w:marTop w:val="0"/>
      <w:marBottom w:val="0"/>
      <w:divBdr>
        <w:top w:val="none" w:sz="0" w:space="0" w:color="auto"/>
        <w:left w:val="none" w:sz="0" w:space="0" w:color="auto"/>
        <w:bottom w:val="none" w:sz="0" w:space="0" w:color="auto"/>
        <w:right w:val="none" w:sz="0" w:space="0" w:color="auto"/>
      </w:divBdr>
    </w:div>
    <w:div w:id="1885632324">
      <w:bodyDiv w:val="1"/>
      <w:marLeft w:val="0"/>
      <w:marRight w:val="0"/>
      <w:marTop w:val="0"/>
      <w:marBottom w:val="0"/>
      <w:divBdr>
        <w:top w:val="none" w:sz="0" w:space="0" w:color="auto"/>
        <w:left w:val="none" w:sz="0" w:space="0" w:color="auto"/>
        <w:bottom w:val="none" w:sz="0" w:space="0" w:color="auto"/>
        <w:right w:val="none" w:sz="0" w:space="0" w:color="auto"/>
      </w:divBdr>
    </w:div>
    <w:div w:id="1885752002">
      <w:bodyDiv w:val="1"/>
      <w:marLeft w:val="0"/>
      <w:marRight w:val="0"/>
      <w:marTop w:val="0"/>
      <w:marBottom w:val="0"/>
      <w:divBdr>
        <w:top w:val="none" w:sz="0" w:space="0" w:color="auto"/>
        <w:left w:val="none" w:sz="0" w:space="0" w:color="auto"/>
        <w:bottom w:val="none" w:sz="0" w:space="0" w:color="auto"/>
        <w:right w:val="none" w:sz="0" w:space="0" w:color="auto"/>
      </w:divBdr>
    </w:div>
    <w:div w:id="1885822748">
      <w:bodyDiv w:val="1"/>
      <w:marLeft w:val="0"/>
      <w:marRight w:val="0"/>
      <w:marTop w:val="0"/>
      <w:marBottom w:val="0"/>
      <w:divBdr>
        <w:top w:val="none" w:sz="0" w:space="0" w:color="auto"/>
        <w:left w:val="none" w:sz="0" w:space="0" w:color="auto"/>
        <w:bottom w:val="none" w:sz="0" w:space="0" w:color="auto"/>
        <w:right w:val="none" w:sz="0" w:space="0" w:color="auto"/>
      </w:divBdr>
    </w:div>
    <w:div w:id="1886214426">
      <w:bodyDiv w:val="1"/>
      <w:marLeft w:val="0"/>
      <w:marRight w:val="0"/>
      <w:marTop w:val="0"/>
      <w:marBottom w:val="0"/>
      <w:divBdr>
        <w:top w:val="none" w:sz="0" w:space="0" w:color="auto"/>
        <w:left w:val="none" w:sz="0" w:space="0" w:color="auto"/>
        <w:bottom w:val="none" w:sz="0" w:space="0" w:color="auto"/>
        <w:right w:val="none" w:sz="0" w:space="0" w:color="auto"/>
      </w:divBdr>
    </w:div>
    <w:div w:id="1886915706">
      <w:bodyDiv w:val="1"/>
      <w:marLeft w:val="0"/>
      <w:marRight w:val="0"/>
      <w:marTop w:val="0"/>
      <w:marBottom w:val="0"/>
      <w:divBdr>
        <w:top w:val="none" w:sz="0" w:space="0" w:color="auto"/>
        <w:left w:val="none" w:sz="0" w:space="0" w:color="auto"/>
        <w:bottom w:val="none" w:sz="0" w:space="0" w:color="auto"/>
        <w:right w:val="none" w:sz="0" w:space="0" w:color="auto"/>
      </w:divBdr>
    </w:div>
    <w:div w:id="1887061682">
      <w:bodyDiv w:val="1"/>
      <w:marLeft w:val="0"/>
      <w:marRight w:val="0"/>
      <w:marTop w:val="0"/>
      <w:marBottom w:val="0"/>
      <w:divBdr>
        <w:top w:val="none" w:sz="0" w:space="0" w:color="auto"/>
        <w:left w:val="none" w:sz="0" w:space="0" w:color="auto"/>
        <w:bottom w:val="none" w:sz="0" w:space="0" w:color="auto"/>
        <w:right w:val="none" w:sz="0" w:space="0" w:color="auto"/>
      </w:divBdr>
    </w:div>
    <w:div w:id="1887136544">
      <w:bodyDiv w:val="1"/>
      <w:marLeft w:val="0"/>
      <w:marRight w:val="0"/>
      <w:marTop w:val="0"/>
      <w:marBottom w:val="0"/>
      <w:divBdr>
        <w:top w:val="none" w:sz="0" w:space="0" w:color="auto"/>
        <w:left w:val="none" w:sz="0" w:space="0" w:color="auto"/>
        <w:bottom w:val="none" w:sz="0" w:space="0" w:color="auto"/>
        <w:right w:val="none" w:sz="0" w:space="0" w:color="auto"/>
      </w:divBdr>
    </w:div>
    <w:div w:id="1888954148">
      <w:bodyDiv w:val="1"/>
      <w:marLeft w:val="0"/>
      <w:marRight w:val="0"/>
      <w:marTop w:val="0"/>
      <w:marBottom w:val="0"/>
      <w:divBdr>
        <w:top w:val="none" w:sz="0" w:space="0" w:color="auto"/>
        <w:left w:val="none" w:sz="0" w:space="0" w:color="auto"/>
        <w:bottom w:val="none" w:sz="0" w:space="0" w:color="auto"/>
        <w:right w:val="none" w:sz="0" w:space="0" w:color="auto"/>
      </w:divBdr>
    </w:div>
    <w:div w:id="1888954655">
      <w:bodyDiv w:val="1"/>
      <w:marLeft w:val="0"/>
      <w:marRight w:val="0"/>
      <w:marTop w:val="0"/>
      <w:marBottom w:val="0"/>
      <w:divBdr>
        <w:top w:val="none" w:sz="0" w:space="0" w:color="auto"/>
        <w:left w:val="none" w:sz="0" w:space="0" w:color="auto"/>
        <w:bottom w:val="none" w:sz="0" w:space="0" w:color="auto"/>
        <w:right w:val="none" w:sz="0" w:space="0" w:color="auto"/>
      </w:divBdr>
    </w:div>
    <w:div w:id="1889490670">
      <w:bodyDiv w:val="1"/>
      <w:marLeft w:val="0"/>
      <w:marRight w:val="0"/>
      <w:marTop w:val="0"/>
      <w:marBottom w:val="0"/>
      <w:divBdr>
        <w:top w:val="none" w:sz="0" w:space="0" w:color="auto"/>
        <w:left w:val="none" w:sz="0" w:space="0" w:color="auto"/>
        <w:bottom w:val="none" w:sz="0" w:space="0" w:color="auto"/>
        <w:right w:val="none" w:sz="0" w:space="0" w:color="auto"/>
      </w:divBdr>
    </w:div>
    <w:div w:id="1889566189">
      <w:bodyDiv w:val="1"/>
      <w:marLeft w:val="0"/>
      <w:marRight w:val="0"/>
      <w:marTop w:val="0"/>
      <w:marBottom w:val="0"/>
      <w:divBdr>
        <w:top w:val="none" w:sz="0" w:space="0" w:color="auto"/>
        <w:left w:val="none" w:sz="0" w:space="0" w:color="auto"/>
        <w:bottom w:val="none" w:sz="0" w:space="0" w:color="auto"/>
        <w:right w:val="none" w:sz="0" w:space="0" w:color="auto"/>
      </w:divBdr>
    </w:div>
    <w:div w:id="1889802446">
      <w:bodyDiv w:val="1"/>
      <w:marLeft w:val="0"/>
      <w:marRight w:val="0"/>
      <w:marTop w:val="0"/>
      <w:marBottom w:val="0"/>
      <w:divBdr>
        <w:top w:val="none" w:sz="0" w:space="0" w:color="auto"/>
        <w:left w:val="none" w:sz="0" w:space="0" w:color="auto"/>
        <w:bottom w:val="none" w:sz="0" w:space="0" w:color="auto"/>
        <w:right w:val="none" w:sz="0" w:space="0" w:color="auto"/>
      </w:divBdr>
    </w:div>
    <w:div w:id="1890797806">
      <w:bodyDiv w:val="1"/>
      <w:marLeft w:val="0"/>
      <w:marRight w:val="0"/>
      <w:marTop w:val="0"/>
      <w:marBottom w:val="0"/>
      <w:divBdr>
        <w:top w:val="none" w:sz="0" w:space="0" w:color="auto"/>
        <w:left w:val="none" w:sz="0" w:space="0" w:color="auto"/>
        <w:bottom w:val="none" w:sz="0" w:space="0" w:color="auto"/>
        <w:right w:val="none" w:sz="0" w:space="0" w:color="auto"/>
      </w:divBdr>
    </w:div>
    <w:div w:id="1891185944">
      <w:bodyDiv w:val="1"/>
      <w:marLeft w:val="0"/>
      <w:marRight w:val="0"/>
      <w:marTop w:val="0"/>
      <w:marBottom w:val="0"/>
      <w:divBdr>
        <w:top w:val="none" w:sz="0" w:space="0" w:color="auto"/>
        <w:left w:val="none" w:sz="0" w:space="0" w:color="auto"/>
        <w:bottom w:val="none" w:sz="0" w:space="0" w:color="auto"/>
        <w:right w:val="none" w:sz="0" w:space="0" w:color="auto"/>
      </w:divBdr>
    </w:div>
    <w:div w:id="1891308115">
      <w:bodyDiv w:val="1"/>
      <w:marLeft w:val="0"/>
      <w:marRight w:val="0"/>
      <w:marTop w:val="0"/>
      <w:marBottom w:val="0"/>
      <w:divBdr>
        <w:top w:val="none" w:sz="0" w:space="0" w:color="auto"/>
        <w:left w:val="none" w:sz="0" w:space="0" w:color="auto"/>
        <w:bottom w:val="none" w:sz="0" w:space="0" w:color="auto"/>
        <w:right w:val="none" w:sz="0" w:space="0" w:color="auto"/>
      </w:divBdr>
    </w:div>
    <w:div w:id="1892115711">
      <w:bodyDiv w:val="1"/>
      <w:marLeft w:val="0"/>
      <w:marRight w:val="0"/>
      <w:marTop w:val="0"/>
      <w:marBottom w:val="0"/>
      <w:divBdr>
        <w:top w:val="none" w:sz="0" w:space="0" w:color="auto"/>
        <w:left w:val="none" w:sz="0" w:space="0" w:color="auto"/>
        <w:bottom w:val="none" w:sz="0" w:space="0" w:color="auto"/>
        <w:right w:val="none" w:sz="0" w:space="0" w:color="auto"/>
      </w:divBdr>
    </w:div>
    <w:div w:id="1892615133">
      <w:bodyDiv w:val="1"/>
      <w:marLeft w:val="0"/>
      <w:marRight w:val="0"/>
      <w:marTop w:val="0"/>
      <w:marBottom w:val="0"/>
      <w:divBdr>
        <w:top w:val="none" w:sz="0" w:space="0" w:color="auto"/>
        <w:left w:val="none" w:sz="0" w:space="0" w:color="auto"/>
        <w:bottom w:val="none" w:sz="0" w:space="0" w:color="auto"/>
        <w:right w:val="none" w:sz="0" w:space="0" w:color="auto"/>
      </w:divBdr>
    </w:div>
    <w:div w:id="1892690151">
      <w:bodyDiv w:val="1"/>
      <w:marLeft w:val="0"/>
      <w:marRight w:val="0"/>
      <w:marTop w:val="0"/>
      <w:marBottom w:val="0"/>
      <w:divBdr>
        <w:top w:val="none" w:sz="0" w:space="0" w:color="auto"/>
        <w:left w:val="none" w:sz="0" w:space="0" w:color="auto"/>
        <w:bottom w:val="none" w:sz="0" w:space="0" w:color="auto"/>
        <w:right w:val="none" w:sz="0" w:space="0" w:color="auto"/>
      </w:divBdr>
    </w:div>
    <w:div w:id="1893760955">
      <w:bodyDiv w:val="1"/>
      <w:marLeft w:val="0"/>
      <w:marRight w:val="0"/>
      <w:marTop w:val="0"/>
      <w:marBottom w:val="0"/>
      <w:divBdr>
        <w:top w:val="none" w:sz="0" w:space="0" w:color="auto"/>
        <w:left w:val="none" w:sz="0" w:space="0" w:color="auto"/>
        <w:bottom w:val="none" w:sz="0" w:space="0" w:color="auto"/>
        <w:right w:val="none" w:sz="0" w:space="0" w:color="auto"/>
      </w:divBdr>
    </w:div>
    <w:div w:id="1893925615">
      <w:bodyDiv w:val="1"/>
      <w:marLeft w:val="0"/>
      <w:marRight w:val="0"/>
      <w:marTop w:val="0"/>
      <w:marBottom w:val="0"/>
      <w:divBdr>
        <w:top w:val="none" w:sz="0" w:space="0" w:color="auto"/>
        <w:left w:val="none" w:sz="0" w:space="0" w:color="auto"/>
        <w:bottom w:val="none" w:sz="0" w:space="0" w:color="auto"/>
        <w:right w:val="none" w:sz="0" w:space="0" w:color="auto"/>
      </w:divBdr>
    </w:div>
    <w:div w:id="1894073480">
      <w:bodyDiv w:val="1"/>
      <w:marLeft w:val="0"/>
      <w:marRight w:val="0"/>
      <w:marTop w:val="0"/>
      <w:marBottom w:val="0"/>
      <w:divBdr>
        <w:top w:val="none" w:sz="0" w:space="0" w:color="auto"/>
        <w:left w:val="none" w:sz="0" w:space="0" w:color="auto"/>
        <w:bottom w:val="none" w:sz="0" w:space="0" w:color="auto"/>
        <w:right w:val="none" w:sz="0" w:space="0" w:color="auto"/>
      </w:divBdr>
    </w:div>
    <w:div w:id="1895241127">
      <w:bodyDiv w:val="1"/>
      <w:marLeft w:val="0"/>
      <w:marRight w:val="0"/>
      <w:marTop w:val="0"/>
      <w:marBottom w:val="0"/>
      <w:divBdr>
        <w:top w:val="none" w:sz="0" w:space="0" w:color="auto"/>
        <w:left w:val="none" w:sz="0" w:space="0" w:color="auto"/>
        <w:bottom w:val="none" w:sz="0" w:space="0" w:color="auto"/>
        <w:right w:val="none" w:sz="0" w:space="0" w:color="auto"/>
      </w:divBdr>
    </w:div>
    <w:div w:id="1896774457">
      <w:bodyDiv w:val="1"/>
      <w:marLeft w:val="0"/>
      <w:marRight w:val="0"/>
      <w:marTop w:val="0"/>
      <w:marBottom w:val="0"/>
      <w:divBdr>
        <w:top w:val="none" w:sz="0" w:space="0" w:color="auto"/>
        <w:left w:val="none" w:sz="0" w:space="0" w:color="auto"/>
        <w:bottom w:val="none" w:sz="0" w:space="0" w:color="auto"/>
        <w:right w:val="none" w:sz="0" w:space="0" w:color="auto"/>
      </w:divBdr>
    </w:div>
    <w:div w:id="1898011763">
      <w:bodyDiv w:val="1"/>
      <w:marLeft w:val="0"/>
      <w:marRight w:val="0"/>
      <w:marTop w:val="0"/>
      <w:marBottom w:val="0"/>
      <w:divBdr>
        <w:top w:val="none" w:sz="0" w:space="0" w:color="auto"/>
        <w:left w:val="none" w:sz="0" w:space="0" w:color="auto"/>
        <w:bottom w:val="none" w:sz="0" w:space="0" w:color="auto"/>
        <w:right w:val="none" w:sz="0" w:space="0" w:color="auto"/>
      </w:divBdr>
    </w:div>
    <w:div w:id="1898857318">
      <w:bodyDiv w:val="1"/>
      <w:marLeft w:val="0"/>
      <w:marRight w:val="0"/>
      <w:marTop w:val="0"/>
      <w:marBottom w:val="0"/>
      <w:divBdr>
        <w:top w:val="none" w:sz="0" w:space="0" w:color="auto"/>
        <w:left w:val="none" w:sz="0" w:space="0" w:color="auto"/>
        <w:bottom w:val="none" w:sz="0" w:space="0" w:color="auto"/>
        <w:right w:val="none" w:sz="0" w:space="0" w:color="auto"/>
      </w:divBdr>
    </w:div>
    <w:div w:id="1900481588">
      <w:bodyDiv w:val="1"/>
      <w:marLeft w:val="0"/>
      <w:marRight w:val="0"/>
      <w:marTop w:val="0"/>
      <w:marBottom w:val="0"/>
      <w:divBdr>
        <w:top w:val="none" w:sz="0" w:space="0" w:color="auto"/>
        <w:left w:val="none" w:sz="0" w:space="0" w:color="auto"/>
        <w:bottom w:val="none" w:sz="0" w:space="0" w:color="auto"/>
        <w:right w:val="none" w:sz="0" w:space="0" w:color="auto"/>
      </w:divBdr>
    </w:div>
    <w:div w:id="1901551420">
      <w:bodyDiv w:val="1"/>
      <w:marLeft w:val="0"/>
      <w:marRight w:val="0"/>
      <w:marTop w:val="0"/>
      <w:marBottom w:val="0"/>
      <w:divBdr>
        <w:top w:val="none" w:sz="0" w:space="0" w:color="auto"/>
        <w:left w:val="none" w:sz="0" w:space="0" w:color="auto"/>
        <w:bottom w:val="none" w:sz="0" w:space="0" w:color="auto"/>
        <w:right w:val="none" w:sz="0" w:space="0" w:color="auto"/>
      </w:divBdr>
    </w:div>
    <w:div w:id="1902329708">
      <w:bodyDiv w:val="1"/>
      <w:marLeft w:val="0"/>
      <w:marRight w:val="0"/>
      <w:marTop w:val="0"/>
      <w:marBottom w:val="0"/>
      <w:divBdr>
        <w:top w:val="none" w:sz="0" w:space="0" w:color="auto"/>
        <w:left w:val="none" w:sz="0" w:space="0" w:color="auto"/>
        <w:bottom w:val="none" w:sz="0" w:space="0" w:color="auto"/>
        <w:right w:val="none" w:sz="0" w:space="0" w:color="auto"/>
      </w:divBdr>
    </w:div>
    <w:div w:id="1902669593">
      <w:bodyDiv w:val="1"/>
      <w:marLeft w:val="0"/>
      <w:marRight w:val="0"/>
      <w:marTop w:val="0"/>
      <w:marBottom w:val="0"/>
      <w:divBdr>
        <w:top w:val="none" w:sz="0" w:space="0" w:color="auto"/>
        <w:left w:val="none" w:sz="0" w:space="0" w:color="auto"/>
        <w:bottom w:val="none" w:sz="0" w:space="0" w:color="auto"/>
        <w:right w:val="none" w:sz="0" w:space="0" w:color="auto"/>
      </w:divBdr>
    </w:div>
    <w:div w:id="1903056846">
      <w:bodyDiv w:val="1"/>
      <w:marLeft w:val="0"/>
      <w:marRight w:val="0"/>
      <w:marTop w:val="0"/>
      <w:marBottom w:val="0"/>
      <w:divBdr>
        <w:top w:val="none" w:sz="0" w:space="0" w:color="auto"/>
        <w:left w:val="none" w:sz="0" w:space="0" w:color="auto"/>
        <w:bottom w:val="none" w:sz="0" w:space="0" w:color="auto"/>
        <w:right w:val="none" w:sz="0" w:space="0" w:color="auto"/>
      </w:divBdr>
    </w:div>
    <w:div w:id="1905988515">
      <w:bodyDiv w:val="1"/>
      <w:marLeft w:val="0"/>
      <w:marRight w:val="0"/>
      <w:marTop w:val="0"/>
      <w:marBottom w:val="0"/>
      <w:divBdr>
        <w:top w:val="none" w:sz="0" w:space="0" w:color="auto"/>
        <w:left w:val="none" w:sz="0" w:space="0" w:color="auto"/>
        <w:bottom w:val="none" w:sz="0" w:space="0" w:color="auto"/>
        <w:right w:val="none" w:sz="0" w:space="0" w:color="auto"/>
      </w:divBdr>
    </w:div>
    <w:div w:id="1906062668">
      <w:bodyDiv w:val="1"/>
      <w:marLeft w:val="0"/>
      <w:marRight w:val="0"/>
      <w:marTop w:val="0"/>
      <w:marBottom w:val="0"/>
      <w:divBdr>
        <w:top w:val="none" w:sz="0" w:space="0" w:color="auto"/>
        <w:left w:val="none" w:sz="0" w:space="0" w:color="auto"/>
        <w:bottom w:val="none" w:sz="0" w:space="0" w:color="auto"/>
        <w:right w:val="none" w:sz="0" w:space="0" w:color="auto"/>
      </w:divBdr>
    </w:div>
    <w:div w:id="1906144456">
      <w:bodyDiv w:val="1"/>
      <w:marLeft w:val="0"/>
      <w:marRight w:val="0"/>
      <w:marTop w:val="0"/>
      <w:marBottom w:val="0"/>
      <w:divBdr>
        <w:top w:val="none" w:sz="0" w:space="0" w:color="auto"/>
        <w:left w:val="none" w:sz="0" w:space="0" w:color="auto"/>
        <w:bottom w:val="none" w:sz="0" w:space="0" w:color="auto"/>
        <w:right w:val="none" w:sz="0" w:space="0" w:color="auto"/>
      </w:divBdr>
    </w:div>
    <w:div w:id="1908302460">
      <w:bodyDiv w:val="1"/>
      <w:marLeft w:val="0"/>
      <w:marRight w:val="0"/>
      <w:marTop w:val="0"/>
      <w:marBottom w:val="0"/>
      <w:divBdr>
        <w:top w:val="none" w:sz="0" w:space="0" w:color="auto"/>
        <w:left w:val="none" w:sz="0" w:space="0" w:color="auto"/>
        <w:bottom w:val="none" w:sz="0" w:space="0" w:color="auto"/>
        <w:right w:val="none" w:sz="0" w:space="0" w:color="auto"/>
      </w:divBdr>
    </w:div>
    <w:div w:id="1908488139">
      <w:bodyDiv w:val="1"/>
      <w:marLeft w:val="0"/>
      <w:marRight w:val="0"/>
      <w:marTop w:val="0"/>
      <w:marBottom w:val="0"/>
      <w:divBdr>
        <w:top w:val="none" w:sz="0" w:space="0" w:color="auto"/>
        <w:left w:val="none" w:sz="0" w:space="0" w:color="auto"/>
        <w:bottom w:val="none" w:sz="0" w:space="0" w:color="auto"/>
        <w:right w:val="none" w:sz="0" w:space="0" w:color="auto"/>
      </w:divBdr>
    </w:div>
    <w:div w:id="1908606389">
      <w:bodyDiv w:val="1"/>
      <w:marLeft w:val="0"/>
      <w:marRight w:val="0"/>
      <w:marTop w:val="0"/>
      <w:marBottom w:val="0"/>
      <w:divBdr>
        <w:top w:val="none" w:sz="0" w:space="0" w:color="auto"/>
        <w:left w:val="none" w:sz="0" w:space="0" w:color="auto"/>
        <w:bottom w:val="none" w:sz="0" w:space="0" w:color="auto"/>
        <w:right w:val="none" w:sz="0" w:space="0" w:color="auto"/>
      </w:divBdr>
    </w:div>
    <w:div w:id="1908805036">
      <w:bodyDiv w:val="1"/>
      <w:marLeft w:val="0"/>
      <w:marRight w:val="0"/>
      <w:marTop w:val="0"/>
      <w:marBottom w:val="0"/>
      <w:divBdr>
        <w:top w:val="none" w:sz="0" w:space="0" w:color="auto"/>
        <w:left w:val="none" w:sz="0" w:space="0" w:color="auto"/>
        <w:bottom w:val="none" w:sz="0" w:space="0" w:color="auto"/>
        <w:right w:val="none" w:sz="0" w:space="0" w:color="auto"/>
      </w:divBdr>
    </w:div>
    <w:div w:id="1909069797">
      <w:bodyDiv w:val="1"/>
      <w:marLeft w:val="0"/>
      <w:marRight w:val="0"/>
      <w:marTop w:val="0"/>
      <w:marBottom w:val="0"/>
      <w:divBdr>
        <w:top w:val="none" w:sz="0" w:space="0" w:color="auto"/>
        <w:left w:val="none" w:sz="0" w:space="0" w:color="auto"/>
        <w:bottom w:val="none" w:sz="0" w:space="0" w:color="auto"/>
        <w:right w:val="none" w:sz="0" w:space="0" w:color="auto"/>
      </w:divBdr>
    </w:div>
    <w:div w:id="1909076371">
      <w:bodyDiv w:val="1"/>
      <w:marLeft w:val="0"/>
      <w:marRight w:val="0"/>
      <w:marTop w:val="0"/>
      <w:marBottom w:val="0"/>
      <w:divBdr>
        <w:top w:val="none" w:sz="0" w:space="0" w:color="auto"/>
        <w:left w:val="none" w:sz="0" w:space="0" w:color="auto"/>
        <w:bottom w:val="none" w:sz="0" w:space="0" w:color="auto"/>
        <w:right w:val="none" w:sz="0" w:space="0" w:color="auto"/>
      </w:divBdr>
    </w:div>
    <w:div w:id="1911884521">
      <w:bodyDiv w:val="1"/>
      <w:marLeft w:val="0"/>
      <w:marRight w:val="0"/>
      <w:marTop w:val="0"/>
      <w:marBottom w:val="0"/>
      <w:divBdr>
        <w:top w:val="none" w:sz="0" w:space="0" w:color="auto"/>
        <w:left w:val="none" w:sz="0" w:space="0" w:color="auto"/>
        <w:bottom w:val="none" w:sz="0" w:space="0" w:color="auto"/>
        <w:right w:val="none" w:sz="0" w:space="0" w:color="auto"/>
      </w:divBdr>
    </w:div>
    <w:div w:id="1913343680">
      <w:bodyDiv w:val="1"/>
      <w:marLeft w:val="0"/>
      <w:marRight w:val="0"/>
      <w:marTop w:val="0"/>
      <w:marBottom w:val="0"/>
      <w:divBdr>
        <w:top w:val="none" w:sz="0" w:space="0" w:color="auto"/>
        <w:left w:val="none" w:sz="0" w:space="0" w:color="auto"/>
        <w:bottom w:val="none" w:sz="0" w:space="0" w:color="auto"/>
        <w:right w:val="none" w:sz="0" w:space="0" w:color="auto"/>
      </w:divBdr>
    </w:div>
    <w:div w:id="1914074764">
      <w:bodyDiv w:val="1"/>
      <w:marLeft w:val="0"/>
      <w:marRight w:val="0"/>
      <w:marTop w:val="0"/>
      <w:marBottom w:val="0"/>
      <w:divBdr>
        <w:top w:val="none" w:sz="0" w:space="0" w:color="auto"/>
        <w:left w:val="none" w:sz="0" w:space="0" w:color="auto"/>
        <w:bottom w:val="none" w:sz="0" w:space="0" w:color="auto"/>
        <w:right w:val="none" w:sz="0" w:space="0" w:color="auto"/>
      </w:divBdr>
    </w:div>
    <w:div w:id="1914585793">
      <w:bodyDiv w:val="1"/>
      <w:marLeft w:val="0"/>
      <w:marRight w:val="0"/>
      <w:marTop w:val="0"/>
      <w:marBottom w:val="0"/>
      <w:divBdr>
        <w:top w:val="none" w:sz="0" w:space="0" w:color="auto"/>
        <w:left w:val="none" w:sz="0" w:space="0" w:color="auto"/>
        <w:bottom w:val="none" w:sz="0" w:space="0" w:color="auto"/>
        <w:right w:val="none" w:sz="0" w:space="0" w:color="auto"/>
      </w:divBdr>
    </w:div>
    <w:div w:id="1915628262">
      <w:bodyDiv w:val="1"/>
      <w:marLeft w:val="0"/>
      <w:marRight w:val="0"/>
      <w:marTop w:val="0"/>
      <w:marBottom w:val="0"/>
      <w:divBdr>
        <w:top w:val="none" w:sz="0" w:space="0" w:color="auto"/>
        <w:left w:val="none" w:sz="0" w:space="0" w:color="auto"/>
        <w:bottom w:val="none" w:sz="0" w:space="0" w:color="auto"/>
        <w:right w:val="none" w:sz="0" w:space="0" w:color="auto"/>
      </w:divBdr>
    </w:div>
    <w:div w:id="1916085413">
      <w:bodyDiv w:val="1"/>
      <w:marLeft w:val="0"/>
      <w:marRight w:val="0"/>
      <w:marTop w:val="0"/>
      <w:marBottom w:val="0"/>
      <w:divBdr>
        <w:top w:val="none" w:sz="0" w:space="0" w:color="auto"/>
        <w:left w:val="none" w:sz="0" w:space="0" w:color="auto"/>
        <w:bottom w:val="none" w:sz="0" w:space="0" w:color="auto"/>
        <w:right w:val="none" w:sz="0" w:space="0" w:color="auto"/>
      </w:divBdr>
    </w:div>
    <w:div w:id="1919318317">
      <w:bodyDiv w:val="1"/>
      <w:marLeft w:val="0"/>
      <w:marRight w:val="0"/>
      <w:marTop w:val="0"/>
      <w:marBottom w:val="0"/>
      <w:divBdr>
        <w:top w:val="none" w:sz="0" w:space="0" w:color="auto"/>
        <w:left w:val="none" w:sz="0" w:space="0" w:color="auto"/>
        <w:bottom w:val="none" w:sz="0" w:space="0" w:color="auto"/>
        <w:right w:val="none" w:sz="0" w:space="0" w:color="auto"/>
      </w:divBdr>
    </w:div>
    <w:div w:id="1919973908">
      <w:bodyDiv w:val="1"/>
      <w:marLeft w:val="0"/>
      <w:marRight w:val="0"/>
      <w:marTop w:val="0"/>
      <w:marBottom w:val="0"/>
      <w:divBdr>
        <w:top w:val="none" w:sz="0" w:space="0" w:color="auto"/>
        <w:left w:val="none" w:sz="0" w:space="0" w:color="auto"/>
        <w:bottom w:val="none" w:sz="0" w:space="0" w:color="auto"/>
        <w:right w:val="none" w:sz="0" w:space="0" w:color="auto"/>
      </w:divBdr>
    </w:div>
    <w:div w:id="1920097969">
      <w:bodyDiv w:val="1"/>
      <w:marLeft w:val="0"/>
      <w:marRight w:val="0"/>
      <w:marTop w:val="0"/>
      <w:marBottom w:val="0"/>
      <w:divBdr>
        <w:top w:val="none" w:sz="0" w:space="0" w:color="auto"/>
        <w:left w:val="none" w:sz="0" w:space="0" w:color="auto"/>
        <w:bottom w:val="none" w:sz="0" w:space="0" w:color="auto"/>
        <w:right w:val="none" w:sz="0" w:space="0" w:color="auto"/>
      </w:divBdr>
    </w:div>
    <w:div w:id="1920864382">
      <w:bodyDiv w:val="1"/>
      <w:marLeft w:val="0"/>
      <w:marRight w:val="0"/>
      <w:marTop w:val="0"/>
      <w:marBottom w:val="0"/>
      <w:divBdr>
        <w:top w:val="none" w:sz="0" w:space="0" w:color="auto"/>
        <w:left w:val="none" w:sz="0" w:space="0" w:color="auto"/>
        <w:bottom w:val="none" w:sz="0" w:space="0" w:color="auto"/>
        <w:right w:val="none" w:sz="0" w:space="0" w:color="auto"/>
      </w:divBdr>
    </w:div>
    <w:div w:id="1920946173">
      <w:bodyDiv w:val="1"/>
      <w:marLeft w:val="0"/>
      <w:marRight w:val="0"/>
      <w:marTop w:val="0"/>
      <w:marBottom w:val="0"/>
      <w:divBdr>
        <w:top w:val="none" w:sz="0" w:space="0" w:color="auto"/>
        <w:left w:val="none" w:sz="0" w:space="0" w:color="auto"/>
        <w:bottom w:val="none" w:sz="0" w:space="0" w:color="auto"/>
        <w:right w:val="none" w:sz="0" w:space="0" w:color="auto"/>
      </w:divBdr>
    </w:div>
    <w:div w:id="1921519490">
      <w:bodyDiv w:val="1"/>
      <w:marLeft w:val="0"/>
      <w:marRight w:val="0"/>
      <w:marTop w:val="0"/>
      <w:marBottom w:val="0"/>
      <w:divBdr>
        <w:top w:val="none" w:sz="0" w:space="0" w:color="auto"/>
        <w:left w:val="none" w:sz="0" w:space="0" w:color="auto"/>
        <w:bottom w:val="none" w:sz="0" w:space="0" w:color="auto"/>
        <w:right w:val="none" w:sz="0" w:space="0" w:color="auto"/>
      </w:divBdr>
    </w:div>
    <w:div w:id="1922636703">
      <w:bodyDiv w:val="1"/>
      <w:marLeft w:val="0"/>
      <w:marRight w:val="0"/>
      <w:marTop w:val="0"/>
      <w:marBottom w:val="0"/>
      <w:divBdr>
        <w:top w:val="none" w:sz="0" w:space="0" w:color="auto"/>
        <w:left w:val="none" w:sz="0" w:space="0" w:color="auto"/>
        <w:bottom w:val="none" w:sz="0" w:space="0" w:color="auto"/>
        <w:right w:val="none" w:sz="0" w:space="0" w:color="auto"/>
      </w:divBdr>
    </w:div>
    <w:div w:id="1923491490">
      <w:bodyDiv w:val="1"/>
      <w:marLeft w:val="0"/>
      <w:marRight w:val="0"/>
      <w:marTop w:val="0"/>
      <w:marBottom w:val="0"/>
      <w:divBdr>
        <w:top w:val="none" w:sz="0" w:space="0" w:color="auto"/>
        <w:left w:val="none" w:sz="0" w:space="0" w:color="auto"/>
        <w:bottom w:val="none" w:sz="0" w:space="0" w:color="auto"/>
        <w:right w:val="none" w:sz="0" w:space="0" w:color="auto"/>
      </w:divBdr>
    </w:div>
    <w:div w:id="1925649722">
      <w:bodyDiv w:val="1"/>
      <w:marLeft w:val="0"/>
      <w:marRight w:val="0"/>
      <w:marTop w:val="0"/>
      <w:marBottom w:val="0"/>
      <w:divBdr>
        <w:top w:val="none" w:sz="0" w:space="0" w:color="auto"/>
        <w:left w:val="none" w:sz="0" w:space="0" w:color="auto"/>
        <w:bottom w:val="none" w:sz="0" w:space="0" w:color="auto"/>
        <w:right w:val="none" w:sz="0" w:space="0" w:color="auto"/>
      </w:divBdr>
    </w:div>
    <w:div w:id="1925720247">
      <w:bodyDiv w:val="1"/>
      <w:marLeft w:val="0"/>
      <w:marRight w:val="0"/>
      <w:marTop w:val="0"/>
      <w:marBottom w:val="0"/>
      <w:divBdr>
        <w:top w:val="none" w:sz="0" w:space="0" w:color="auto"/>
        <w:left w:val="none" w:sz="0" w:space="0" w:color="auto"/>
        <w:bottom w:val="none" w:sz="0" w:space="0" w:color="auto"/>
        <w:right w:val="none" w:sz="0" w:space="0" w:color="auto"/>
      </w:divBdr>
    </w:div>
    <w:div w:id="1925842956">
      <w:bodyDiv w:val="1"/>
      <w:marLeft w:val="0"/>
      <w:marRight w:val="0"/>
      <w:marTop w:val="0"/>
      <w:marBottom w:val="0"/>
      <w:divBdr>
        <w:top w:val="none" w:sz="0" w:space="0" w:color="auto"/>
        <w:left w:val="none" w:sz="0" w:space="0" w:color="auto"/>
        <w:bottom w:val="none" w:sz="0" w:space="0" w:color="auto"/>
        <w:right w:val="none" w:sz="0" w:space="0" w:color="auto"/>
      </w:divBdr>
    </w:div>
    <w:div w:id="1926381303">
      <w:bodyDiv w:val="1"/>
      <w:marLeft w:val="0"/>
      <w:marRight w:val="0"/>
      <w:marTop w:val="0"/>
      <w:marBottom w:val="0"/>
      <w:divBdr>
        <w:top w:val="none" w:sz="0" w:space="0" w:color="auto"/>
        <w:left w:val="none" w:sz="0" w:space="0" w:color="auto"/>
        <w:bottom w:val="none" w:sz="0" w:space="0" w:color="auto"/>
        <w:right w:val="none" w:sz="0" w:space="0" w:color="auto"/>
      </w:divBdr>
    </w:div>
    <w:div w:id="1927110272">
      <w:bodyDiv w:val="1"/>
      <w:marLeft w:val="0"/>
      <w:marRight w:val="0"/>
      <w:marTop w:val="0"/>
      <w:marBottom w:val="0"/>
      <w:divBdr>
        <w:top w:val="none" w:sz="0" w:space="0" w:color="auto"/>
        <w:left w:val="none" w:sz="0" w:space="0" w:color="auto"/>
        <w:bottom w:val="none" w:sz="0" w:space="0" w:color="auto"/>
        <w:right w:val="none" w:sz="0" w:space="0" w:color="auto"/>
      </w:divBdr>
    </w:div>
    <w:div w:id="1927182919">
      <w:bodyDiv w:val="1"/>
      <w:marLeft w:val="0"/>
      <w:marRight w:val="0"/>
      <w:marTop w:val="0"/>
      <w:marBottom w:val="0"/>
      <w:divBdr>
        <w:top w:val="none" w:sz="0" w:space="0" w:color="auto"/>
        <w:left w:val="none" w:sz="0" w:space="0" w:color="auto"/>
        <w:bottom w:val="none" w:sz="0" w:space="0" w:color="auto"/>
        <w:right w:val="none" w:sz="0" w:space="0" w:color="auto"/>
      </w:divBdr>
    </w:div>
    <w:div w:id="1927617940">
      <w:bodyDiv w:val="1"/>
      <w:marLeft w:val="0"/>
      <w:marRight w:val="0"/>
      <w:marTop w:val="0"/>
      <w:marBottom w:val="0"/>
      <w:divBdr>
        <w:top w:val="none" w:sz="0" w:space="0" w:color="auto"/>
        <w:left w:val="none" w:sz="0" w:space="0" w:color="auto"/>
        <w:bottom w:val="none" w:sz="0" w:space="0" w:color="auto"/>
        <w:right w:val="none" w:sz="0" w:space="0" w:color="auto"/>
      </w:divBdr>
    </w:div>
    <w:div w:id="1929187714">
      <w:bodyDiv w:val="1"/>
      <w:marLeft w:val="0"/>
      <w:marRight w:val="0"/>
      <w:marTop w:val="0"/>
      <w:marBottom w:val="0"/>
      <w:divBdr>
        <w:top w:val="none" w:sz="0" w:space="0" w:color="auto"/>
        <w:left w:val="none" w:sz="0" w:space="0" w:color="auto"/>
        <w:bottom w:val="none" w:sz="0" w:space="0" w:color="auto"/>
        <w:right w:val="none" w:sz="0" w:space="0" w:color="auto"/>
      </w:divBdr>
    </w:div>
    <w:div w:id="1930306784">
      <w:bodyDiv w:val="1"/>
      <w:marLeft w:val="0"/>
      <w:marRight w:val="0"/>
      <w:marTop w:val="0"/>
      <w:marBottom w:val="0"/>
      <w:divBdr>
        <w:top w:val="none" w:sz="0" w:space="0" w:color="auto"/>
        <w:left w:val="none" w:sz="0" w:space="0" w:color="auto"/>
        <w:bottom w:val="none" w:sz="0" w:space="0" w:color="auto"/>
        <w:right w:val="none" w:sz="0" w:space="0" w:color="auto"/>
      </w:divBdr>
    </w:div>
    <w:div w:id="1930625445">
      <w:bodyDiv w:val="1"/>
      <w:marLeft w:val="0"/>
      <w:marRight w:val="0"/>
      <w:marTop w:val="0"/>
      <w:marBottom w:val="0"/>
      <w:divBdr>
        <w:top w:val="none" w:sz="0" w:space="0" w:color="auto"/>
        <w:left w:val="none" w:sz="0" w:space="0" w:color="auto"/>
        <w:bottom w:val="none" w:sz="0" w:space="0" w:color="auto"/>
        <w:right w:val="none" w:sz="0" w:space="0" w:color="auto"/>
      </w:divBdr>
    </w:div>
    <w:div w:id="1930918425">
      <w:bodyDiv w:val="1"/>
      <w:marLeft w:val="0"/>
      <w:marRight w:val="0"/>
      <w:marTop w:val="0"/>
      <w:marBottom w:val="0"/>
      <w:divBdr>
        <w:top w:val="none" w:sz="0" w:space="0" w:color="auto"/>
        <w:left w:val="none" w:sz="0" w:space="0" w:color="auto"/>
        <w:bottom w:val="none" w:sz="0" w:space="0" w:color="auto"/>
        <w:right w:val="none" w:sz="0" w:space="0" w:color="auto"/>
      </w:divBdr>
    </w:div>
    <w:div w:id="1931306094">
      <w:bodyDiv w:val="1"/>
      <w:marLeft w:val="0"/>
      <w:marRight w:val="0"/>
      <w:marTop w:val="0"/>
      <w:marBottom w:val="0"/>
      <w:divBdr>
        <w:top w:val="none" w:sz="0" w:space="0" w:color="auto"/>
        <w:left w:val="none" w:sz="0" w:space="0" w:color="auto"/>
        <w:bottom w:val="none" w:sz="0" w:space="0" w:color="auto"/>
        <w:right w:val="none" w:sz="0" w:space="0" w:color="auto"/>
      </w:divBdr>
    </w:div>
    <w:div w:id="1932738480">
      <w:bodyDiv w:val="1"/>
      <w:marLeft w:val="0"/>
      <w:marRight w:val="0"/>
      <w:marTop w:val="0"/>
      <w:marBottom w:val="0"/>
      <w:divBdr>
        <w:top w:val="none" w:sz="0" w:space="0" w:color="auto"/>
        <w:left w:val="none" w:sz="0" w:space="0" w:color="auto"/>
        <w:bottom w:val="none" w:sz="0" w:space="0" w:color="auto"/>
        <w:right w:val="none" w:sz="0" w:space="0" w:color="auto"/>
      </w:divBdr>
    </w:div>
    <w:div w:id="1935283033">
      <w:bodyDiv w:val="1"/>
      <w:marLeft w:val="0"/>
      <w:marRight w:val="0"/>
      <w:marTop w:val="0"/>
      <w:marBottom w:val="0"/>
      <w:divBdr>
        <w:top w:val="none" w:sz="0" w:space="0" w:color="auto"/>
        <w:left w:val="none" w:sz="0" w:space="0" w:color="auto"/>
        <w:bottom w:val="none" w:sz="0" w:space="0" w:color="auto"/>
        <w:right w:val="none" w:sz="0" w:space="0" w:color="auto"/>
      </w:divBdr>
    </w:div>
    <w:div w:id="1935628615">
      <w:bodyDiv w:val="1"/>
      <w:marLeft w:val="0"/>
      <w:marRight w:val="0"/>
      <w:marTop w:val="0"/>
      <w:marBottom w:val="0"/>
      <w:divBdr>
        <w:top w:val="none" w:sz="0" w:space="0" w:color="auto"/>
        <w:left w:val="none" w:sz="0" w:space="0" w:color="auto"/>
        <w:bottom w:val="none" w:sz="0" w:space="0" w:color="auto"/>
        <w:right w:val="none" w:sz="0" w:space="0" w:color="auto"/>
      </w:divBdr>
    </w:div>
    <w:div w:id="1936017142">
      <w:bodyDiv w:val="1"/>
      <w:marLeft w:val="0"/>
      <w:marRight w:val="0"/>
      <w:marTop w:val="0"/>
      <w:marBottom w:val="0"/>
      <w:divBdr>
        <w:top w:val="none" w:sz="0" w:space="0" w:color="auto"/>
        <w:left w:val="none" w:sz="0" w:space="0" w:color="auto"/>
        <w:bottom w:val="none" w:sz="0" w:space="0" w:color="auto"/>
        <w:right w:val="none" w:sz="0" w:space="0" w:color="auto"/>
      </w:divBdr>
    </w:div>
    <w:div w:id="1936667459">
      <w:bodyDiv w:val="1"/>
      <w:marLeft w:val="0"/>
      <w:marRight w:val="0"/>
      <w:marTop w:val="0"/>
      <w:marBottom w:val="0"/>
      <w:divBdr>
        <w:top w:val="none" w:sz="0" w:space="0" w:color="auto"/>
        <w:left w:val="none" w:sz="0" w:space="0" w:color="auto"/>
        <w:bottom w:val="none" w:sz="0" w:space="0" w:color="auto"/>
        <w:right w:val="none" w:sz="0" w:space="0" w:color="auto"/>
      </w:divBdr>
    </w:div>
    <w:div w:id="1940021629">
      <w:bodyDiv w:val="1"/>
      <w:marLeft w:val="0"/>
      <w:marRight w:val="0"/>
      <w:marTop w:val="0"/>
      <w:marBottom w:val="0"/>
      <w:divBdr>
        <w:top w:val="none" w:sz="0" w:space="0" w:color="auto"/>
        <w:left w:val="none" w:sz="0" w:space="0" w:color="auto"/>
        <w:bottom w:val="none" w:sz="0" w:space="0" w:color="auto"/>
        <w:right w:val="none" w:sz="0" w:space="0" w:color="auto"/>
      </w:divBdr>
    </w:div>
    <w:div w:id="1940289753">
      <w:bodyDiv w:val="1"/>
      <w:marLeft w:val="0"/>
      <w:marRight w:val="0"/>
      <w:marTop w:val="0"/>
      <w:marBottom w:val="0"/>
      <w:divBdr>
        <w:top w:val="none" w:sz="0" w:space="0" w:color="auto"/>
        <w:left w:val="none" w:sz="0" w:space="0" w:color="auto"/>
        <w:bottom w:val="none" w:sz="0" w:space="0" w:color="auto"/>
        <w:right w:val="none" w:sz="0" w:space="0" w:color="auto"/>
      </w:divBdr>
    </w:div>
    <w:div w:id="1940872430">
      <w:bodyDiv w:val="1"/>
      <w:marLeft w:val="0"/>
      <w:marRight w:val="0"/>
      <w:marTop w:val="0"/>
      <w:marBottom w:val="0"/>
      <w:divBdr>
        <w:top w:val="none" w:sz="0" w:space="0" w:color="auto"/>
        <w:left w:val="none" w:sz="0" w:space="0" w:color="auto"/>
        <w:bottom w:val="none" w:sz="0" w:space="0" w:color="auto"/>
        <w:right w:val="none" w:sz="0" w:space="0" w:color="auto"/>
      </w:divBdr>
    </w:div>
    <w:div w:id="1941063790">
      <w:bodyDiv w:val="1"/>
      <w:marLeft w:val="0"/>
      <w:marRight w:val="0"/>
      <w:marTop w:val="0"/>
      <w:marBottom w:val="0"/>
      <w:divBdr>
        <w:top w:val="none" w:sz="0" w:space="0" w:color="auto"/>
        <w:left w:val="none" w:sz="0" w:space="0" w:color="auto"/>
        <w:bottom w:val="none" w:sz="0" w:space="0" w:color="auto"/>
        <w:right w:val="none" w:sz="0" w:space="0" w:color="auto"/>
      </w:divBdr>
    </w:div>
    <w:div w:id="1941452943">
      <w:bodyDiv w:val="1"/>
      <w:marLeft w:val="0"/>
      <w:marRight w:val="0"/>
      <w:marTop w:val="0"/>
      <w:marBottom w:val="0"/>
      <w:divBdr>
        <w:top w:val="none" w:sz="0" w:space="0" w:color="auto"/>
        <w:left w:val="none" w:sz="0" w:space="0" w:color="auto"/>
        <w:bottom w:val="none" w:sz="0" w:space="0" w:color="auto"/>
        <w:right w:val="none" w:sz="0" w:space="0" w:color="auto"/>
      </w:divBdr>
    </w:div>
    <w:div w:id="1943611831">
      <w:bodyDiv w:val="1"/>
      <w:marLeft w:val="0"/>
      <w:marRight w:val="0"/>
      <w:marTop w:val="0"/>
      <w:marBottom w:val="0"/>
      <w:divBdr>
        <w:top w:val="none" w:sz="0" w:space="0" w:color="auto"/>
        <w:left w:val="none" w:sz="0" w:space="0" w:color="auto"/>
        <w:bottom w:val="none" w:sz="0" w:space="0" w:color="auto"/>
        <w:right w:val="none" w:sz="0" w:space="0" w:color="auto"/>
      </w:divBdr>
    </w:div>
    <w:div w:id="1944223110">
      <w:bodyDiv w:val="1"/>
      <w:marLeft w:val="0"/>
      <w:marRight w:val="0"/>
      <w:marTop w:val="0"/>
      <w:marBottom w:val="0"/>
      <w:divBdr>
        <w:top w:val="none" w:sz="0" w:space="0" w:color="auto"/>
        <w:left w:val="none" w:sz="0" w:space="0" w:color="auto"/>
        <w:bottom w:val="none" w:sz="0" w:space="0" w:color="auto"/>
        <w:right w:val="none" w:sz="0" w:space="0" w:color="auto"/>
      </w:divBdr>
    </w:div>
    <w:div w:id="1945070509">
      <w:bodyDiv w:val="1"/>
      <w:marLeft w:val="0"/>
      <w:marRight w:val="0"/>
      <w:marTop w:val="0"/>
      <w:marBottom w:val="0"/>
      <w:divBdr>
        <w:top w:val="none" w:sz="0" w:space="0" w:color="auto"/>
        <w:left w:val="none" w:sz="0" w:space="0" w:color="auto"/>
        <w:bottom w:val="none" w:sz="0" w:space="0" w:color="auto"/>
        <w:right w:val="none" w:sz="0" w:space="0" w:color="auto"/>
      </w:divBdr>
    </w:div>
    <w:div w:id="1945308096">
      <w:bodyDiv w:val="1"/>
      <w:marLeft w:val="0"/>
      <w:marRight w:val="0"/>
      <w:marTop w:val="0"/>
      <w:marBottom w:val="0"/>
      <w:divBdr>
        <w:top w:val="none" w:sz="0" w:space="0" w:color="auto"/>
        <w:left w:val="none" w:sz="0" w:space="0" w:color="auto"/>
        <w:bottom w:val="none" w:sz="0" w:space="0" w:color="auto"/>
        <w:right w:val="none" w:sz="0" w:space="0" w:color="auto"/>
      </w:divBdr>
    </w:div>
    <w:div w:id="1945456667">
      <w:bodyDiv w:val="1"/>
      <w:marLeft w:val="0"/>
      <w:marRight w:val="0"/>
      <w:marTop w:val="0"/>
      <w:marBottom w:val="0"/>
      <w:divBdr>
        <w:top w:val="none" w:sz="0" w:space="0" w:color="auto"/>
        <w:left w:val="none" w:sz="0" w:space="0" w:color="auto"/>
        <w:bottom w:val="none" w:sz="0" w:space="0" w:color="auto"/>
        <w:right w:val="none" w:sz="0" w:space="0" w:color="auto"/>
      </w:divBdr>
    </w:div>
    <w:div w:id="1945765418">
      <w:bodyDiv w:val="1"/>
      <w:marLeft w:val="0"/>
      <w:marRight w:val="0"/>
      <w:marTop w:val="0"/>
      <w:marBottom w:val="0"/>
      <w:divBdr>
        <w:top w:val="none" w:sz="0" w:space="0" w:color="auto"/>
        <w:left w:val="none" w:sz="0" w:space="0" w:color="auto"/>
        <w:bottom w:val="none" w:sz="0" w:space="0" w:color="auto"/>
        <w:right w:val="none" w:sz="0" w:space="0" w:color="auto"/>
      </w:divBdr>
    </w:div>
    <w:div w:id="1948124774">
      <w:bodyDiv w:val="1"/>
      <w:marLeft w:val="0"/>
      <w:marRight w:val="0"/>
      <w:marTop w:val="0"/>
      <w:marBottom w:val="0"/>
      <w:divBdr>
        <w:top w:val="none" w:sz="0" w:space="0" w:color="auto"/>
        <w:left w:val="none" w:sz="0" w:space="0" w:color="auto"/>
        <w:bottom w:val="none" w:sz="0" w:space="0" w:color="auto"/>
        <w:right w:val="none" w:sz="0" w:space="0" w:color="auto"/>
      </w:divBdr>
    </w:div>
    <w:div w:id="1948270742">
      <w:bodyDiv w:val="1"/>
      <w:marLeft w:val="0"/>
      <w:marRight w:val="0"/>
      <w:marTop w:val="0"/>
      <w:marBottom w:val="0"/>
      <w:divBdr>
        <w:top w:val="none" w:sz="0" w:space="0" w:color="auto"/>
        <w:left w:val="none" w:sz="0" w:space="0" w:color="auto"/>
        <w:bottom w:val="none" w:sz="0" w:space="0" w:color="auto"/>
        <w:right w:val="none" w:sz="0" w:space="0" w:color="auto"/>
      </w:divBdr>
    </w:div>
    <w:div w:id="1950233557">
      <w:bodyDiv w:val="1"/>
      <w:marLeft w:val="0"/>
      <w:marRight w:val="0"/>
      <w:marTop w:val="0"/>
      <w:marBottom w:val="0"/>
      <w:divBdr>
        <w:top w:val="none" w:sz="0" w:space="0" w:color="auto"/>
        <w:left w:val="none" w:sz="0" w:space="0" w:color="auto"/>
        <w:bottom w:val="none" w:sz="0" w:space="0" w:color="auto"/>
        <w:right w:val="none" w:sz="0" w:space="0" w:color="auto"/>
      </w:divBdr>
    </w:div>
    <w:div w:id="1951165174">
      <w:bodyDiv w:val="1"/>
      <w:marLeft w:val="0"/>
      <w:marRight w:val="0"/>
      <w:marTop w:val="0"/>
      <w:marBottom w:val="0"/>
      <w:divBdr>
        <w:top w:val="none" w:sz="0" w:space="0" w:color="auto"/>
        <w:left w:val="none" w:sz="0" w:space="0" w:color="auto"/>
        <w:bottom w:val="none" w:sz="0" w:space="0" w:color="auto"/>
        <w:right w:val="none" w:sz="0" w:space="0" w:color="auto"/>
      </w:divBdr>
    </w:div>
    <w:div w:id="1951204205">
      <w:bodyDiv w:val="1"/>
      <w:marLeft w:val="0"/>
      <w:marRight w:val="0"/>
      <w:marTop w:val="0"/>
      <w:marBottom w:val="0"/>
      <w:divBdr>
        <w:top w:val="none" w:sz="0" w:space="0" w:color="auto"/>
        <w:left w:val="none" w:sz="0" w:space="0" w:color="auto"/>
        <w:bottom w:val="none" w:sz="0" w:space="0" w:color="auto"/>
        <w:right w:val="none" w:sz="0" w:space="0" w:color="auto"/>
      </w:divBdr>
    </w:div>
    <w:div w:id="1953127201">
      <w:bodyDiv w:val="1"/>
      <w:marLeft w:val="0"/>
      <w:marRight w:val="0"/>
      <w:marTop w:val="0"/>
      <w:marBottom w:val="0"/>
      <w:divBdr>
        <w:top w:val="none" w:sz="0" w:space="0" w:color="auto"/>
        <w:left w:val="none" w:sz="0" w:space="0" w:color="auto"/>
        <w:bottom w:val="none" w:sz="0" w:space="0" w:color="auto"/>
        <w:right w:val="none" w:sz="0" w:space="0" w:color="auto"/>
      </w:divBdr>
    </w:div>
    <w:div w:id="1953826400">
      <w:bodyDiv w:val="1"/>
      <w:marLeft w:val="0"/>
      <w:marRight w:val="0"/>
      <w:marTop w:val="0"/>
      <w:marBottom w:val="0"/>
      <w:divBdr>
        <w:top w:val="none" w:sz="0" w:space="0" w:color="auto"/>
        <w:left w:val="none" w:sz="0" w:space="0" w:color="auto"/>
        <w:bottom w:val="none" w:sz="0" w:space="0" w:color="auto"/>
        <w:right w:val="none" w:sz="0" w:space="0" w:color="auto"/>
      </w:divBdr>
    </w:div>
    <w:div w:id="1954821079">
      <w:bodyDiv w:val="1"/>
      <w:marLeft w:val="0"/>
      <w:marRight w:val="0"/>
      <w:marTop w:val="0"/>
      <w:marBottom w:val="0"/>
      <w:divBdr>
        <w:top w:val="none" w:sz="0" w:space="0" w:color="auto"/>
        <w:left w:val="none" w:sz="0" w:space="0" w:color="auto"/>
        <w:bottom w:val="none" w:sz="0" w:space="0" w:color="auto"/>
        <w:right w:val="none" w:sz="0" w:space="0" w:color="auto"/>
      </w:divBdr>
    </w:div>
    <w:div w:id="1955676842">
      <w:bodyDiv w:val="1"/>
      <w:marLeft w:val="0"/>
      <w:marRight w:val="0"/>
      <w:marTop w:val="0"/>
      <w:marBottom w:val="0"/>
      <w:divBdr>
        <w:top w:val="none" w:sz="0" w:space="0" w:color="auto"/>
        <w:left w:val="none" w:sz="0" w:space="0" w:color="auto"/>
        <w:bottom w:val="none" w:sz="0" w:space="0" w:color="auto"/>
        <w:right w:val="none" w:sz="0" w:space="0" w:color="auto"/>
      </w:divBdr>
    </w:div>
    <w:div w:id="1958632552">
      <w:bodyDiv w:val="1"/>
      <w:marLeft w:val="0"/>
      <w:marRight w:val="0"/>
      <w:marTop w:val="0"/>
      <w:marBottom w:val="0"/>
      <w:divBdr>
        <w:top w:val="none" w:sz="0" w:space="0" w:color="auto"/>
        <w:left w:val="none" w:sz="0" w:space="0" w:color="auto"/>
        <w:bottom w:val="none" w:sz="0" w:space="0" w:color="auto"/>
        <w:right w:val="none" w:sz="0" w:space="0" w:color="auto"/>
      </w:divBdr>
      <w:divsChild>
        <w:div w:id="269508501">
          <w:marLeft w:val="0"/>
          <w:marRight w:val="0"/>
          <w:marTop w:val="0"/>
          <w:marBottom w:val="0"/>
          <w:divBdr>
            <w:top w:val="none" w:sz="0" w:space="0" w:color="auto"/>
            <w:left w:val="none" w:sz="0" w:space="0" w:color="auto"/>
            <w:bottom w:val="none" w:sz="0" w:space="0" w:color="auto"/>
            <w:right w:val="none" w:sz="0" w:space="0" w:color="auto"/>
          </w:divBdr>
        </w:div>
      </w:divsChild>
    </w:div>
    <w:div w:id="1959023124">
      <w:bodyDiv w:val="1"/>
      <w:marLeft w:val="0"/>
      <w:marRight w:val="0"/>
      <w:marTop w:val="0"/>
      <w:marBottom w:val="0"/>
      <w:divBdr>
        <w:top w:val="none" w:sz="0" w:space="0" w:color="auto"/>
        <w:left w:val="none" w:sz="0" w:space="0" w:color="auto"/>
        <w:bottom w:val="none" w:sz="0" w:space="0" w:color="auto"/>
        <w:right w:val="none" w:sz="0" w:space="0" w:color="auto"/>
      </w:divBdr>
    </w:div>
    <w:div w:id="1959292114">
      <w:bodyDiv w:val="1"/>
      <w:marLeft w:val="0"/>
      <w:marRight w:val="0"/>
      <w:marTop w:val="0"/>
      <w:marBottom w:val="0"/>
      <w:divBdr>
        <w:top w:val="none" w:sz="0" w:space="0" w:color="auto"/>
        <w:left w:val="none" w:sz="0" w:space="0" w:color="auto"/>
        <w:bottom w:val="none" w:sz="0" w:space="0" w:color="auto"/>
        <w:right w:val="none" w:sz="0" w:space="0" w:color="auto"/>
      </w:divBdr>
    </w:div>
    <w:div w:id="1959532670">
      <w:bodyDiv w:val="1"/>
      <w:marLeft w:val="0"/>
      <w:marRight w:val="0"/>
      <w:marTop w:val="0"/>
      <w:marBottom w:val="0"/>
      <w:divBdr>
        <w:top w:val="none" w:sz="0" w:space="0" w:color="auto"/>
        <w:left w:val="none" w:sz="0" w:space="0" w:color="auto"/>
        <w:bottom w:val="none" w:sz="0" w:space="0" w:color="auto"/>
        <w:right w:val="none" w:sz="0" w:space="0" w:color="auto"/>
      </w:divBdr>
    </w:div>
    <w:div w:id="1962148436">
      <w:bodyDiv w:val="1"/>
      <w:marLeft w:val="0"/>
      <w:marRight w:val="0"/>
      <w:marTop w:val="0"/>
      <w:marBottom w:val="0"/>
      <w:divBdr>
        <w:top w:val="none" w:sz="0" w:space="0" w:color="auto"/>
        <w:left w:val="none" w:sz="0" w:space="0" w:color="auto"/>
        <w:bottom w:val="none" w:sz="0" w:space="0" w:color="auto"/>
        <w:right w:val="none" w:sz="0" w:space="0" w:color="auto"/>
      </w:divBdr>
    </w:div>
    <w:div w:id="1962376367">
      <w:bodyDiv w:val="1"/>
      <w:marLeft w:val="0"/>
      <w:marRight w:val="0"/>
      <w:marTop w:val="0"/>
      <w:marBottom w:val="0"/>
      <w:divBdr>
        <w:top w:val="none" w:sz="0" w:space="0" w:color="auto"/>
        <w:left w:val="none" w:sz="0" w:space="0" w:color="auto"/>
        <w:bottom w:val="none" w:sz="0" w:space="0" w:color="auto"/>
        <w:right w:val="none" w:sz="0" w:space="0" w:color="auto"/>
      </w:divBdr>
    </w:div>
    <w:div w:id="1963222805">
      <w:bodyDiv w:val="1"/>
      <w:marLeft w:val="0"/>
      <w:marRight w:val="0"/>
      <w:marTop w:val="0"/>
      <w:marBottom w:val="0"/>
      <w:divBdr>
        <w:top w:val="none" w:sz="0" w:space="0" w:color="auto"/>
        <w:left w:val="none" w:sz="0" w:space="0" w:color="auto"/>
        <w:bottom w:val="none" w:sz="0" w:space="0" w:color="auto"/>
        <w:right w:val="none" w:sz="0" w:space="0" w:color="auto"/>
      </w:divBdr>
    </w:div>
    <w:div w:id="1963227939">
      <w:bodyDiv w:val="1"/>
      <w:marLeft w:val="0"/>
      <w:marRight w:val="0"/>
      <w:marTop w:val="0"/>
      <w:marBottom w:val="0"/>
      <w:divBdr>
        <w:top w:val="none" w:sz="0" w:space="0" w:color="auto"/>
        <w:left w:val="none" w:sz="0" w:space="0" w:color="auto"/>
        <w:bottom w:val="none" w:sz="0" w:space="0" w:color="auto"/>
        <w:right w:val="none" w:sz="0" w:space="0" w:color="auto"/>
      </w:divBdr>
    </w:div>
    <w:div w:id="1963681452">
      <w:bodyDiv w:val="1"/>
      <w:marLeft w:val="0"/>
      <w:marRight w:val="0"/>
      <w:marTop w:val="0"/>
      <w:marBottom w:val="0"/>
      <w:divBdr>
        <w:top w:val="none" w:sz="0" w:space="0" w:color="auto"/>
        <w:left w:val="none" w:sz="0" w:space="0" w:color="auto"/>
        <w:bottom w:val="none" w:sz="0" w:space="0" w:color="auto"/>
        <w:right w:val="none" w:sz="0" w:space="0" w:color="auto"/>
      </w:divBdr>
    </w:div>
    <w:div w:id="1963992715">
      <w:bodyDiv w:val="1"/>
      <w:marLeft w:val="0"/>
      <w:marRight w:val="0"/>
      <w:marTop w:val="0"/>
      <w:marBottom w:val="0"/>
      <w:divBdr>
        <w:top w:val="none" w:sz="0" w:space="0" w:color="auto"/>
        <w:left w:val="none" w:sz="0" w:space="0" w:color="auto"/>
        <w:bottom w:val="none" w:sz="0" w:space="0" w:color="auto"/>
        <w:right w:val="none" w:sz="0" w:space="0" w:color="auto"/>
      </w:divBdr>
    </w:div>
    <w:div w:id="1965186073">
      <w:bodyDiv w:val="1"/>
      <w:marLeft w:val="0"/>
      <w:marRight w:val="0"/>
      <w:marTop w:val="0"/>
      <w:marBottom w:val="0"/>
      <w:divBdr>
        <w:top w:val="none" w:sz="0" w:space="0" w:color="auto"/>
        <w:left w:val="none" w:sz="0" w:space="0" w:color="auto"/>
        <w:bottom w:val="none" w:sz="0" w:space="0" w:color="auto"/>
        <w:right w:val="none" w:sz="0" w:space="0" w:color="auto"/>
      </w:divBdr>
    </w:div>
    <w:div w:id="1965847831">
      <w:bodyDiv w:val="1"/>
      <w:marLeft w:val="0"/>
      <w:marRight w:val="0"/>
      <w:marTop w:val="0"/>
      <w:marBottom w:val="0"/>
      <w:divBdr>
        <w:top w:val="none" w:sz="0" w:space="0" w:color="auto"/>
        <w:left w:val="none" w:sz="0" w:space="0" w:color="auto"/>
        <w:bottom w:val="none" w:sz="0" w:space="0" w:color="auto"/>
        <w:right w:val="none" w:sz="0" w:space="0" w:color="auto"/>
      </w:divBdr>
    </w:div>
    <w:div w:id="1965884745">
      <w:bodyDiv w:val="1"/>
      <w:marLeft w:val="0"/>
      <w:marRight w:val="0"/>
      <w:marTop w:val="0"/>
      <w:marBottom w:val="0"/>
      <w:divBdr>
        <w:top w:val="none" w:sz="0" w:space="0" w:color="auto"/>
        <w:left w:val="none" w:sz="0" w:space="0" w:color="auto"/>
        <w:bottom w:val="none" w:sz="0" w:space="0" w:color="auto"/>
        <w:right w:val="none" w:sz="0" w:space="0" w:color="auto"/>
      </w:divBdr>
    </w:div>
    <w:div w:id="1970159193">
      <w:bodyDiv w:val="1"/>
      <w:marLeft w:val="0"/>
      <w:marRight w:val="0"/>
      <w:marTop w:val="0"/>
      <w:marBottom w:val="0"/>
      <w:divBdr>
        <w:top w:val="none" w:sz="0" w:space="0" w:color="auto"/>
        <w:left w:val="none" w:sz="0" w:space="0" w:color="auto"/>
        <w:bottom w:val="none" w:sz="0" w:space="0" w:color="auto"/>
        <w:right w:val="none" w:sz="0" w:space="0" w:color="auto"/>
      </w:divBdr>
    </w:div>
    <w:div w:id="1970355705">
      <w:bodyDiv w:val="1"/>
      <w:marLeft w:val="0"/>
      <w:marRight w:val="0"/>
      <w:marTop w:val="0"/>
      <w:marBottom w:val="0"/>
      <w:divBdr>
        <w:top w:val="none" w:sz="0" w:space="0" w:color="auto"/>
        <w:left w:val="none" w:sz="0" w:space="0" w:color="auto"/>
        <w:bottom w:val="none" w:sz="0" w:space="0" w:color="auto"/>
        <w:right w:val="none" w:sz="0" w:space="0" w:color="auto"/>
      </w:divBdr>
    </w:div>
    <w:div w:id="1970816374">
      <w:bodyDiv w:val="1"/>
      <w:marLeft w:val="0"/>
      <w:marRight w:val="0"/>
      <w:marTop w:val="0"/>
      <w:marBottom w:val="0"/>
      <w:divBdr>
        <w:top w:val="none" w:sz="0" w:space="0" w:color="auto"/>
        <w:left w:val="none" w:sz="0" w:space="0" w:color="auto"/>
        <w:bottom w:val="none" w:sz="0" w:space="0" w:color="auto"/>
        <w:right w:val="none" w:sz="0" w:space="0" w:color="auto"/>
      </w:divBdr>
    </w:div>
    <w:div w:id="1972133325">
      <w:bodyDiv w:val="1"/>
      <w:marLeft w:val="0"/>
      <w:marRight w:val="0"/>
      <w:marTop w:val="0"/>
      <w:marBottom w:val="0"/>
      <w:divBdr>
        <w:top w:val="none" w:sz="0" w:space="0" w:color="auto"/>
        <w:left w:val="none" w:sz="0" w:space="0" w:color="auto"/>
        <w:bottom w:val="none" w:sz="0" w:space="0" w:color="auto"/>
        <w:right w:val="none" w:sz="0" w:space="0" w:color="auto"/>
      </w:divBdr>
    </w:div>
    <w:div w:id="1972438836">
      <w:bodyDiv w:val="1"/>
      <w:marLeft w:val="0"/>
      <w:marRight w:val="0"/>
      <w:marTop w:val="0"/>
      <w:marBottom w:val="0"/>
      <w:divBdr>
        <w:top w:val="none" w:sz="0" w:space="0" w:color="auto"/>
        <w:left w:val="none" w:sz="0" w:space="0" w:color="auto"/>
        <w:bottom w:val="none" w:sz="0" w:space="0" w:color="auto"/>
        <w:right w:val="none" w:sz="0" w:space="0" w:color="auto"/>
      </w:divBdr>
    </w:div>
    <w:div w:id="1974477562">
      <w:bodyDiv w:val="1"/>
      <w:marLeft w:val="0"/>
      <w:marRight w:val="0"/>
      <w:marTop w:val="0"/>
      <w:marBottom w:val="0"/>
      <w:divBdr>
        <w:top w:val="none" w:sz="0" w:space="0" w:color="auto"/>
        <w:left w:val="none" w:sz="0" w:space="0" w:color="auto"/>
        <w:bottom w:val="none" w:sz="0" w:space="0" w:color="auto"/>
        <w:right w:val="none" w:sz="0" w:space="0" w:color="auto"/>
      </w:divBdr>
    </w:div>
    <w:div w:id="1975519990">
      <w:bodyDiv w:val="1"/>
      <w:marLeft w:val="0"/>
      <w:marRight w:val="0"/>
      <w:marTop w:val="0"/>
      <w:marBottom w:val="0"/>
      <w:divBdr>
        <w:top w:val="none" w:sz="0" w:space="0" w:color="auto"/>
        <w:left w:val="none" w:sz="0" w:space="0" w:color="auto"/>
        <w:bottom w:val="none" w:sz="0" w:space="0" w:color="auto"/>
        <w:right w:val="none" w:sz="0" w:space="0" w:color="auto"/>
      </w:divBdr>
    </w:div>
    <w:div w:id="1975912977">
      <w:bodyDiv w:val="1"/>
      <w:marLeft w:val="0"/>
      <w:marRight w:val="0"/>
      <w:marTop w:val="0"/>
      <w:marBottom w:val="0"/>
      <w:divBdr>
        <w:top w:val="none" w:sz="0" w:space="0" w:color="auto"/>
        <w:left w:val="none" w:sz="0" w:space="0" w:color="auto"/>
        <w:bottom w:val="none" w:sz="0" w:space="0" w:color="auto"/>
        <w:right w:val="none" w:sz="0" w:space="0" w:color="auto"/>
      </w:divBdr>
    </w:div>
    <w:div w:id="1976182820">
      <w:bodyDiv w:val="1"/>
      <w:marLeft w:val="0"/>
      <w:marRight w:val="0"/>
      <w:marTop w:val="0"/>
      <w:marBottom w:val="0"/>
      <w:divBdr>
        <w:top w:val="none" w:sz="0" w:space="0" w:color="auto"/>
        <w:left w:val="none" w:sz="0" w:space="0" w:color="auto"/>
        <w:bottom w:val="none" w:sz="0" w:space="0" w:color="auto"/>
        <w:right w:val="none" w:sz="0" w:space="0" w:color="auto"/>
      </w:divBdr>
    </w:div>
    <w:div w:id="1976714245">
      <w:bodyDiv w:val="1"/>
      <w:marLeft w:val="0"/>
      <w:marRight w:val="0"/>
      <w:marTop w:val="0"/>
      <w:marBottom w:val="0"/>
      <w:divBdr>
        <w:top w:val="none" w:sz="0" w:space="0" w:color="auto"/>
        <w:left w:val="none" w:sz="0" w:space="0" w:color="auto"/>
        <w:bottom w:val="none" w:sz="0" w:space="0" w:color="auto"/>
        <w:right w:val="none" w:sz="0" w:space="0" w:color="auto"/>
      </w:divBdr>
    </w:div>
    <w:div w:id="1976987504">
      <w:bodyDiv w:val="1"/>
      <w:marLeft w:val="0"/>
      <w:marRight w:val="0"/>
      <w:marTop w:val="0"/>
      <w:marBottom w:val="0"/>
      <w:divBdr>
        <w:top w:val="none" w:sz="0" w:space="0" w:color="auto"/>
        <w:left w:val="none" w:sz="0" w:space="0" w:color="auto"/>
        <w:bottom w:val="none" w:sz="0" w:space="0" w:color="auto"/>
        <w:right w:val="none" w:sz="0" w:space="0" w:color="auto"/>
      </w:divBdr>
    </w:div>
    <w:div w:id="1977253174">
      <w:bodyDiv w:val="1"/>
      <w:marLeft w:val="0"/>
      <w:marRight w:val="0"/>
      <w:marTop w:val="0"/>
      <w:marBottom w:val="0"/>
      <w:divBdr>
        <w:top w:val="none" w:sz="0" w:space="0" w:color="auto"/>
        <w:left w:val="none" w:sz="0" w:space="0" w:color="auto"/>
        <w:bottom w:val="none" w:sz="0" w:space="0" w:color="auto"/>
        <w:right w:val="none" w:sz="0" w:space="0" w:color="auto"/>
      </w:divBdr>
    </w:div>
    <w:div w:id="1977955203">
      <w:bodyDiv w:val="1"/>
      <w:marLeft w:val="0"/>
      <w:marRight w:val="0"/>
      <w:marTop w:val="0"/>
      <w:marBottom w:val="0"/>
      <w:divBdr>
        <w:top w:val="none" w:sz="0" w:space="0" w:color="auto"/>
        <w:left w:val="none" w:sz="0" w:space="0" w:color="auto"/>
        <w:bottom w:val="none" w:sz="0" w:space="0" w:color="auto"/>
        <w:right w:val="none" w:sz="0" w:space="0" w:color="auto"/>
      </w:divBdr>
    </w:div>
    <w:div w:id="1978993241">
      <w:bodyDiv w:val="1"/>
      <w:marLeft w:val="0"/>
      <w:marRight w:val="0"/>
      <w:marTop w:val="0"/>
      <w:marBottom w:val="0"/>
      <w:divBdr>
        <w:top w:val="none" w:sz="0" w:space="0" w:color="auto"/>
        <w:left w:val="none" w:sz="0" w:space="0" w:color="auto"/>
        <w:bottom w:val="none" w:sz="0" w:space="0" w:color="auto"/>
        <w:right w:val="none" w:sz="0" w:space="0" w:color="auto"/>
      </w:divBdr>
    </w:div>
    <w:div w:id="1979722943">
      <w:bodyDiv w:val="1"/>
      <w:marLeft w:val="0"/>
      <w:marRight w:val="0"/>
      <w:marTop w:val="0"/>
      <w:marBottom w:val="0"/>
      <w:divBdr>
        <w:top w:val="none" w:sz="0" w:space="0" w:color="auto"/>
        <w:left w:val="none" w:sz="0" w:space="0" w:color="auto"/>
        <w:bottom w:val="none" w:sz="0" w:space="0" w:color="auto"/>
        <w:right w:val="none" w:sz="0" w:space="0" w:color="auto"/>
      </w:divBdr>
    </w:div>
    <w:div w:id="1980569392">
      <w:bodyDiv w:val="1"/>
      <w:marLeft w:val="0"/>
      <w:marRight w:val="0"/>
      <w:marTop w:val="0"/>
      <w:marBottom w:val="0"/>
      <w:divBdr>
        <w:top w:val="none" w:sz="0" w:space="0" w:color="auto"/>
        <w:left w:val="none" w:sz="0" w:space="0" w:color="auto"/>
        <w:bottom w:val="none" w:sz="0" w:space="0" w:color="auto"/>
        <w:right w:val="none" w:sz="0" w:space="0" w:color="auto"/>
      </w:divBdr>
    </w:div>
    <w:div w:id="1981155833">
      <w:bodyDiv w:val="1"/>
      <w:marLeft w:val="0"/>
      <w:marRight w:val="0"/>
      <w:marTop w:val="0"/>
      <w:marBottom w:val="0"/>
      <w:divBdr>
        <w:top w:val="none" w:sz="0" w:space="0" w:color="auto"/>
        <w:left w:val="none" w:sz="0" w:space="0" w:color="auto"/>
        <w:bottom w:val="none" w:sz="0" w:space="0" w:color="auto"/>
        <w:right w:val="none" w:sz="0" w:space="0" w:color="auto"/>
      </w:divBdr>
    </w:div>
    <w:div w:id="1982424942">
      <w:bodyDiv w:val="1"/>
      <w:marLeft w:val="0"/>
      <w:marRight w:val="0"/>
      <w:marTop w:val="0"/>
      <w:marBottom w:val="0"/>
      <w:divBdr>
        <w:top w:val="none" w:sz="0" w:space="0" w:color="auto"/>
        <w:left w:val="none" w:sz="0" w:space="0" w:color="auto"/>
        <w:bottom w:val="none" w:sz="0" w:space="0" w:color="auto"/>
        <w:right w:val="none" w:sz="0" w:space="0" w:color="auto"/>
      </w:divBdr>
    </w:div>
    <w:div w:id="1984191722">
      <w:bodyDiv w:val="1"/>
      <w:marLeft w:val="0"/>
      <w:marRight w:val="0"/>
      <w:marTop w:val="0"/>
      <w:marBottom w:val="0"/>
      <w:divBdr>
        <w:top w:val="none" w:sz="0" w:space="0" w:color="auto"/>
        <w:left w:val="none" w:sz="0" w:space="0" w:color="auto"/>
        <w:bottom w:val="none" w:sz="0" w:space="0" w:color="auto"/>
        <w:right w:val="none" w:sz="0" w:space="0" w:color="auto"/>
      </w:divBdr>
    </w:div>
    <w:div w:id="1984893642">
      <w:bodyDiv w:val="1"/>
      <w:marLeft w:val="0"/>
      <w:marRight w:val="0"/>
      <w:marTop w:val="0"/>
      <w:marBottom w:val="0"/>
      <w:divBdr>
        <w:top w:val="none" w:sz="0" w:space="0" w:color="auto"/>
        <w:left w:val="none" w:sz="0" w:space="0" w:color="auto"/>
        <w:bottom w:val="none" w:sz="0" w:space="0" w:color="auto"/>
        <w:right w:val="none" w:sz="0" w:space="0" w:color="auto"/>
      </w:divBdr>
    </w:div>
    <w:div w:id="1985499789">
      <w:bodyDiv w:val="1"/>
      <w:marLeft w:val="0"/>
      <w:marRight w:val="0"/>
      <w:marTop w:val="0"/>
      <w:marBottom w:val="0"/>
      <w:divBdr>
        <w:top w:val="none" w:sz="0" w:space="0" w:color="auto"/>
        <w:left w:val="none" w:sz="0" w:space="0" w:color="auto"/>
        <w:bottom w:val="none" w:sz="0" w:space="0" w:color="auto"/>
        <w:right w:val="none" w:sz="0" w:space="0" w:color="auto"/>
      </w:divBdr>
    </w:div>
    <w:div w:id="1986543877">
      <w:bodyDiv w:val="1"/>
      <w:marLeft w:val="0"/>
      <w:marRight w:val="0"/>
      <w:marTop w:val="0"/>
      <w:marBottom w:val="0"/>
      <w:divBdr>
        <w:top w:val="none" w:sz="0" w:space="0" w:color="auto"/>
        <w:left w:val="none" w:sz="0" w:space="0" w:color="auto"/>
        <w:bottom w:val="none" w:sz="0" w:space="0" w:color="auto"/>
        <w:right w:val="none" w:sz="0" w:space="0" w:color="auto"/>
      </w:divBdr>
    </w:div>
    <w:div w:id="1988243786">
      <w:bodyDiv w:val="1"/>
      <w:marLeft w:val="0"/>
      <w:marRight w:val="0"/>
      <w:marTop w:val="0"/>
      <w:marBottom w:val="0"/>
      <w:divBdr>
        <w:top w:val="none" w:sz="0" w:space="0" w:color="auto"/>
        <w:left w:val="none" w:sz="0" w:space="0" w:color="auto"/>
        <w:bottom w:val="none" w:sz="0" w:space="0" w:color="auto"/>
        <w:right w:val="none" w:sz="0" w:space="0" w:color="auto"/>
      </w:divBdr>
    </w:div>
    <w:div w:id="1988432895">
      <w:bodyDiv w:val="1"/>
      <w:marLeft w:val="0"/>
      <w:marRight w:val="0"/>
      <w:marTop w:val="0"/>
      <w:marBottom w:val="0"/>
      <w:divBdr>
        <w:top w:val="none" w:sz="0" w:space="0" w:color="auto"/>
        <w:left w:val="none" w:sz="0" w:space="0" w:color="auto"/>
        <w:bottom w:val="none" w:sz="0" w:space="0" w:color="auto"/>
        <w:right w:val="none" w:sz="0" w:space="0" w:color="auto"/>
      </w:divBdr>
    </w:div>
    <w:div w:id="1988626489">
      <w:bodyDiv w:val="1"/>
      <w:marLeft w:val="0"/>
      <w:marRight w:val="0"/>
      <w:marTop w:val="0"/>
      <w:marBottom w:val="0"/>
      <w:divBdr>
        <w:top w:val="none" w:sz="0" w:space="0" w:color="auto"/>
        <w:left w:val="none" w:sz="0" w:space="0" w:color="auto"/>
        <w:bottom w:val="none" w:sz="0" w:space="0" w:color="auto"/>
        <w:right w:val="none" w:sz="0" w:space="0" w:color="auto"/>
      </w:divBdr>
    </w:div>
    <w:div w:id="1990278499">
      <w:bodyDiv w:val="1"/>
      <w:marLeft w:val="0"/>
      <w:marRight w:val="0"/>
      <w:marTop w:val="0"/>
      <w:marBottom w:val="0"/>
      <w:divBdr>
        <w:top w:val="none" w:sz="0" w:space="0" w:color="auto"/>
        <w:left w:val="none" w:sz="0" w:space="0" w:color="auto"/>
        <w:bottom w:val="none" w:sz="0" w:space="0" w:color="auto"/>
        <w:right w:val="none" w:sz="0" w:space="0" w:color="auto"/>
      </w:divBdr>
    </w:div>
    <w:div w:id="1990747011">
      <w:bodyDiv w:val="1"/>
      <w:marLeft w:val="0"/>
      <w:marRight w:val="0"/>
      <w:marTop w:val="0"/>
      <w:marBottom w:val="0"/>
      <w:divBdr>
        <w:top w:val="none" w:sz="0" w:space="0" w:color="auto"/>
        <w:left w:val="none" w:sz="0" w:space="0" w:color="auto"/>
        <w:bottom w:val="none" w:sz="0" w:space="0" w:color="auto"/>
        <w:right w:val="none" w:sz="0" w:space="0" w:color="auto"/>
      </w:divBdr>
    </w:div>
    <w:div w:id="1991397647">
      <w:bodyDiv w:val="1"/>
      <w:marLeft w:val="0"/>
      <w:marRight w:val="0"/>
      <w:marTop w:val="0"/>
      <w:marBottom w:val="0"/>
      <w:divBdr>
        <w:top w:val="none" w:sz="0" w:space="0" w:color="auto"/>
        <w:left w:val="none" w:sz="0" w:space="0" w:color="auto"/>
        <w:bottom w:val="none" w:sz="0" w:space="0" w:color="auto"/>
        <w:right w:val="none" w:sz="0" w:space="0" w:color="auto"/>
      </w:divBdr>
    </w:div>
    <w:div w:id="1992825348">
      <w:bodyDiv w:val="1"/>
      <w:marLeft w:val="0"/>
      <w:marRight w:val="0"/>
      <w:marTop w:val="0"/>
      <w:marBottom w:val="0"/>
      <w:divBdr>
        <w:top w:val="none" w:sz="0" w:space="0" w:color="auto"/>
        <w:left w:val="none" w:sz="0" w:space="0" w:color="auto"/>
        <w:bottom w:val="none" w:sz="0" w:space="0" w:color="auto"/>
        <w:right w:val="none" w:sz="0" w:space="0" w:color="auto"/>
      </w:divBdr>
    </w:div>
    <w:div w:id="1992904528">
      <w:bodyDiv w:val="1"/>
      <w:marLeft w:val="0"/>
      <w:marRight w:val="0"/>
      <w:marTop w:val="0"/>
      <w:marBottom w:val="0"/>
      <w:divBdr>
        <w:top w:val="none" w:sz="0" w:space="0" w:color="auto"/>
        <w:left w:val="none" w:sz="0" w:space="0" w:color="auto"/>
        <w:bottom w:val="none" w:sz="0" w:space="0" w:color="auto"/>
        <w:right w:val="none" w:sz="0" w:space="0" w:color="auto"/>
      </w:divBdr>
    </w:div>
    <w:div w:id="1997343690">
      <w:bodyDiv w:val="1"/>
      <w:marLeft w:val="0"/>
      <w:marRight w:val="0"/>
      <w:marTop w:val="0"/>
      <w:marBottom w:val="0"/>
      <w:divBdr>
        <w:top w:val="none" w:sz="0" w:space="0" w:color="auto"/>
        <w:left w:val="none" w:sz="0" w:space="0" w:color="auto"/>
        <w:bottom w:val="none" w:sz="0" w:space="0" w:color="auto"/>
        <w:right w:val="none" w:sz="0" w:space="0" w:color="auto"/>
      </w:divBdr>
    </w:div>
    <w:div w:id="1998874304">
      <w:bodyDiv w:val="1"/>
      <w:marLeft w:val="0"/>
      <w:marRight w:val="0"/>
      <w:marTop w:val="0"/>
      <w:marBottom w:val="0"/>
      <w:divBdr>
        <w:top w:val="none" w:sz="0" w:space="0" w:color="auto"/>
        <w:left w:val="none" w:sz="0" w:space="0" w:color="auto"/>
        <w:bottom w:val="none" w:sz="0" w:space="0" w:color="auto"/>
        <w:right w:val="none" w:sz="0" w:space="0" w:color="auto"/>
      </w:divBdr>
    </w:div>
    <w:div w:id="1999726766">
      <w:bodyDiv w:val="1"/>
      <w:marLeft w:val="0"/>
      <w:marRight w:val="0"/>
      <w:marTop w:val="0"/>
      <w:marBottom w:val="0"/>
      <w:divBdr>
        <w:top w:val="none" w:sz="0" w:space="0" w:color="auto"/>
        <w:left w:val="none" w:sz="0" w:space="0" w:color="auto"/>
        <w:bottom w:val="none" w:sz="0" w:space="0" w:color="auto"/>
        <w:right w:val="none" w:sz="0" w:space="0" w:color="auto"/>
      </w:divBdr>
    </w:div>
    <w:div w:id="2000697057">
      <w:bodyDiv w:val="1"/>
      <w:marLeft w:val="0"/>
      <w:marRight w:val="0"/>
      <w:marTop w:val="0"/>
      <w:marBottom w:val="0"/>
      <w:divBdr>
        <w:top w:val="none" w:sz="0" w:space="0" w:color="auto"/>
        <w:left w:val="none" w:sz="0" w:space="0" w:color="auto"/>
        <w:bottom w:val="none" w:sz="0" w:space="0" w:color="auto"/>
        <w:right w:val="none" w:sz="0" w:space="0" w:color="auto"/>
      </w:divBdr>
    </w:div>
    <w:div w:id="2004971080">
      <w:bodyDiv w:val="1"/>
      <w:marLeft w:val="0"/>
      <w:marRight w:val="0"/>
      <w:marTop w:val="0"/>
      <w:marBottom w:val="0"/>
      <w:divBdr>
        <w:top w:val="none" w:sz="0" w:space="0" w:color="auto"/>
        <w:left w:val="none" w:sz="0" w:space="0" w:color="auto"/>
        <w:bottom w:val="none" w:sz="0" w:space="0" w:color="auto"/>
        <w:right w:val="none" w:sz="0" w:space="0" w:color="auto"/>
      </w:divBdr>
    </w:div>
    <w:div w:id="2005743923">
      <w:bodyDiv w:val="1"/>
      <w:marLeft w:val="0"/>
      <w:marRight w:val="0"/>
      <w:marTop w:val="0"/>
      <w:marBottom w:val="0"/>
      <w:divBdr>
        <w:top w:val="none" w:sz="0" w:space="0" w:color="auto"/>
        <w:left w:val="none" w:sz="0" w:space="0" w:color="auto"/>
        <w:bottom w:val="none" w:sz="0" w:space="0" w:color="auto"/>
        <w:right w:val="none" w:sz="0" w:space="0" w:color="auto"/>
      </w:divBdr>
    </w:div>
    <w:div w:id="2006548423">
      <w:bodyDiv w:val="1"/>
      <w:marLeft w:val="0"/>
      <w:marRight w:val="0"/>
      <w:marTop w:val="0"/>
      <w:marBottom w:val="0"/>
      <w:divBdr>
        <w:top w:val="none" w:sz="0" w:space="0" w:color="auto"/>
        <w:left w:val="none" w:sz="0" w:space="0" w:color="auto"/>
        <w:bottom w:val="none" w:sz="0" w:space="0" w:color="auto"/>
        <w:right w:val="none" w:sz="0" w:space="0" w:color="auto"/>
      </w:divBdr>
    </w:div>
    <w:div w:id="2010021493">
      <w:bodyDiv w:val="1"/>
      <w:marLeft w:val="0"/>
      <w:marRight w:val="0"/>
      <w:marTop w:val="0"/>
      <w:marBottom w:val="0"/>
      <w:divBdr>
        <w:top w:val="none" w:sz="0" w:space="0" w:color="auto"/>
        <w:left w:val="none" w:sz="0" w:space="0" w:color="auto"/>
        <w:bottom w:val="none" w:sz="0" w:space="0" w:color="auto"/>
        <w:right w:val="none" w:sz="0" w:space="0" w:color="auto"/>
      </w:divBdr>
    </w:div>
    <w:div w:id="2010213494">
      <w:bodyDiv w:val="1"/>
      <w:marLeft w:val="0"/>
      <w:marRight w:val="0"/>
      <w:marTop w:val="0"/>
      <w:marBottom w:val="0"/>
      <w:divBdr>
        <w:top w:val="none" w:sz="0" w:space="0" w:color="auto"/>
        <w:left w:val="none" w:sz="0" w:space="0" w:color="auto"/>
        <w:bottom w:val="none" w:sz="0" w:space="0" w:color="auto"/>
        <w:right w:val="none" w:sz="0" w:space="0" w:color="auto"/>
      </w:divBdr>
    </w:div>
    <w:div w:id="2012173664">
      <w:bodyDiv w:val="1"/>
      <w:marLeft w:val="0"/>
      <w:marRight w:val="0"/>
      <w:marTop w:val="0"/>
      <w:marBottom w:val="0"/>
      <w:divBdr>
        <w:top w:val="none" w:sz="0" w:space="0" w:color="auto"/>
        <w:left w:val="none" w:sz="0" w:space="0" w:color="auto"/>
        <w:bottom w:val="none" w:sz="0" w:space="0" w:color="auto"/>
        <w:right w:val="none" w:sz="0" w:space="0" w:color="auto"/>
      </w:divBdr>
    </w:div>
    <w:div w:id="2013560632">
      <w:bodyDiv w:val="1"/>
      <w:marLeft w:val="0"/>
      <w:marRight w:val="0"/>
      <w:marTop w:val="0"/>
      <w:marBottom w:val="0"/>
      <w:divBdr>
        <w:top w:val="none" w:sz="0" w:space="0" w:color="auto"/>
        <w:left w:val="none" w:sz="0" w:space="0" w:color="auto"/>
        <w:bottom w:val="none" w:sz="0" w:space="0" w:color="auto"/>
        <w:right w:val="none" w:sz="0" w:space="0" w:color="auto"/>
      </w:divBdr>
      <w:divsChild>
        <w:div w:id="2054384534">
          <w:marLeft w:val="0"/>
          <w:marRight w:val="0"/>
          <w:marTop w:val="144"/>
          <w:marBottom w:val="144"/>
          <w:divBdr>
            <w:top w:val="none" w:sz="0" w:space="0" w:color="auto"/>
            <w:left w:val="none" w:sz="0" w:space="0" w:color="auto"/>
            <w:bottom w:val="none" w:sz="0" w:space="0" w:color="auto"/>
            <w:right w:val="none" w:sz="0" w:space="0" w:color="auto"/>
          </w:divBdr>
        </w:div>
      </w:divsChild>
    </w:div>
    <w:div w:id="2015067311">
      <w:bodyDiv w:val="1"/>
      <w:marLeft w:val="0"/>
      <w:marRight w:val="0"/>
      <w:marTop w:val="0"/>
      <w:marBottom w:val="0"/>
      <w:divBdr>
        <w:top w:val="none" w:sz="0" w:space="0" w:color="auto"/>
        <w:left w:val="none" w:sz="0" w:space="0" w:color="auto"/>
        <w:bottom w:val="none" w:sz="0" w:space="0" w:color="auto"/>
        <w:right w:val="none" w:sz="0" w:space="0" w:color="auto"/>
      </w:divBdr>
    </w:div>
    <w:div w:id="2015306042">
      <w:bodyDiv w:val="1"/>
      <w:marLeft w:val="0"/>
      <w:marRight w:val="0"/>
      <w:marTop w:val="0"/>
      <w:marBottom w:val="0"/>
      <w:divBdr>
        <w:top w:val="none" w:sz="0" w:space="0" w:color="auto"/>
        <w:left w:val="none" w:sz="0" w:space="0" w:color="auto"/>
        <w:bottom w:val="none" w:sz="0" w:space="0" w:color="auto"/>
        <w:right w:val="none" w:sz="0" w:space="0" w:color="auto"/>
      </w:divBdr>
    </w:div>
    <w:div w:id="2015567383">
      <w:bodyDiv w:val="1"/>
      <w:marLeft w:val="0"/>
      <w:marRight w:val="0"/>
      <w:marTop w:val="0"/>
      <w:marBottom w:val="0"/>
      <w:divBdr>
        <w:top w:val="none" w:sz="0" w:space="0" w:color="auto"/>
        <w:left w:val="none" w:sz="0" w:space="0" w:color="auto"/>
        <w:bottom w:val="none" w:sz="0" w:space="0" w:color="auto"/>
        <w:right w:val="none" w:sz="0" w:space="0" w:color="auto"/>
      </w:divBdr>
    </w:div>
    <w:div w:id="2017342751">
      <w:bodyDiv w:val="1"/>
      <w:marLeft w:val="0"/>
      <w:marRight w:val="0"/>
      <w:marTop w:val="0"/>
      <w:marBottom w:val="0"/>
      <w:divBdr>
        <w:top w:val="none" w:sz="0" w:space="0" w:color="auto"/>
        <w:left w:val="none" w:sz="0" w:space="0" w:color="auto"/>
        <w:bottom w:val="none" w:sz="0" w:space="0" w:color="auto"/>
        <w:right w:val="none" w:sz="0" w:space="0" w:color="auto"/>
      </w:divBdr>
    </w:div>
    <w:div w:id="2018538148">
      <w:bodyDiv w:val="1"/>
      <w:marLeft w:val="0"/>
      <w:marRight w:val="0"/>
      <w:marTop w:val="0"/>
      <w:marBottom w:val="0"/>
      <w:divBdr>
        <w:top w:val="none" w:sz="0" w:space="0" w:color="auto"/>
        <w:left w:val="none" w:sz="0" w:space="0" w:color="auto"/>
        <w:bottom w:val="none" w:sz="0" w:space="0" w:color="auto"/>
        <w:right w:val="none" w:sz="0" w:space="0" w:color="auto"/>
      </w:divBdr>
    </w:div>
    <w:div w:id="2018918891">
      <w:bodyDiv w:val="1"/>
      <w:marLeft w:val="0"/>
      <w:marRight w:val="0"/>
      <w:marTop w:val="0"/>
      <w:marBottom w:val="0"/>
      <w:divBdr>
        <w:top w:val="none" w:sz="0" w:space="0" w:color="auto"/>
        <w:left w:val="none" w:sz="0" w:space="0" w:color="auto"/>
        <w:bottom w:val="none" w:sz="0" w:space="0" w:color="auto"/>
        <w:right w:val="none" w:sz="0" w:space="0" w:color="auto"/>
      </w:divBdr>
    </w:div>
    <w:div w:id="2019114913">
      <w:bodyDiv w:val="1"/>
      <w:marLeft w:val="0"/>
      <w:marRight w:val="0"/>
      <w:marTop w:val="0"/>
      <w:marBottom w:val="0"/>
      <w:divBdr>
        <w:top w:val="none" w:sz="0" w:space="0" w:color="auto"/>
        <w:left w:val="none" w:sz="0" w:space="0" w:color="auto"/>
        <w:bottom w:val="none" w:sz="0" w:space="0" w:color="auto"/>
        <w:right w:val="none" w:sz="0" w:space="0" w:color="auto"/>
      </w:divBdr>
    </w:div>
    <w:div w:id="2020043292">
      <w:bodyDiv w:val="1"/>
      <w:marLeft w:val="0"/>
      <w:marRight w:val="0"/>
      <w:marTop w:val="0"/>
      <w:marBottom w:val="0"/>
      <w:divBdr>
        <w:top w:val="none" w:sz="0" w:space="0" w:color="auto"/>
        <w:left w:val="none" w:sz="0" w:space="0" w:color="auto"/>
        <w:bottom w:val="none" w:sz="0" w:space="0" w:color="auto"/>
        <w:right w:val="none" w:sz="0" w:space="0" w:color="auto"/>
      </w:divBdr>
    </w:div>
    <w:div w:id="2020232634">
      <w:bodyDiv w:val="1"/>
      <w:marLeft w:val="0"/>
      <w:marRight w:val="0"/>
      <w:marTop w:val="0"/>
      <w:marBottom w:val="0"/>
      <w:divBdr>
        <w:top w:val="none" w:sz="0" w:space="0" w:color="auto"/>
        <w:left w:val="none" w:sz="0" w:space="0" w:color="auto"/>
        <w:bottom w:val="none" w:sz="0" w:space="0" w:color="auto"/>
        <w:right w:val="none" w:sz="0" w:space="0" w:color="auto"/>
      </w:divBdr>
    </w:div>
    <w:div w:id="2021738079">
      <w:bodyDiv w:val="1"/>
      <w:marLeft w:val="0"/>
      <w:marRight w:val="0"/>
      <w:marTop w:val="0"/>
      <w:marBottom w:val="0"/>
      <w:divBdr>
        <w:top w:val="none" w:sz="0" w:space="0" w:color="auto"/>
        <w:left w:val="none" w:sz="0" w:space="0" w:color="auto"/>
        <w:bottom w:val="none" w:sz="0" w:space="0" w:color="auto"/>
        <w:right w:val="none" w:sz="0" w:space="0" w:color="auto"/>
      </w:divBdr>
    </w:div>
    <w:div w:id="2022009478">
      <w:bodyDiv w:val="1"/>
      <w:marLeft w:val="0"/>
      <w:marRight w:val="0"/>
      <w:marTop w:val="0"/>
      <w:marBottom w:val="0"/>
      <w:divBdr>
        <w:top w:val="none" w:sz="0" w:space="0" w:color="auto"/>
        <w:left w:val="none" w:sz="0" w:space="0" w:color="auto"/>
        <w:bottom w:val="none" w:sz="0" w:space="0" w:color="auto"/>
        <w:right w:val="none" w:sz="0" w:space="0" w:color="auto"/>
      </w:divBdr>
    </w:div>
    <w:div w:id="2022202777">
      <w:bodyDiv w:val="1"/>
      <w:marLeft w:val="0"/>
      <w:marRight w:val="0"/>
      <w:marTop w:val="0"/>
      <w:marBottom w:val="0"/>
      <w:divBdr>
        <w:top w:val="none" w:sz="0" w:space="0" w:color="auto"/>
        <w:left w:val="none" w:sz="0" w:space="0" w:color="auto"/>
        <w:bottom w:val="none" w:sz="0" w:space="0" w:color="auto"/>
        <w:right w:val="none" w:sz="0" w:space="0" w:color="auto"/>
      </w:divBdr>
    </w:div>
    <w:div w:id="2022589251">
      <w:bodyDiv w:val="1"/>
      <w:marLeft w:val="0"/>
      <w:marRight w:val="0"/>
      <w:marTop w:val="0"/>
      <w:marBottom w:val="0"/>
      <w:divBdr>
        <w:top w:val="none" w:sz="0" w:space="0" w:color="auto"/>
        <w:left w:val="none" w:sz="0" w:space="0" w:color="auto"/>
        <w:bottom w:val="none" w:sz="0" w:space="0" w:color="auto"/>
        <w:right w:val="none" w:sz="0" w:space="0" w:color="auto"/>
      </w:divBdr>
    </w:div>
    <w:div w:id="2023119099">
      <w:bodyDiv w:val="1"/>
      <w:marLeft w:val="0"/>
      <w:marRight w:val="0"/>
      <w:marTop w:val="0"/>
      <w:marBottom w:val="0"/>
      <w:divBdr>
        <w:top w:val="none" w:sz="0" w:space="0" w:color="auto"/>
        <w:left w:val="none" w:sz="0" w:space="0" w:color="auto"/>
        <w:bottom w:val="none" w:sz="0" w:space="0" w:color="auto"/>
        <w:right w:val="none" w:sz="0" w:space="0" w:color="auto"/>
      </w:divBdr>
    </w:div>
    <w:div w:id="2023699564">
      <w:bodyDiv w:val="1"/>
      <w:marLeft w:val="0"/>
      <w:marRight w:val="0"/>
      <w:marTop w:val="0"/>
      <w:marBottom w:val="0"/>
      <w:divBdr>
        <w:top w:val="none" w:sz="0" w:space="0" w:color="auto"/>
        <w:left w:val="none" w:sz="0" w:space="0" w:color="auto"/>
        <w:bottom w:val="none" w:sz="0" w:space="0" w:color="auto"/>
        <w:right w:val="none" w:sz="0" w:space="0" w:color="auto"/>
      </w:divBdr>
    </w:div>
    <w:div w:id="2024092076">
      <w:bodyDiv w:val="1"/>
      <w:marLeft w:val="0"/>
      <w:marRight w:val="0"/>
      <w:marTop w:val="0"/>
      <w:marBottom w:val="0"/>
      <w:divBdr>
        <w:top w:val="none" w:sz="0" w:space="0" w:color="auto"/>
        <w:left w:val="none" w:sz="0" w:space="0" w:color="auto"/>
        <w:bottom w:val="none" w:sz="0" w:space="0" w:color="auto"/>
        <w:right w:val="none" w:sz="0" w:space="0" w:color="auto"/>
      </w:divBdr>
    </w:div>
    <w:div w:id="2025207782">
      <w:bodyDiv w:val="1"/>
      <w:marLeft w:val="0"/>
      <w:marRight w:val="0"/>
      <w:marTop w:val="0"/>
      <w:marBottom w:val="0"/>
      <w:divBdr>
        <w:top w:val="none" w:sz="0" w:space="0" w:color="auto"/>
        <w:left w:val="none" w:sz="0" w:space="0" w:color="auto"/>
        <w:bottom w:val="none" w:sz="0" w:space="0" w:color="auto"/>
        <w:right w:val="none" w:sz="0" w:space="0" w:color="auto"/>
      </w:divBdr>
    </w:div>
    <w:div w:id="2026128665">
      <w:bodyDiv w:val="1"/>
      <w:marLeft w:val="0"/>
      <w:marRight w:val="0"/>
      <w:marTop w:val="0"/>
      <w:marBottom w:val="0"/>
      <w:divBdr>
        <w:top w:val="none" w:sz="0" w:space="0" w:color="auto"/>
        <w:left w:val="none" w:sz="0" w:space="0" w:color="auto"/>
        <w:bottom w:val="none" w:sz="0" w:space="0" w:color="auto"/>
        <w:right w:val="none" w:sz="0" w:space="0" w:color="auto"/>
      </w:divBdr>
    </w:div>
    <w:div w:id="2026442001">
      <w:bodyDiv w:val="1"/>
      <w:marLeft w:val="0"/>
      <w:marRight w:val="0"/>
      <w:marTop w:val="0"/>
      <w:marBottom w:val="0"/>
      <w:divBdr>
        <w:top w:val="none" w:sz="0" w:space="0" w:color="auto"/>
        <w:left w:val="none" w:sz="0" w:space="0" w:color="auto"/>
        <w:bottom w:val="none" w:sz="0" w:space="0" w:color="auto"/>
        <w:right w:val="none" w:sz="0" w:space="0" w:color="auto"/>
      </w:divBdr>
    </w:div>
    <w:div w:id="2026595467">
      <w:bodyDiv w:val="1"/>
      <w:marLeft w:val="0"/>
      <w:marRight w:val="0"/>
      <w:marTop w:val="0"/>
      <w:marBottom w:val="0"/>
      <w:divBdr>
        <w:top w:val="none" w:sz="0" w:space="0" w:color="auto"/>
        <w:left w:val="none" w:sz="0" w:space="0" w:color="auto"/>
        <w:bottom w:val="none" w:sz="0" w:space="0" w:color="auto"/>
        <w:right w:val="none" w:sz="0" w:space="0" w:color="auto"/>
      </w:divBdr>
    </w:div>
    <w:div w:id="2027124207">
      <w:bodyDiv w:val="1"/>
      <w:marLeft w:val="0"/>
      <w:marRight w:val="0"/>
      <w:marTop w:val="0"/>
      <w:marBottom w:val="0"/>
      <w:divBdr>
        <w:top w:val="none" w:sz="0" w:space="0" w:color="auto"/>
        <w:left w:val="none" w:sz="0" w:space="0" w:color="auto"/>
        <w:bottom w:val="none" w:sz="0" w:space="0" w:color="auto"/>
        <w:right w:val="none" w:sz="0" w:space="0" w:color="auto"/>
      </w:divBdr>
    </w:div>
    <w:div w:id="2027902361">
      <w:bodyDiv w:val="1"/>
      <w:marLeft w:val="0"/>
      <w:marRight w:val="0"/>
      <w:marTop w:val="0"/>
      <w:marBottom w:val="0"/>
      <w:divBdr>
        <w:top w:val="none" w:sz="0" w:space="0" w:color="auto"/>
        <w:left w:val="none" w:sz="0" w:space="0" w:color="auto"/>
        <w:bottom w:val="none" w:sz="0" w:space="0" w:color="auto"/>
        <w:right w:val="none" w:sz="0" w:space="0" w:color="auto"/>
      </w:divBdr>
    </w:div>
    <w:div w:id="2028016773">
      <w:bodyDiv w:val="1"/>
      <w:marLeft w:val="0"/>
      <w:marRight w:val="0"/>
      <w:marTop w:val="0"/>
      <w:marBottom w:val="0"/>
      <w:divBdr>
        <w:top w:val="none" w:sz="0" w:space="0" w:color="auto"/>
        <w:left w:val="none" w:sz="0" w:space="0" w:color="auto"/>
        <w:bottom w:val="none" w:sz="0" w:space="0" w:color="auto"/>
        <w:right w:val="none" w:sz="0" w:space="0" w:color="auto"/>
      </w:divBdr>
    </w:div>
    <w:div w:id="2028601362">
      <w:bodyDiv w:val="1"/>
      <w:marLeft w:val="0"/>
      <w:marRight w:val="0"/>
      <w:marTop w:val="0"/>
      <w:marBottom w:val="0"/>
      <w:divBdr>
        <w:top w:val="none" w:sz="0" w:space="0" w:color="auto"/>
        <w:left w:val="none" w:sz="0" w:space="0" w:color="auto"/>
        <w:bottom w:val="none" w:sz="0" w:space="0" w:color="auto"/>
        <w:right w:val="none" w:sz="0" w:space="0" w:color="auto"/>
      </w:divBdr>
    </w:div>
    <w:div w:id="2028944625">
      <w:bodyDiv w:val="1"/>
      <w:marLeft w:val="0"/>
      <w:marRight w:val="0"/>
      <w:marTop w:val="0"/>
      <w:marBottom w:val="0"/>
      <w:divBdr>
        <w:top w:val="none" w:sz="0" w:space="0" w:color="auto"/>
        <w:left w:val="none" w:sz="0" w:space="0" w:color="auto"/>
        <w:bottom w:val="none" w:sz="0" w:space="0" w:color="auto"/>
        <w:right w:val="none" w:sz="0" w:space="0" w:color="auto"/>
      </w:divBdr>
    </w:div>
    <w:div w:id="2029331683">
      <w:bodyDiv w:val="1"/>
      <w:marLeft w:val="0"/>
      <w:marRight w:val="0"/>
      <w:marTop w:val="0"/>
      <w:marBottom w:val="0"/>
      <w:divBdr>
        <w:top w:val="none" w:sz="0" w:space="0" w:color="auto"/>
        <w:left w:val="none" w:sz="0" w:space="0" w:color="auto"/>
        <w:bottom w:val="none" w:sz="0" w:space="0" w:color="auto"/>
        <w:right w:val="none" w:sz="0" w:space="0" w:color="auto"/>
      </w:divBdr>
    </w:div>
    <w:div w:id="2030988028">
      <w:bodyDiv w:val="1"/>
      <w:marLeft w:val="0"/>
      <w:marRight w:val="0"/>
      <w:marTop w:val="0"/>
      <w:marBottom w:val="0"/>
      <w:divBdr>
        <w:top w:val="none" w:sz="0" w:space="0" w:color="auto"/>
        <w:left w:val="none" w:sz="0" w:space="0" w:color="auto"/>
        <w:bottom w:val="none" w:sz="0" w:space="0" w:color="auto"/>
        <w:right w:val="none" w:sz="0" w:space="0" w:color="auto"/>
      </w:divBdr>
    </w:div>
    <w:div w:id="2031175594">
      <w:bodyDiv w:val="1"/>
      <w:marLeft w:val="0"/>
      <w:marRight w:val="0"/>
      <w:marTop w:val="0"/>
      <w:marBottom w:val="0"/>
      <w:divBdr>
        <w:top w:val="none" w:sz="0" w:space="0" w:color="auto"/>
        <w:left w:val="none" w:sz="0" w:space="0" w:color="auto"/>
        <w:bottom w:val="none" w:sz="0" w:space="0" w:color="auto"/>
        <w:right w:val="none" w:sz="0" w:space="0" w:color="auto"/>
      </w:divBdr>
    </w:div>
    <w:div w:id="2032100566">
      <w:bodyDiv w:val="1"/>
      <w:marLeft w:val="0"/>
      <w:marRight w:val="0"/>
      <w:marTop w:val="0"/>
      <w:marBottom w:val="0"/>
      <w:divBdr>
        <w:top w:val="none" w:sz="0" w:space="0" w:color="auto"/>
        <w:left w:val="none" w:sz="0" w:space="0" w:color="auto"/>
        <w:bottom w:val="none" w:sz="0" w:space="0" w:color="auto"/>
        <w:right w:val="none" w:sz="0" w:space="0" w:color="auto"/>
      </w:divBdr>
    </w:div>
    <w:div w:id="2032105423">
      <w:bodyDiv w:val="1"/>
      <w:marLeft w:val="0"/>
      <w:marRight w:val="0"/>
      <w:marTop w:val="0"/>
      <w:marBottom w:val="0"/>
      <w:divBdr>
        <w:top w:val="none" w:sz="0" w:space="0" w:color="auto"/>
        <w:left w:val="none" w:sz="0" w:space="0" w:color="auto"/>
        <w:bottom w:val="none" w:sz="0" w:space="0" w:color="auto"/>
        <w:right w:val="none" w:sz="0" w:space="0" w:color="auto"/>
      </w:divBdr>
    </w:div>
    <w:div w:id="2032491435">
      <w:bodyDiv w:val="1"/>
      <w:marLeft w:val="0"/>
      <w:marRight w:val="0"/>
      <w:marTop w:val="0"/>
      <w:marBottom w:val="0"/>
      <w:divBdr>
        <w:top w:val="none" w:sz="0" w:space="0" w:color="auto"/>
        <w:left w:val="none" w:sz="0" w:space="0" w:color="auto"/>
        <w:bottom w:val="none" w:sz="0" w:space="0" w:color="auto"/>
        <w:right w:val="none" w:sz="0" w:space="0" w:color="auto"/>
      </w:divBdr>
    </w:div>
    <w:div w:id="2032758261">
      <w:bodyDiv w:val="1"/>
      <w:marLeft w:val="0"/>
      <w:marRight w:val="0"/>
      <w:marTop w:val="0"/>
      <w:marBottom w:val="0"/>
      <w:divBdr>
        <w:top w:val="none" w:sz="0" w:space="0" w:color="auto"/>
        <w:left w:val="none" w:sz="0" w:space="0" w:color="auto"/>
        <w:bottom w:val="none" w:sz="0" w:space="0" w:color="auto"/>
        <w:right w:val="none" w:sz="0" w:space="0" w:color="auto"/>
      </w:divBdr>
    </w:div>
    <w:div w:id="2033073912">
      <w:bodyDiv w:val="1"/>
      <w:marLeft w:val="0"/>
      <w:marRight w:val="0"/>
      <w:marTop w:val="0"/>
      <w:marBottom w:val="0"/>
      <w:divBdr>
        <w:top w:val="none" w:sz="0" w:space="0" w:color="auto"/>
        <w:left w:val="none" w:sz="0" w:space="0" w:color="auto"/>
        <w:bottom w:val="none" w:sz="0" w:space="0" w:color="auto"/>
        <w:right w:val="none" w:sz="0" w:space="0" w:color="auto"/>
      </w:divBdr>
    </w:div>
    <w:div w:id="2035108069">
      <w:bodyDiv w:val="1"/>
      <w:marLeft w:val="0"/>
      <w:marRight w:val="0"/>
      <w:marTop w:val="0"/>
      <w:marBottom w:val="0"/>
      <w:divBdr>
        <w:top w:val="none" w:sz="0" w:space="0" w:color="auto"/>
        <w:left w:val="none" w:sz="0" w:space="0" w:color="auto"/>
        <w:bottom w:val="none" w:sz="0" w:space="0" w:color="auto"/>
        <w:right w:val="none" w:sz="0" w:space="0" w:color="auto"/>
      </w:divBdr>
    </w:div>
    <w:div w:id="2036811280">
      <w:bodyDiv w:val="1"/>
      <w:marLeft w:val="0"/>
      <w:marRight w:val="0"/>
      <w:marTop w:val="0"/>
      <w:marBottom w:val="0"/>
      <w:divBdr>
        <w:top w:val="none" w:sz="0" w:space="0" w:color="auto"/>
        <w:left w:val="none" w:sz="0" w:space="0" w:color="auto"/>
        <w:bottom w:val="none" w:sz="0" w:space="0" w:color="auto"/>
        <w:right w:val="none" w:sz="0" w:space="0" w:color="auto"/>
      </w:divBdr>
    </w:div>
    <w:div w:id="2037344055">
      <w:bodyDiv w:val="1"/>
      <w:marLeft w:val="0"/>
      <w:marRight w:val="0"/>
      <w:marTop w:val="0"/>
      <w:marBottom w:val="0"/>
      <w:divBdr>
        <w:top w:val="none" w:sz="0" w:space="0" w:color="auto"/>
        <w:left w:val="none" w:sz="0" w:space="0" w:color="auto"/>
        <w:bottom w:val="none" w:sz="0" w:space="0" w:color="auto"/>
        <w:right w:val="none" w:sz="0" w:space="0" w:color="auto"/>
      </w:divBdr>
    </w:div>
    <w:div w:id="2037536524">
      <w:bodyDiv w:val="1"/>
      <w:marLeft w:val="0"/>
      <w:marRight w:val="0"/>
      <w:marTop w:val="0"/>
      <w:marBottom w:val="0"/>
      <w:divBdr>
        <w:top w:val="none" w:sz="0" w:space="0" w:color="auto"/>
        <w:left w:val="none" w:sz="0" w:space="0" w:color="auto"/>
        <w:bottom w:val="none" w:sz="0" w:space="0" w:color="auto"/>
        <w:right w:val="none" w:sz="0" w:space="0" w:color="auto"/>
      </w:divBdr>
    </w:div>
    <w:div w:id="2040276780">
      <w:bodyDiv w:val="1"/>
      <w:marLeft w:val="0"/>
      <w:marRight w:val="0"/>
      <w:marTop w:val="0"/>
      <w:marBottom w:val="0"/>
      <w:divBdr>
        <w:top w:val="none" w:sz="0" w:space="0" w:color="auto"/>
        <w:left w:val="none" w:sz="0" w:space="0" w:color="auto"/>
        <w:bottom w:val="none" w:sz="0" w:space="0" w:color="auto"/>
        <w:right w:val="none" w:sz="0" w:space="0" w:color="auto"/>
      </w:divBdr>
    </w:div>
    <w:div w:id="2042322881">
      <w:bodyDiv w:val="1"/>
      <w:marLeft w:val="0"/>
      <w:marRight w:val="0"/>
      <w:marTop w:val="0"/>
      <w:marBottom w:val="0"/>
      <w:divBdr>
        <w:top w:val="none" w:sz="0" w:space="0" w:color="auto"/>
        <w:left w:val="none" w:sz="0" w:space="0" w:color="auto"/>
        <w:bottom w:val="none" w:sz="0" w:space="0" w:color="auto"/>
        <w:right w:val="none" w:sz="0" w:space="0" w:color="auto"/>
      </w:divBdr>
    </w:div>
    <w:div w:id="2044548203">
      <w:bodyDiv w:val="1"/>
      <w:marLeft w:val="0"/>
      <w:marRight w:val="0"/>
      <w:marTop w:val="0"/>
      <w:marBottom w:val="0"/>
      <w:divBdr>
        <w:top w:val="none" w:sz="0" w:space="0" w:color="auto"/>
        <w:left w:val="none" w:sz="0" w:space="0" w:color="auto"/>
        <w:bottom w:val="none" w:sz="0" w:space="0" w:color="auto"/>
        <w:right w:val="none" w:sz="0" w:space="0" w:color="auto"/>
      </w:divBdr>
    </w:div>
    <w:div w:id="2045061265">
      <w:bodyDiv w:val="1"/>
      <w:marLeft w:val="0"/>
      <w:marRight w:val="0"/>
      <w:marTop w:val="0"/>
      <w:marBottom w:val="0"/>
      <w:divBdr>
        <w:top w:val="none" w:sz="0" w:space="0" w:color="auto"/>
        <w:left w:val="none" w:sz="0" w:space="0" w:color="auto"/>
        <w:bottom w:val="none" w:sz="0" w:space="0" w:color="auto"/>
        <w:right w:val="none" w:sz="0" w:space="0" w:color="auto"/>
      </w:divBdr>
    </w:div>
    <w:div w:id="2045447367">
      <w:bodyDiv w:val="1"/>
      <w:marLeft w:val="0"/>
      <w:marRight w:val="0"/>
      <w:marTop w:val="0"/>
      <w:marBottom w:val="0"/>
      <w:divBdr>
        <w:top w:val="none" w:sz="0" w:space="0" w:color="auto"/>
        <w:left w:val="none" w:sz="0" w:space="0" w:color="auto"/>
        <w:bottom w:val="none" w:sz="0" w:space="0" w:color="auto"/>
        <w:right w:val="none" w:sz="0" w:space="0" w:color="auto"/>
      </w:divBdr>
    </w:div>
    <w:div w:id="2047094686">
      <w:bodyDiv w:val="1"/>
      <w:marLeft w:val="0"/>
      <w:marRight w:val="0"/>
      <w:marTop w:val="0"/>
      <w:marBottom w:val="0"/>
      <w:divBdr>
        <w:top w:val="none" w:sz="0" w:space="0" w:color="auto"/>
        <w:left w:val="none" w:sz="0" w:space="0" w:color="auto"/>
        <w:bottom w:val="none" w:sz="0" w:space="0" w:color="auto"/>
        <w:right w:val="none" w:sz="0" w:space="0" w:color="auto"/>
      </w:divBdr>
    </w:div>
    <w:div w:id="2047682070">
      <w:bodyDiv w:val="1"/>
      <w:marLeft w:val="0"/>
      <w:marRight w:val="0"/>
      <w:marTop w:val="0"/>
      <w:marBottom w:val="0"/>
      <w:divBdr>
        <w:top w:val="none" w:sz="0" w:space="0" w:color="auto"/>
        <w:left w:val="none" w:sz="0" w:space="0" w:color="auto"/>
        <w:bottom w:val="none" w:sz="0" w:space="0" w:color="auto"/>
        <w:right w:val="none" w:sz="0" w:space="0" w:color="auto"/>
      </w:divBdr>
    </w:div>
    <w:div w:id="2048021728">
      <w:bodyDiv w:val="1"/>
      <w:marLeft w:val="0"/>
      <w:marRight w:val="0"/>
      <w:marTop w:val="0"/>
      <w:marBottom w:val="0"/>
      <w:divBdr>
        <w:top w:val="none" w:sz="0" w:space="0" w:color="auto"/>
        <w:left w:val="none" w:sz="0" w:space="0" w:color="auto"/>
        <w:bottom w:val="none" w:sz="0" w:space="0" w:color="auto"/>
        <w:right w:val="none" w:sz="0" w:space="0" w:color="auto"/>
      </w:divBdr>
    </w:div>
    <w:div w:id="2048136949">
      <w:bodyDiv w:val="1"/>
      <w:marLeft w:val="0"/>
      <w:marRight w:val="0"/>
      <w:marTop w:val="0"/>
      <w:marBottom w:val="0"/>
      <w:divBdr>
        <w:top w:val="none" w:sz="0" w:space="0" w:color="auto"/>
        <w:left w:val="none" w:sz="0" w:space="0" w:color="auto"/>
        <w:bottom w:val="none" w:sz="0" w:space="0" w:color="auto"/>
        <w:right w:val="none" w:sz="0" w:space="0" w:color="auto"/>
      </w:divBdr>
    </w:div>
    <w:div w:id="2048293206">
      <w:bodyDiv w:val="1"/>
      <w:marLeft w:val="0"/>
      <w:marRight w:val="0"/>
      <w:marTop w:val="0"/>
      <w:marBottom w:val="0"/>
      <w:divBdr>
        <w:top w:val="none" w:sz="0" w:space="0" w:color="auto"/>
        <w:left w:val="none" w:sz="0" w:space="0" w:color="auto"/>
        <w:bottom w:val="none" w:sz="0" w:space="0" w:color="auto"/>
        <w:right w:val="none" w:sz="0" w:space="0" w:color="auto"/>
      </w:divBdr>
    </w:div>
    <w:div w:id="2048600742">
      <w:bodyDiv w:val="1"/>
      <w:marLeft w:val="0"/>
      <w:marRight w:val="0"/>
      <w:marTop w:val="0"/>
      <w:marBottom w:val="0"/>
      <w:divBdr>
        <w:top w:val="none" w:sz="0" w:space="0" w:color="auto"/>
        <w:left w:val="none" w:sz="0" w:space="0" w:color="auto"/>
        <w:bottom w:val="none" w:sz="0" w:space="0" w:color="auto"/>
        <w:right w:val="none" w:sz="0" w:space="0" w:color="auto"/>
      </w:divBdr>
    </w:div>
    <w:div w:id="2051761788">
      <w:bodyDiv w:val="1"/>
      <w:marLeft w:val="0"/>
      <w:marRight w:val="0"/>
      <w:marTop w:val="0"/>
      <w:marBottom w:val="0"/>
      <w:divBdr>
        <w:top w:val="none" w:sz="0" w:space="0" w:color="auto"/>
        <w:left w:val="none" w:sz="0" w:space="0" w:color="auto"/>
        <w:bottom w:val="none" w:sz="0" w:space="0" w:color="auto"/>
        <w:right w:val="none" w:sz="0" w:space="0" w:color="auto"/>
      </w:divBdr>
    </w:div>
    <w:div w:id="2051951722">
      <w:bodyDiv w:val="1"/>
      <w:marLeft w:val="0"/>
      <w:marRight w:val="0"/>
      <w:marTop w:val="0"/>
      <w:marBottom w:val="0"/>
      <w:divBdr>
        <w:top w:val="none" w:sz="0" w:space="0" w:color="auto"/>
        <w:left w:val="none" w:sz="0" w:space="0" w:color="auto"/>
        <w:bottom w:val="none" w:sz="0" w:space="0" w:color="auto"/>
        <w:right w:val="none" w:sz="0" w:space="0" w:color="auto"/>
      </w:divBdr>
    </w:div>
    <w:div w:id="2052727832">
      <w:bodyDiv w:val="1"/>
      <w:marLeft w:val="0"/>
      <w:marRight w:val="0"/>
      <w:marTop w:val="0"/>
      <w:marBottom w:val="0"/>
      <w:divBdr>
        <w:top w:val="none" w:sz="0" w:space="0" w:color="auto"/>
        <w:left w:val="none" w:sz="0" w:space="0" w:color="auto"/>
        <w:bottom w:val="none" w:sz="0" w:space="0" w:color="auto"/>
        <w:right w:val="none" w:sz="0" w:space="0" w:color="auto"/>
      </w:divBdr>
    </w:div>
    <w:div w:id="2053185651">
      <w:bodyDiv w:val="1"/>
      <w:marLeft w:val="0"/>
      <w:marRight w:val="0"/>
      <w:marTop w:val="0"/>
      <w:marBottom w:val="0"/>
      <w:divBdr>
        <w:top w:val="none" w:sz="0" w:space="0" w:color="auto"/>
        <w:left w:val="none" w:sz="0" w:space="0" w:color="auto"/>
        <w:bottom w:val="none" w:sz="0" w:space="0" w:color="auto"/>
        <w:right w:val="none" w:sz="0" w:space="0" w:color="auto"/>
      </w:divBdr>
    </w:div>
    <w:div w:id="2054303869">
      <w:bodyDiv w:val="1"/>
      <w:marLeft w:val="0"/>
      <w:marRight w:val="0"/>
      <w:marTop w:val="0"/>
      <w:marBottom w:val="0"/>
      <w:divBdr>
        <w:top w:val="none" w:sz="0" w:space="0" w:color="auto"/>
        <w:left w:val="none" w:sz="0" w:space="0" w:color="auto"/>
        <w:bottom w:val="none" w:sz="0" w:space="0" w:color="auto"/>
        <w:right w:val="none" w:sz="0" w:space="0" w:color="auto"/>
      </w:divBdr>
    </w:div>
    <w:div w:id="2054619225">
      <w:bodyDiv w:val="1"/>
      <w:marLeft w:val="0"/>
      <w:marRight w:val="0"/>
      <w:marTop w:val="0"/>
      <w:marBottom w:val="0"/>
      <w:divBdr>
        <w:top w:val="none" w:sz="0" w:space="0" w:color="auto"/>
        <w:left w:val="none" w:sz="0" w:space="0" w:color="auto"/>
        <w:bottom w:val="none" w:sz="0" w:space="0" w:color="auto"/>
        <w:right w:val="none" w:sz="0" w:space="0" w:color="auto"/>
      </w:divBdr>
    </w:div>
    <w:div w:id="2055502489">
      <w:bodyDiv w:val="1"/>
      <w:marLeft w:val="0"/>
      <w:marRight w:val="0"/>
      <w:marTop w:val="0"/>
      <w:marBottom w:val="0"/>
      <w:divBdr>
        <w:top w:val="none" w:sz="0" w:space="0" w:color="auto"/>
        <w:left w:val="none" w:sz="0" w:space="0" w:color="auto"/>
        <w:bottom w:val="none" w:sz="0" w:space="0" w:color="auto"/>
        <w:right w:val="none" w:sz="0" w:space="0" w:color="auto"/>
      </w:divBdr>
    </w:div>
    <w:div w:id="2056345977">
      <w:bodyDiv w:val="1"/>
      <w:marLeft w:val="0"/>
      <w:marRight w:val="0"/>
      <w:marTop w:val="0"/>
      <w:marBottom w:val="0"/>
      <w:divBdr>
        <w:top w:val="none" w:sz="0" w:space="0" w:color="auto"/>
        <w:left w:val="none" w:sz="0" w:space="0" w:color="auto"/>
        <w:bottom w:val="none" w:sz="0" w:space="0" w:color="auto"/>
        <w:right w:val="none" w:sz="0" w:space="0" w:color="auto"/>
      </w:divBdr>
    </w:div>
    <w:div w:id="2056929095">
      <w:bodyDiv w:val="1"/>
      <w:marLeft w:val="0"/>
      <w:marRight w:val="0"/>
      <w:marTop w:val="0"/>
      <w:marBottom w:val="0"/>
      <w:divBdr>
        <w:top w:val="none" w:sz="0" w:space="0" w:color="auto"/>
        <w:left w:val="none" w:sz="0" w:space="0" w:color="auto"/>
        <w:bottom w:val="none" w:sz="0" w:space="0" w:color="auto"/>
        <w:right w:val="none" w:sz="0" w:space="0" w:color="auto"/>
      </w:divBdr>
    </w:div>
    <w:div w:id="2057006145">
      <w:bodyDiv w:val="1"/>
      <w:marLeft w:val="0"/>
      <w:marRight w:val="0"/>
      <w:marTop w:val="0"/>
      <w:marBottom w:val="0"/>
      <w:divBdr>
        <w:top w:val="none" w:sz="0" w:space="0" w:color="auto"/>
        <w:left w:val="none" w:sz="0" w:space="0" w:color="auto"/>
        <w:bottom w:val="none" w:sz="0" w:space="0" w:color="auto"/>
        <w:right w:val="none" w:sz="0" w:space="0" w:color="auto"/>
      </w:divBdr>
    </w:div>
    <w:div w:id="2058433365">
      <w:bodyDiv w:val="1"/>
      <w:marLeft w:val="0"/>
      <w:marRight w:val="0"/>
      <w:marTop w:val="0"/>
      <w:marBottom w:val="0"/>
      <w:divBdr>
        <w:top w:val="none" w:sz="0" w:space="0" w:color="auto"/>
        <w:left w:val="none" w:sz="0" w:space="0" w:color="auto"/>
        <w:bottom w:val="none" w:sz="0" w:space="0" w:color="auto"/>
        <w:right w:val="none" w:sz="0" w:space="0" w:color="auto"/>
      </w:divBdr>
    </w:div>
    <w:div w:id="2059815143">
      <w:bodyDiv w:val="1"/>
      <w:marLeft w:val="0"/>
      <w:marRight w:val="0"/>
      <w:marTop w:val="0"/>
      <w:marBottom w:val="0"/>
      <w:divBdr>
        <w:top w:val="none" w:sz="0" w:space="0" w:color="auto"/>
        <w:left w:val="none" w:sz="0" w:space="0" w:color="auto"/>
        <w:bottom w:val="none" w:sz="0" w:space="0" w:color="auto"/>
        <w:right w:val="none" w:sz="0" w:space="0" w:color="auto"/>
      </w:divBdr>
    </w:div>
    <w:div w:id="2060665242">
      <w:bodyDiv w:val="1"/>
      <w:marLeft w:val="0"/>
      <w:marRight w:val="0"/>
      <w:marTop w:val="0"/>
      <w:marBottom w:val="0"/>
      <w:divBdr>
        <w:top w:val="none" w:sz="0" w:space="0" w:color="auto"/>
        <w:left w:val="none" w:sz="0" w:space="0" w:color="auto"/>
        <w:bottom w:val="none" w:sz="0" w:space="0" w:color="auto"/>
        <w:right w:val="none" w:sz="0" w:space="0" w:color="auto"/>
      </w:divBdr>
    </w:div>
    <w:div w:id="2060854598">
      <w:bodyDiv w:val="1"/>
      <w:marLeft w:val="0"/>
      <w:marRight w:val="0"/>
      <w:marTop w:val="0"/>
      <w:marBottom w:val="0"/>
      <w:divBdr>
        <w:top w:val="none" w:sz="0" w:space="0" w:color="auto"/>
        <w:left w:val="none" w:sz="0" w:space="0" w:color="auto"/>
        <w:bottom w:val="none" w:sz="0" w:space="0" w:color="auto"/>
        <w:right w:val="none" w:sz="0" w:space="0" w:color="auto"/>
      </w:divBdr>
    </w:div>
    <w:div w:id="2061129797">
      <w:bodyDiv w:val="1"/>
      <w:marLeft w:val="0"/>
      <w:marRight w:val="0"/>
      <w:marTop w:val="0"/>
      <w:marBottom w:val="0"/>
      <w:divBdr>
        <w:top w:val="none" w:sz="0" w:space="0" w:color="auto"/>
        <w:left w:val="none" w:sz="0" w:space="0" w:color="auto"/>
        <w:bottom w:val="none" w:sz="0" w:space="0" w:color="auto"/>
        <w:right w:val="none" w:sz="0" w:space="0" w:color="auto"/>
      </w:divBdr>
    </w:div>
    <w:div w:id="2062553648">
      <w:bodyDiv w:val="1"/>
      <w:marLeft w:val="0"/>
      <w:marRight w:val="0"/>
      <w:marTop w:val="0"/>
      <w:marBottom w:val="0"/>
      <w:divBdr>
        <w:top w:val="none" w:sz="0" w:space="0" w:color="auto"/>
        <w:left w:val="none" w:sz="0" w:space="0" w:color="auto"/>
        <w:bottom w:val="none" w:sz="0" w:space="0" w:color="auto"/>
        <w:right w:val="none" w:sz="0" w:space="0" w:color="auto"/>
      </w:divBdr>
    </w:div>
    <w:div w:id="2062710385">
      <w:bodyDiv w:val="1"/>
      <w:marLeft w:val="0"/>
      <w:marRight w:val="0"/>
      <w:marTop w:val="0"/>
      <w:marBottom w:val="0"/>
      <w:divBdr>
        <w:top w:val="none" w:sz="0" w:space="0" w:color="auto"/>
        <w:left w:val="none" w:sz="0" w:space="0" w:color="auto"/>
        <w:bottom w:val="none" w:sz="0" w:space="0" w:color="auto"/>
        <w:right w:val="none" w:sz="0" w:space="0" w:color="auto"/>
      </w:divBdr>
    </w:div>
    <w:div w:id="2063090795">
      <w:bodyDiv w:val="1"/>
      <w:marLeft w:val="0"/>
      <w:marRight w:val="0"/>
      <w:marTop w:val="0"/>
      <w:marBottom w:val="0"/>
      <w:divBdr>
        <w:top w:val="none" w:sz="0" w:space="0" w:color="auto"/>
        <w:left w:val="none" w:sz="0" w:space="0" w:color="auto"/>
        <w:bottom w:val="none" w:sz="0" w:space="0" w:color="auto"/>
        <w:right w:val="none" w:sz="0" w:space="0" w:color="auto"/>
      </w:divBdr>
    </w:div>
    <w:div w:id="2063284415">
      <w:bodyDiv w:val="1"/>
      <w:marLeft w:val="0"/>
      <w:marRight w:val="0"/>
      <w:marTop w:val="0"/>
      <w:marBottom w:val="0"/>
      <w:divBdr>
        <w:top w:val="none" w:sz="0" w:space="0" w:color="auto"/>
        <w:left w:val="none" w:sz="0" w:space="0" w:color="auto"/>
        <w:bottom w:val="none" w:sz="0" w:space="0" w:color="auto"/>
        <w:right w:val="none" w:sz="0" w:space="0" w:color="auto"/>
      </w:divBdr>
    </w:div>
    <w:div w:id="2063602061">
      <w:bodyDiv w:val="1"/>
      <w:marLeft w:val="0"/>
      <w:marRight w:val="0"/>
      <w:marTop w:val="0"/>
      <w:marBottom w:val="0"/>
      <w:divBdr>
        <w:top w:val="none" w:sz="0" w:space="0" w:color="auto"/>
        <w:left w:val="none" w:sz="0" w:space="0" w:color="auto"/>
        <w:bottom w:val="none" w:sz="0" w:space="0" w:color="auto"/>
        <w:right w:val="none" w:sz="0" w:space="0" w:color="auto"/>
      </w:divBdr>
    </w:div>
    <w:div w:id="2064713134">
      <w:bodyDiv w:val="1"/>
      <w:marLeft w:val="0"/>
      <w:marRight w:val="0"/>
      <w:marTop w:val="0"/>
      <w:marBottom w:val="0"/>
      <w:divBdr>
        <w:top w:val="none" w:sz="0" w:space="0" w:color="auto"/>
        <w:left w:val="none" w:sz="0" w:space="0" w:color="auto"/>
        <w:bottom w:val="none" w:sz="0" w:space="0" w:color="auto"/>
        <w:right w:val="none" w:sz="0" w:space="0" w:color="auto"/>
      </w:divBdr>
    </w:div>
    <w:div w:id="2065448356">
      <w:bodyDiv w:val="1"/>
      <w:marLeft w:val="0"/>
      <w:marRight w:val="0"/>
      <w:marTop w:val="0"/>
      <w:marBottom w:val="0"/>
      <w:divBdr>
        <w:top w:val="none" w:sz="0" w:space="0" w:color="auto"/>
        <w:left w:val="none" w:sz="0" w:space="0" w:color="auto"/>
        <w:bottom w:val="none" w:sz="0" w:space="0" w:color="auto"/>
        <w:right w:val="none" w:sz="0" w:space="0" w:color="auto"/>
      </w:divBdr>
    </w:div>
    <w:div w:id="2066299140">
      <w:bodyDiv w:val="1"/>
      <w:marLeft w:val="0"/>
      <w:marRight w:val="0"/>
      <w:marTop w:val="0"/>
      <w:marBottom w:val="0"/>
      <w:divBdr>
        <w:top w:val="none" w:sz="0" w:space="0" w:color="auto"/>
        <w:left w:val="none" w:sz="0" w:space="0" w:color="auto"/>
        <w:bottom w:val="none" w:sz="0" w:space="0" w:color="auto"/>
        <w:right w:val="none" w:sz="0" w:space="0" w:color="auto"/>
      </w:divBdr>
    </w:div>
    <w:div w:id="2066637020">
      <w:bodyDiv w:val="1"/>
      <w:marLeft w:val="0"/>
      <w:marRight w:val="0"/>
      <w:marTop w:val="0"/>
      <w:marBottom w:val="0"/>
      <w:divBdr>
        <w:top w:val="none" w:sz="0" w:space="0" w:color="auto"/>
        <w:left w:val="none" w:sz="0" w:space="0" w:color="auto"/>
        <w:bottom w:val="none" w:sz="0" w:space="0" w:color="auto"/>
        <w:right w:val="none" w:sz="0" w:space="0" w:color="auto"/>
      </w:divBdr>
    </w:div>
    <w:div w:id="2068644577">
      <w:bodyDiv w:val="1"/>
      <w:marLeft w:val="0"/>
      <w:marRight w:val="0"/>
      <w:marTop w:val="0"/>
      <w:marBottom w:val="0"/>
      <w:divBdr>
        <w:top w:val="none" w:sz="0" w:space="0" w:color="auto"/>
        <w:left w:val="none" w:sz="0" w:space="0" w:color="auto"/>
        <w:bottom w:val="none" w:sz="0" w:space="0" w:color="auto"/>
        <w:right w:val="none" w:sz="0" w:space="0" w:color="auto"/>
      </w:divBdr>
    </w:div>
    <w:div w:id="2070180980">
      <w:bodyDiv w:val="1"/>
      <w:marLeft w:val="0"/>
      <w:marRight w:val="0"/>
      <w:marTop w:val="0"/>
      <w:marBottom w:val="0"/>
      <w:divBdr>
        <w:top w:val="none" w:sz="0" w:space="0" w:color="auto"/>
        <w:left w:val="none" w:sz="0" w:space="0" w:color="auto"/>
        <w:bottom w:val="none" w:sz="0" w:space="0" w:color="auto"/>
        <w:right w:val="none" w:sz="0" w:space="0" w:color="auto"/>
      </w:divBdr>
    </w:div>
    <w:div w:id="2070229447">
      <w:bodyDiv w:val="1"/>
      <w:marLeft w:val="0"/>
      <w:marRight w:val="0"/>
      <w:marTop w:val="0"/>
      <w:marBottom w:val="0"/>
      <w:divBdr>
        <w:top w:val="none" w:sz="0" w:space="0" w:color="auto"/>
        <w:left w:val="none" w:sz="0" w:space="0" w:color="auto"/>
        <w:bottom w:val="none" w:sz="0" w:space="0" w:color="auto"/>
        <w:right w:val="none" w:sz="0" w:space="0" w:color="auto"/>
      </w:divBdr>
    </w:div>
    <w:div w:id="2070612656">
      <w:bodyDiv w:val="1"/>
      <w:marLeft w:val="0"/>
      <w:marRight w:val="0"/>
      <w:marTop w:val="0"/>
      <w:marBottom w:val="0"/>
      <w:divBdr>
        <w:top w:val="none" w:sz="0" w:space="0" w:color="auto"/>
        <w:left w:val="none" w:sz="0" w:space="0" w:color="auto"/>
        <w:bottom w:val="none" w:sz="0" w:space="0" w:color="auto"/>
        <w:right w:val="none" w:sz="0" w:space="0" w:color="auto"/>
      </w:divBdr>
    </w:div>
    <w:div w:id="2070764800">
      <w:bodyDiv w:val="1"/>
      <w:marLeft w:val="0"/>
      <w:marRight w:val="0"/>
      <w:marTop w:val="0"/>
      <w:marBottom w:val="0"/>
      <w:divBdr>
        <w:top w:val="none" w:sz="0" w:space="0" w:color="auto"/>
        <w:left w:val="none" w:sz="0" w:space="0" w:color="auto"/>
        <w:bottom w:val="none" w:sz="0" w:space="0" w:color="auto"/>
        <w:right w:val="none" w:sz="0" w:space="0" w:color="auto"/>
      </w:divBdr>
    </w:div>
    <w:div w:id="2070838818">
      <w:bodyDiv w:val="1"/>
      <w:marLeft w:val="0"/>
      <w:marRight w:val="0"/>
      <w:marTop w:val="0"/>
      <w:marBottom w:val="0"/>
      <w:divBdr>
        <w:top w:val="none" w:sz="0" w:space="0" w:color="auto"/>
        <w:left w:val="none" w:sz="0" w:space="0" w:color="auto"/>
        <w:bottom w:val="none" w:sz="0" w:space="0" w:color="auto"/>
        <w:right w:val="none" w:sz="0" w:space="0" w:color="auto"/>
      </w:divBdr>
    </w:div>
    <w:div w:id="2072534482">
      <w:bodyDiv w:val="1"/>
      <w:marLeft w:val="0"/>
      <w:marRight w:val="0"/>
      <w:marTop w:val="0"/>
      <w:marBottom w:val="0"/>
      <w:divBdr>
        <w:top w:val="none" w:sz="0" w:space="0" w:color="auto"/>
        <w:left w:val="none" w:sz="0" w:space="0" w:color="auto"/>
        <w:bottom w:val="none" w:sz="0" w:space="0" w:color="auto"/>
        <w:right w:val="none" w:sz="0" w:space="0" w:color="auto"/>
      </w:divBdr>
    </w:div>
    <w:div w:id="2074500758">
      <w:bodyDiv w:val="1"/>
      <w:marLeft w:val="0"/>
      <w:marRight w:val="0"/>
      <w:marTop w:val="0"/>
      <w:marBottom w:val="0"/>
      <w:divBdr>
        <w:top w:val="none" w:sz="0" w:space="0" w:color="auto"/>
        <w:left w:val="none" w:sz="0" w:space="0" w:color="auto"/>
        <w:bottom w:val="none" w:sz="0" w:space="0" w:color="auto"/>
        <w:right w:val="none" w:sz="0" w:space="0" w:color="auto"/>
      </w:divBdr>
    </w:div>
    <w:div w:id="2075469650">
      <w:bodyDiv w:val="1"/>
      <w:marLeft w:val="0"/>
      <w:marRight w:val="0"/>
      <w:marTop w:val="0"/>
      <w:marBottom w:val="0"/>
      <w:divBdr>
        <w:top w:val="none" w:sz="0" w:space="0" w:color="auto"/>
        <w:left w:val="none" w:sz="0" w:space="0" w:color="auto"/>
        <w:bottom w:val="none" w:sz="0" w:space="0" w:color="auto"/>
        <w:right w:val="none" w:sz="0" w:space="0" w:color="auto"/>
      </w:divBdr>
    </w:div>
    <w:div w:id="2075471182">
      <w:bodyDiv w:val="1"/>
      <w:marLeft w:val="0"/>
      <w:marRight w:val="0"/>
      <w:marTop w:val="0"/>
      <w:marBottom w:val="0"/>
      <w:divBdr>
        <w:top w:val="none" w:sz="0" w:space="0" w:color="auto"/>
        <w:left w:val="none" w:sz="0" w:space="0" w:color="auto"/>
        <w:bottom w:val="none" w:sz="0" w:space="0" w:color="auto"/>
        <w:right w:val="none" w:sz="0" w:space="0" w:color="auto"/>
      </w:divBdr>
    </w:div>
    <w:div w:id="2075926337">
      <w:bodyDiv w:val="1"/>
      <w:marLeft w:val="0"/>
      <w:marRight w:val="0"/>
      <w:marTop w:val="0"/>
      <w:marBottom w:val="0"/>
      <w:divBdr>
        <w:top w:val="none" w:sz="0" w:space="0" w:color="auto"/>
        <w:left w:val="none" w:sz="0" w:space="0" w:color="auto"/>
        <w:bottom w:val="none" w:sz="0" w:space="0" w:color="auto"/>
        <w:right w:val="none" w:sz="0" w:space="0" w:color="auto"/>
      </w:divBdr>
    </w:div>
    <w:div w:id="2076928955">
      <w:bodyDiv w:val="1"/>
      <w:marLeft w:val="0"/>
      <w:marRight w:val="0"/>
      <w:marTop w:val="0"/>
      <w:marBottom w:val="0"/>
      <w:divBdr>
        <w:top w:val="none" w:sz="0" w:space="0" w:color="auto"/>
        <w:left w:val="none" w:sz="0" w:space="0" w:color="auto"/>
        <w:bottom w:val="none" w:sz="0" w:space="0" w:color="auto"/>
        <w:right w:val="none" w:sz="0" w:space="0" w:color="auto"/>
      </w:divBdr>
    </w:div>
    <w:div w:id="2077043209">
      <w:bodyDiv w:val="1"/>
      <w:marLeft w:val="0"/>
      <w:marRight w:val="0"/>
      <w:marTop w:val="0"/>
      <w:marBottom w:val="0"/>
      <w:divBdr>
        <w:top w:val="none" w:sz="0" w:space="0" w:color="auto"/>
        <w:left w:val="none" w:sz="0" w:space="0" w:color="auto"/>
        <w:bottom w:val="none" w:sz="0" w:space="0" w:color="auto"/>
        <w:right w:val="none" w:sz="0" w:space="0" w:color="auto"/>
      </w:divBdr>
    </w:div>
    <w:div w:id="2078279958">
      <w:bodyDiv w:val="1"/>
      <w:marLeft w:val="0"/>
      <w:marRight w:val="0"/>
      <w:marTop w:val="0"/>
      <w:marBottom w:val="0"/>
      <w:divBdr>
        <w:top w:val="none" w:sz="0" w:space="0" w:color="auto"/>
        <w:left w:val="none" w:sz="0" w:space="0" w:color="auto"/>
        <w:bottom w:val="none" w:sz="0" w:space="0" w:color="auto"/>
        <w:right w:val="none" w:sz="0" w:space="0" w:color="auto"/>
      </w:divBdr>
    </w:div>
    <w:div w:id="2078824526">
      <w:bodyDiv w:val="1"/>
      <w:marLeft w:val="0"/>
      <w:marRight w:val="0"/>
      <w:marTop w:val="0"/>
      <w:marBottom w:val="0"/>
      <w:divBdr>
        <w:top w:val="none" w:sz="0" w:space="0" w:color="auto"/>
        <w:left w:val="none" w:sz="0" w:space="0" w:color="auto"/>
        <w:bottom w:val="none" w:sz="0" w:space="0" w:color="auto"/>
        <w:right w:val="none" w:sz="0" w:space="0" w:color="auto"/>
      </w:divBdr>
    </w:div>
    <w:div w:id="2081056099">
      <w:bodyDiv w:val="1"/>
      <w:marLeft w:val="0"/>
      <w:marRight w:val="0"/>
      <w:marTop w:val="0"/>
      <w:marBottom w:val="0"/>
      <w:divBdr>
        <w:top w:val="none" w:sz="0" w:space="0" w:color="auto"/>
        <w:left w:val="none" w:sz="0" w:space="0" w:color="auto"/>
        <w:bottom w:val="none" w:sz="0" w:space="0" w:color="auto"/>
        <w:right w:val="none" w:sz="0" w:space="0" w:color="auto"/>
      </w:divBdr>
    </w:div>
    <w:div w:id="2081099782">
      <w:bodyDiv w:val="1"/>
      <w:marLeft w:val="0"/>
      <w:marRight w:val="0"/>
      <w:marTop w:val="0"/>
      <w:marBottom w:val="0"/>
      <w:divBdr>
        <w:top w:val="none" w:sz="0" w:space="0" w:color="auto"/>
        <w:left w:val="none" w:sz="0" w:space="0" w:color="auto"/>
        <w:bottom w:val="none" w:sz="0" w:space="0" w:color="auto"/>
        <w:right w:val="none" w:sz="0" w:space="0" w:color="auto"/>
      </w:divBdr>
    </w:div>
    <w:div w:id="2081906217">
      <w:bodyDiv w:val="1"/>
      <w:marLeft w:val="0"/>
      <w:marRight w:val="0"/>
      <w:marTop w:val="0"/>
      <w:marBottom w:val="0"/>
      <w:divBdr>
        <w:top w:val="none" w:sz="0" w:space="0" w:color="auto"/>
        <w:left w:val="none" w:sz="0" w:space="0" w:color="auto"/>
        <w:bottom w:val="none" w:sz="0" w:space="0" w:color="auto"/>
        <w:right w:val="none" w:sz="0" w:space="0" w:color="auto"/>
      </w:divBdr>
    </w:div>
    <w:div w:id="2082949009">
      <w:bodyDiv w:val="1"/>
      <w:marLeft w:val="0"/>
      <w:marRight w:val="0"/>
      <w:marTop w:val="0"/>
      <w:marBottom w:val="0"/>
      <w:divBdr>
        <w:top w:val="none" w:sz="0" w:space="0" w:color="auto"/>
        <w:left w:val="none" w:sz="0" w:space="0" w:color="auto"/>
        <w:bottom w:val="none" w:sz="0" w:space="0" w:color="auto"/>
        <w:right w:val="none" w:sz="0" w:space="0" w:color="auto"/>
      </w:divBdr>
    </w:div>
    <w:div w:id="2083865837">
      <w:bodyDiv w:val="1"/>
      <w:marLeft w:val="0"/>
      <w:marRight w:val="0"/>
      <w:marTop w:val="0"/>
      <w:marBottom w:val="0"/>
      <w:divBdr>
        <w:top w:val="none" w:sz="0" w:space="0" w:color="auto"/>
        <w:left w:val="none" w:sz="0" w:space="0" w:color="auto"/>
        <w:bottom w:val="none" w:sz="0" w:space="0" w:color="auto"/>
        <w:right w:val="none" w:sz="0" w:space="0" w:color="auto"/>
      </w:divBdr>
    </w:div>
    <w:div w:id="2084836652">
      <w:bodyDiv w:val="1"/>
      <w:marLeft w:val="0"/>
      <w:marRight w:val="0"/>
      <w:marTop w:val="0"/>
      <w:marBottom w:val="0"/>
      <w:divBdr>
        <w:top w:val="none" w:sz="0" w:space="0" w:color="auto"/>
        <w:left w:val="none" w:sz="0" w:space="0" w:color="auto"/>
        <w:bottom w:val="none" w:sz="0" w:space="0" w:color="auto"/>
        <w:right w:val="none" w:sz="0" w:space="0" w:color="auto"/>
      </w:divBdr>
    </w:div>
    <w:div w:id="2085837181">
      <w:bodyDiv w:val="1"/>
      <w:marLeft w:val="0"/>
      <w:marRight w:val="0"/>
      <w:marTop w:val="0"/>
      <w:marBottom w:val="0"/>
      <w:divBdr>
        <w:top w:val="none" w:sz="0" w:space="0" w:color="auto"/>
        <w:left w:val="none" w:sz="0" w:space="0" w:color="auto"/>
        <w:bottom w:val="none" w:sz="0" w:space="0" w:color="auto"/>
        <w:right w:val="none" w:sz="0" w:space="0" w:color="auto"/>
      </w:divBdr>
    </w:div>
    <w:div w:id="2086292165">
      <w:bodyDiv w:val="1"/>
      <w:marLeft w:val="0"/>
      <w:marRight w:val="0"/>
      <w:marTop w:val="0"/>
      <w:marBottom w:val="0"/>
      <w:divBdr>
        <w:top w:val="none" w:sz="0" w:space="0" w:color="auto"/>
        <w:left w:val="none" w:sz="0" w:space="0" w:color="auto"/>
        <w:bottom w:val="none" w:sz="0" w:space="0" w:color="auto"/>
        <w:right w:val="none" w:sz="0" w:space="0" w:color="auto"/>
      </w:divBdr>
    </w:div>
    <w:div w:id="2086954840">
      <w:bodyDiv w:val="1"/>
      <w:marLeft w:val="0"/>
      <w:marRight w:val="0"/>
      <w:marTop w:val="0"/>
      <w:marBottom w:val="0"/>
      <w:divBdr>
        <w:top w:val="none" w:sz="0" w:space="0" w:color="auto"/>
        <w:left w:val="none" w:sz="0" w:space="0" w:color="auto"/>
        <w:bottom w:val="none" w:sz="0" w:space="0" w:color="auto"/>
        <w:right w:val="none" w:sz="0" w:space="0" w:color="auto"/>
      </w:divBdr>
    </w:div>
    <w:div w:id="2087147166">
      <w:bodyDiv w:val="1"/>
      <w:marLeft w:val="0"/>
      <w:marRight w:val="0"/>
      <w:marTop w:val="0"/>
      <w:marBottom w:val="0"/>
      <w:divBdr>
        <w:top w:val="none" w:sz="0" w:space="0" w:color="auto"/>
        <w:left w:val="none" w:sz="0" w:space="0" w:color="auto"/>
        <w:bottom w:val="none" w:sz="0" w:space="0" w:color="auto"/>
        <w:right w:val="none" w:sz="0" w:space="0" w:color="auto"/>
      </w:divBdr>
    </w:div>
    <w:div w:id="2087723270">
      <w:bodyDiv w:val="1"/>
      <w:marLeft w:val="0"/>
      <w:marRight w:val="0"/>
      <w:marTop w:val="0"/>
      <w:marBottom w:val="0"/>
      <w:divBdr>
        <w:top w:val="none" w:sz="0" w:space="0" w:color="auto"/>
        <w:left w:val="none" w:sz="0" w:space="0" w:color="auto"/>
        <w:bottom w:val="none" w:sz="0" w:space="0" w:color="auto"/>
        <w:right w:val="none" w:sz="0" w:space="0" w:color="auto"/>
      </w:divBdr>
    </w:div>
    <w:div w:id="2089038802">
      <w:bodyDiv w:val="1"/>
      <w:marLeft w:val="0"/>
      <w:marRight w:val="0"/>
      <w:marTop w:val="0"/>
      <w:marBottom w:val="0"/>
      <w:divBdr>
        <w:top w:val="none" w:sz="0" w:space="0" w:color="auto"/>
        <w:left w:val="none" w:sz="0" w:space="0" w:color="auto"/>
        <w:bottom w:val="none" w:sz="0" w:space="0" w:color="auto"/>
        <w:right w:val="none" w:sz="0" w:space="0" w:color="auto"/>
      </w:divBdr>
    </w:div>
    <w:div w:id="2090541795">
      <w:bodyDiv w:val="1"/>
      <w:marLeft w:val="0"/>
      <w:marRight w:val="0"/>
      <w:marTop w:val="0"/>
      <w:marBottom w:val="0"/>
      <w:divBdr>
        <w:top w:val="none" w:sz="0" w:space="0" w:color="auto"/>
        <w:left w:val="none" w:sz="0" w:space="0" w:color="auto"/>
        <w:bottom w:val="none" w:sz="0" w:space="0" w:color="auto"/>
        <w:right w:val="none" w:sz="0" w:space="0" w:color="auto"/>
      </w:divBdr>
    </w:div>
    <w:div w:id="2090928932">
      <w:bodyDiv w:val="1"/>
      <w:marLeft w:val="0"/>
      <w:marRight w:val="0"/>
      <w:marTop w:val="0"/>
      <w:marBottom w:val="0"/>
      <w:divBdr>
        <w:top w:val="none" w:sz="0" w:space="0" w:color="auto"/>
        <w:left w:val="none" w:sz="0" w:space="0" w:color="auto"/>
        <w:bottom w:val="none" w:sz="0" w:space="0" w:color="auto"/>
        <w:right w:val="none" w:sz="0" w:space="0" w:color="auto"/>
      </w:divBdr>
    </w:div>
    <w:div w:id="2093041953">
      <w:bodyDiv w:val="1"/>
      <w:marLeft w:val="0"/>
      <w:marRight w:val="0"/>
      <w:marTop w:val="0"/>
      <w:marBottom w:val="0"/>
      <w:divBdr>
        <w:top w:val="none" w:sz="0" w:space="0" w:color="auto"/>
        <w:left w:val="none" w:sz="0" w:space="0" w:color="auto"/>
        <w:bottom w:val="none" w:sz="0" w:space="0" w:color="auto"/>
        <w:right w:val="none" w:sz="0" w:space="0" w:color="auto"/>
      </w:divBdr>
    </w:div>
    <w:div w:id="2094086055">
      <w:bodyDiv w:val="1"/>
      <w:marLeft w:val="0"/>
      <w:marRight w:val="0"/>
      <w:marTop w:val="0"/>
      <w:marBottom w:val="0"/>
      <w:divBdr>
        <w:top w:val="none" w:sz="0" w:space="0" w:color="auto"/>
        <w:left w:val="none" w:sz="0" w:space="0" w:color="auto"/>
        <w:bottom w:val="none" w:sz="0" w:space="0" w:color="auto"/>
        <w:right w:val="none" w:sz="0" w:space="0" w:color="auto"/>
      </w:divBdr>
    </w:div>
    <w:div w:id="2094163127">
      <w:bodyDiv w:val="1"/>
      <w:marLeft w:val="0"/>
      <w:marRight w:val="0"/>
      <w:marTop w:val="0"/>
      <w:marBottom w:val="0"/>
      <w:divBdr>
        <w:top w:val="none" w:sz="0" w:space="0" w:color="auto"/>
        <w:left w:val="none" w:sz="0" w:space="0" w:color="auto"/>
        <w:bottom w:val="none" w:sz="0" w:space="0" w:color="auto"/>
        <w:right w:val="none" w:sz="0" w:space="0" w:color="auto"/>
      </w:divBdr>
    </w:div>
    <w:div w:id="2094810960">
      <w:bodyDiv w:val="1"/>
      <w:marLeft w:val="0"/>
      <w:marRight w:val="0"/>
      <w:marTop w:val="0"/>
      <w:marBottom w:val="0"/>
      <w:divBdr>
        <w:top w:val="none" w:sz="0" w:space="0" w:color="auto"/>
        <w:left w:val="none" w:sz="0" w:space="0" w:color="auto"/>
        <w:bottom w:val="none" w:sz="0" w:space="0" w:color="auto"/>
        <w:right w:val="none" w:sz="0" w:space="0" w:color="auto"/>
      </w:divBdr>
    </w:div>
    <w:div w:id="2094814729">
      <w:bodyDiv w:val="1"/>
      <w:marLeft w:val="0"/>
      <w:marRight w:val="0"/>
      <w:marTop w:val="0"/>
      <w:marBottom w:val="0"/>
      <w:divBdr>
        <w:top w:val="none" w:sz="0" w:space="0" w:color="auto"/>
        <w:left w:val="none" w:sz="0" w:space="0" w:color="auto"/>
        <w:bottom w:val="none" w:sz="0" w:space="0" w:color="auto"/>
        <w:right w:val="none" w:sz="0" w:space="0" w:color="auto"/>
      </w:divBdr>
    </w:div>
    <w:div w:id="2095546106">
      <w:bodyDiv w:val="1"/>
      <w:marLeft w:val="0"/>
      <w:marRight w:val="0"/>
      <w:marTop w:val="0"/>
      <w:marBottom w:val="0"/>
      <w:divBdr>
        <w:top w:val="none" w:sz="0" w:space="0" w:color="auto"/>
        <w:left w:val="none" w:sz="0" w:space="0" w:color="auto"/>
        <w:bottom w:val="none" w:sz="0" w:space="0" w:color="auto"/>
        <w:right w:val="none" w:sz="0" w:space="0" w:color="auto"/>
      </w:divBdr>
    </w:div>
    <w:div w:id="2095979186">
      <w:bodyDiv w:val="1"/>
      <w:marLeft w:val="0"/>
      <w:marRight w:val="0"/>
      <w:marTop w:val="0"/>
      <w:marBottom w:val="0"/>
      <w:divBdr>
        <w:top w:val="none" w:sz="0" w:space="0" w:color="auto"/>
        <w:left w:val="none" w:sz="0" w:space="0" w:color="auto"/>
        <w:bottom w:val="none" w:sz="0" w:space="0" w:color="auto"/>
        <w:right w:val="none" w:sz="0" w:space="0" w:color="auto"/>
      </w:divBdr>
    </w:div>
    <w:div w:id="2097048666">
      <w:bodyDiv w:val="1"/>
      <w:marLeft w:val="0"/>
      <w:marRight w:val="0"/>
      <w:marTop w:val="0"/>
      <w:marBottom w:val="0"/>
      <w:divBdr>
        <w:top w:val="none" w:sz="0" w:space="0" w:color="auto"/>
        <w:left w:val="none" w:sz="0" w:space="0" w:color="auto"/>
        <w:bottom w:val="none" w:sz="0" w:space="0" w:color="auto"/>
        <w:right w:val="none" w:sz="0" w:space="0" w:color="auto"/>
      </w:divBdr>
    </w:div>
    <w:div w:id="2097552094">
      <w:bodyDiv w:val="1"/>
      <w:marLeft w:val="0"/>
      <w:marRight w:val="0"/>
      <w:marTop w:val="0"/>
      <w:marBottom w:val="0"/>
      <w:divBdr>
        <w:top w:val="none" w:sz="0" w:space="0" w:color="auto"/>
        <w:left w:val="none" w:sz="0" w:space="0" w:color="auto"/>
        <w:bottom w:val="none" w:sz="0" w:space="0" w:color="auto"/>
        <w:right w:val="none" w:sz="0" w:space="0" w:color="auto"/>
      </w:divBdr>
    </w:div>
    <w:div w:id="2098280344">
      <w:bodyDiv w:val="1"/>
      <w:marLeft w:val="0"/>
      <w:marRight w:val="0"/>
      <w:marTop w:val="0"/>
      <w:marBottom w:val="0"/>
      <w:divBdr>
        <w:top w:val="none" w:sz="0" w:space="0" w:color="auto"/>
        <w:left w:val="none" w:sz="0" w:space="0" w:color="auto"/>
        <w:bottom w:val="none" w:sz="0" w:space="0" w:color="auto"/>
        <w:right w:val="none" w:sz="0" w:space="0" w:color="auto"/>
      </w:divBdr>
    </w:div>
    <w:div w:id="2098821500">
      <w:bodyDiv w:val="1"/>
      <w:marLeft w:val="0"/>
      <w:marRight w:val="0"/>
      <w:marTop w:val="0"/>
      <w:marBottom w:val="0"/>
      <w:divBdr>
        <w:top w:val="none" w:sz="0" w:space="0" w:color="auto"/>
        <w:left w:val="none" w:sz="0" w:space="0" w:color="auto"/>
        <w:bottom w:val="none" w:sz="0" w:space="0" w:color="auto"/>
        <w:right w:val="none" w:sz="0" w:space="0" w:color="auto"/>
      </w:divBdr>
    </w:div>
    <w:div w:id="2099397947">
      <w:bodyDiv w:val="1"/>
      <w:marLeft w:val="0"/>
      <w:marRight w:val="0"/>
      <w:marTop w:val="0"/>
      <w:marBottom w:val="0"/>
      <w:divBdr>
        <w:top w:val="none" w:sz="0" w:space="0" w:color="auto"/>
        <w:left w:val="none" w:sz="0" w:space="0" w:color="auto"/>
        <w:bottom w:val="none" w:sz="0" w:space="0" w:color="auto"/>
        <w:right w:val="none" w:sz="0" w:space="0" w:color="auto"/>
      </w:divBdr>
    </w:div>
    <w:div w:id="2099597323">
      <w:bodyDiv w:val="1"/>
      <w:marLeft w:val="0"/>
      <w:marRight w:val="0"/>
      <w:marTop w:val="0"/>
      <w:marBottom w:val="0"/>
      <w:divBdr>
        <w:top w:val="none" w:sz="0" w:space="0" w:color="auto"/>
        <w:left w:val="none" w:sz="0" w:space="0" w:color="auto"/>
        <w:bottom w:val="none" w:sz="0" w:space="0" w:color="auto"/>
        <w:right w:val="none" w:sz="0" w:space="0" w:color="auto"/>
      </w:divBdr>
    </w:div>
    <w:div w:id="2101022863">
      <w:bodyDiv w:val="1"/>
      <w:marLeft w:val="0"/>
      <w:marRight w:val="0"/>
      <w:marTop w:val="0"/>
      <w:marBottom w:val="0"/>
      <w:divBdr>
        <w:top w:val="none" w:sz="0" w:space="0" w:color="auto"/>
        <w:left w:val="none" w:sz="0" w:space="0" w:color="auto"/>
        <w:bottom w:val="none" w:sz="0" w:space="0" w:color="auto"/>
        <w:right w:val="none" w:sz="0" w:space="0" w:color="auto"/>
      </w:divBdr>
    </w:div>
    <w:div w:id="2101220710">
      <w:bodyDiv w:val="1"/>
      <w:marLeft w:val="0"/>
      <w:marRight w:val="0"/>
      <w:marTop w:val="0"/>
      <w:marBottom w:val="0"/>
      <w:divBdr>
        <w:top w:val="none" w:sz="0" w:space="0" w:color="auto"/>
        <w:left w:val="none" w:sz="0" w:space="0" w:color="auto"/>
        <w:bottom w:val="none" w:sz="0" w:space="0" w:color="auto"/>
        <w:right w:val="none" w:sz="0" w:space="0" w:color="auto"/>
      </w:divBdr>
    </w:div>
    <w:div w:id="2101825683">
      <w:bodyDiv w:val="1"/>
      <w:marLeft w:val="0"/>
      <w:marRight w:val="0"/>
      <w:marTop w:val="0"/>
      <w:marBottom w:val="0"/>
      <w:divBdr>
        <w:top w:val="none" w:sz="0" w:space="0" w:color="auto"/>
        <w:left w:val="none" w:sz="0" w:space="0" w:color="auto"/>
        <w:bottom w:val="none" w:sz="0" w:space="0" w:color="auto"/>
        <w:right w:val="none" w:sz="0" w:space="0" w:color="auto"/>
      </w:divBdr>
    </w:div>
    <w:div w:id="2101829478">
      <w:bodyDiv w:val="1"/>
      <w:marLeft w:val="0"/>
      <w:marRight w:val="0"/>
      <w:marTop w:val="0"/>
      <w:marBottom w:val="0"/>
      <w:divBdr>
        <w:top w:val="none" w:sz="0" w:space="0" w:color="auto"/>
        <w:left w:val="none" w:sz="0" w:space="0" w:color="auto"/>
        <w:bottom w:val="none" w:sz="0" w:space="0" w:color="auto"/>
        <w:right w:val="none" w:sz="0" w:space="0" w:color="auto"/>
      </w:divBdr>
    </w:div>
    <w:div w:id="2103722627">
      <w:bodyDiv w:val="1"/>
      <w:marLeft w:val="0"/>
      <w:marRight w:val="0"/>
      <w:marTop w:val="0"/>
      <w:marBottom w:val="0"/>
      <w:divBdr>
        <w:top w:val="none" w:sz="0" w:space="0" w:color="auto"/>
        <w:left w:val="none" w:sz="0" w:space="0" w:color="auto"/>
        <w:bottom w:val="none" w:sz="0" w:space="0" w:color="auto"/>
        <w:right w:val="none" w:sz="0" w:space="0" w:color="auto"/>
      </w:divBdr>
    </w:div>
    <w:div w:id="2104108228">
      <w:bodyDiv w:val="1"/>
      <w:marLeft w:val="0"/>
      <w:marRight w:val="0"/>
      <w:marTop w:val="0"/>
      <w:marBottom w:val="0"/>
      <w:divBdr>
        <w:top w:val="none" w:sz="0" w:space="0" w:color="auto"/>
        <w:left w:val="none" w:sz="0" w:space="0" w:color="auto"/>
        <w:bottom w:val="none" w:sz="0" w:space="0" w:color="auto"/>
        <w:right w:val="none" w:sz="0" w:space="0" w:color="auto"/>
      </w:divBdr>
    </w:div>
    <w:div w:id="2104521663">
      <w:bodyDiv w:val="1"/>
      <w:marLeft w:val="0"/>
      <w:marRight w:val="0"/>
      <w:marTop w:val="0"/>
      <w:marBottom w:val="0"/>
      <w:divBdr>
        <w:top w:val="none" w:sz="0" w:space="0" w:color="auto"/>
        <w:left w:val="none" w:sz="0" w:space="0" w:color="auto"/>
        <w:bottom w:val="none" w:sz="0" w:space="0" w:color="auto"/>
        <w:right w:val="none" w:sz="0" w:space="0" w:color="auto"/>
      </w:divBdr>
    </w:div>
    <w:div w:id="2104912895">
      <w:bodyDiv w:val="1"/>
      <w:marLeft w:val="0"/>
      <w:marRight w:val="0"/>
      <w:marTop w:val="0"/>
      <w:marBottom w:val="0"/>
      <w:divBdr>
        <w:top w:val="none" w:sz="0" w:space="0" w:color="auto"/>
        <w:left w:val="none" w:sz="0" w:space="0" w:color="auto"/>
        <w:bottom w:val="none" w:sz="0" w:space="0" w:color="auto"/>
        <w:right w:val="none" w:sz="0" w:space="0" w:color="auto"/>
      </w:divBdr>
    </w:div>
    <w:div w:id="2105110400">
      <w:bodyDiv w:val="1"/>
      <w:marLeft w:val="0"/>
      <w:marRight w:val="0"/>
      <w:marTop w:val="0"/>
      <w:marBottom w:val="0"/>
      <w:divBdr>
        <w:top w:val="none" w:sz="0" w:space="0" w:color="auto"/>
        <w:left w:val="none" w:sz="0" w:space="0" w:color="auto"/>
        <w:bottom w:val="none" w:sz="0" w:space="0" w:color="auto"/>
        <w:right w:val="none" w:sz="0" w:space="0" w:color="auto"/>
      </w:divBdr>
    </w:div>
    <w:div w:id="2105956919">
      <w:bodyDiv w:val="1"/>
      <w:marLeft w:val="0"/>
      <w:marRight w:val="0"/>
      <w:marTop w:val="0"/>
      <w:marBottom w:val="0"/>
      <w:divBdr>
        <w:top w:val="none" w:sz="0" w:space="0" w:color="auto"/>
        <w:left w:val="none" w:sz="0" w:space="0" w:color="auto"/>
        <w:bottom w:val="none" w:sz="0" w:space="0" w:color="auto"/>
        <w:right w:val="none" w:sz="0" w:space="0" w:color="auto"/>
      </w:divBdr>
    </w:div>
    <w:div w:id="2106144296">
      <w:bodyDiv w:val="1"/>
      <w:marLeft w:val="0"/>
      <w:marRight w:val="0"/>
      <w:marTop w:val="0"/>
      <w:marBottom w:val="0"/>
      <w:divBdr>
        <w:top w:val="none" w:sz="0" w:space="0" w:color="auto"/>
        <w:left w:val="none" w:sz="0" w:space="0" w:color="auto"/>
        <w:bottom w:val="none" w:sz="0" w:space="0" w:color="auto"/>
        <w:right w:val="none" w:sz="0" w:space="0" w:color="auto"/>
      </w:divBdr>
    </w:div>
    <w:div w:id="2106420311">
      <w:bodyDiv w:val="1"/>
      <w:marLeft w:val="0"/>
      <w:marRight w:val="0"/>
      <w:marTop w:val="0"/>
      <w:marBottom w:val="0"/>
      <w:divBdr>
        <w:top w:val="none" w:sz="0" w:space="0" w:color="auto"/>
        <w:left w:val="none" w:sz="0" w:space="0" w:color="auto"/>
        <w:bottom w:val="none" w:sz="0" w:space="0" w:color="auto"/>
        <w:right w:val="none" w:sz="0" w:space="0" w:color="auto"/>
      </w:divBdr>
    </w:div>
    <w:div w:id="2107072262">
      <w:bodyDiv w:val="1"/>
      <w:marLeft w:val="0"/>
      <w:marRight w:val="0"/>
      <w:marTop w:val="0"/>
      <w:marBottom w:val="0"/>
      <w:divBdr>
        <w:top w:val="none" w:sz="0" w:space="0" w:color="auto"/>
        <w:left w:val="none" w:sz="0" w:space="0" w:color="auto"/>
        <w:bottom w:val="none" w:sz="0" w:space="0" w:color="auto"/>
        <w:right w:val="none" w:sz="0" w:space="0" w:color="auto"/>
      </w:divBdr>
    </w:div>
    <w:div w:id="2107458752">
      <w:bodyDiv w:val="1"/>
      <w:marLeft w:val="0"/>
      <w:marRight w:val="0"/>
      <w:marTop w:val="0"/>
      <w:marBottom w:val="0"/>
      <w:divBdr>
        <w:top w:val="none" w:sz="0" w:space="0" w:color="auto"/>
        <w:left w:val="none" w:sz="0" w:space="0" w:color="auto"/>
        <w:bottom w:val="none" w:sz="0" w:space="0" w:color="auto"/>
        <w:right w:val="none" w:sz="0" w:space="0" w:color="auto"/>
      </w:divBdr>
    </w:div>
    <w:div w:id="2110007692">
      <w:bodyDiv w:val="1"/>
      <w:marLeft w:val="0"/>
      <w:marRight w:val="0"/>
      <w:marTop w:val="0"/>
      <w:marBottom w:val="0"/>
      <w:divBdr>
        <w:top w:val="none" w:sz="0" w:space="0" w:color="auto"/>
        <w:left w:val="none" w:sz="0" w:space="0" w:color="auto"/>
        <w:bottom w:val="none" w:sz="0" w:space="0" w:color="auto"/>
        <w:right w:val="none" w:sz="0" w:space="0" w:color="auto"/>
      </w:divBdr>
    </w:div>
    <w:div w:id="2110469500">
      <w:bodyDiv w:val="1"/>
      <w:marLeft w:val="0"/>
      <w:marRight w:val="0"/>
      <w:marTop w:val="0"/>
      <w:marBottom w:val="0"/>
      <w:divBdr>
        <w:top w:val="none" w:sz="0" w:space="0" w:color="auto"/>
        <w:left w:val="none" w:sz="0" w:space="0" w:color="auto"/>
        <w:bottom w:val="none" w:sz="0" w:space="0" w:color="auto"/>
        <w:right w:val="none" w:sz="0" w:space="0" w:color="auto"/>
      </w:divBdr>
    </w:div>
    <w:div w:id="2110588796">
      <w:bodyDiv w:val="1"/>
      <w:marLeft w:val="0"/>
      <w:marRight w:val="0"/>
      <w:marTop w:val="0"/>
      <w:marBottom w:val="0"/>
      <w:divBdr>
        <w:top w:val="none" w:sz="0" w:space="0" w:color="auto"/>
        <w:left w:val="none" w:sz="0" w:space="0" w:color="auto"/>
        <w:bottom w:val="none" w:sz="0" w:space="0" w:color="auto"/>
        <w:right w:val="none" w:sz="0" w:space="0" w:color="auto"/>
      </w:divBdr>
    </w:div>
    <w:div w:id="2110656908">
      <w:bodyDiv w:val="1"/>
      <w:marLeft w:val="0"/>
      <w:marRight w:val="0"/>
      <w:marTop w:val="0"/>
      <w:marBottom w:val="0"/>
      <w:divBdr>
        <w:top w:val="none" w:sz="0" w:space="0" w:color="auto"/>
        <w:left w:val="none" w:sz="0" w:space="0" w:color="auto"/>
        <w:bottom w:val="none" w:sz="0" w:space="0" w:color="auto"/>
        <w:right w:val="none" w:sz="0" w:space="0" w:color="auto"/>
      </w:divBdr>
    </w:div>
    <w:div w:id="2112429415">
      <w:bodyDiv w:val="1"/>
      <w:marLeft w:val="0"/>
      <w:marRight w:val="0"/>
      <w:marTop w:val="0"/>
      <w:marBottom w:val="0"/>
      <w:divBdr>
        <w:top w:val="none" w:sz="0" w:space="0" w:color="auto"/>
        <w:left w:val="none" w:sz="0" w:space="0" w:color="auto"/>
        <w:bottom w:val="none" w:sz="0" w:space="0" w:color="auto"/>
        <w:right w:val="none" w:sz="0" w:space="0" w:color="auto"/>
      </w:divBdr>
    </w:div>
    <w:div w:id="2112847404">
      <w:bodyDiv w:val="1"/>
      <w:marLeft w:val="0"/>
      <w:marRight w:val="0"/>
      <w:marTop w:val="0"/>
      <w:marBottom w:val="0"/>
      <w:divBdr>
        <w:top w:val="none" w:sz="0" w:space="0" w:color="auto"/>
        <w:left w:val="none" w:sz="0" w:space="0" w:color="auto"/>
        <w:bottom w:val="none" w:sz="0" w:space="0" w:color="auto"/>
        <w:right w:val="none" w:sz="0" w:space="0" w:color="auto"/>
      </w:divBdr>
    </w:div>
    <w:div w:id="2114587751">
      <w:bodyDiv w:val="1"/>
      <w:marLeft w:val="0"/>
      <w:marRight w:val="0"/>
      <w:marTop w:val="0"/>
      <w:marBottom w:val="0"/>
      <w:divBdr>
        <w:top w:val="none" w:sz="0" w:space="0" w:color="auto"/>
        <w:left w:val="none" w:sz="0" w:space="0" w:color="auto"/>
        <w:bottom w:val="none" w:sz="0" w:space="0" w:color="auto"/>
        <w:right w:val="none" w:sz="0" w:space="0" w:color="auto"/>
      </w:divBdr>
    </w:div>
    <w:div w:id="2116442802">
      <w:bodyDiv w:val="1"/>
      <w:marLeft w:val="0"/>
      <w:marRight w:val="0"/>
      <w:marTop w:val="0"/>
      <w:marBottom w:val="0"/>
      <w:divBdr>
        <w:top w:val="none" w:sz="0" w:space="0" w:color="auto"/>
        <w:left w:val="none" w:sz="0" w:space="0" w:color="auto"/>
        <w:bottom w:val="none" w:sz="0" w:space="0" w:color="auto"/>
        <w:right w:val="none" w:sz="0" w:space="0" w:color="auto"/>
      </w:divBdr>
    </w:div>
    <w:div w:id="2116972000">
      <w:bodyDiv w:val="1"/>
      <w:marLeft w:val="0"/>
      <w:marRight w:val="0"/>
      <w:marTop w:val="0"/>
      <w:marBottom w:val="0"/>
      <w:divBdr>
        <w:top w:val="none" w:sz="0" w:space="0" w:color="auto"/>
        <w:left w:val="none" w:sz="0" w:space="0" w:color="auto"/>
        <w:bottom w:val="none" w:sz="0" w:space="0" w:color="auto"/>
        <w:right w:val="none" w:sz="0" w:space="0" w:color="auto"/>
      </w:divBdr>
    </w:div>
    <w:div w:id="2116973526">
      <w:bodyDiv w:val="1"/>
      <w:marLeft w:val="0"/>
      <w:marRight w:val="0"/>
      <w:marTop w:val="0"/>
      <w:marBottom w:val="0"/>
      <w:divBdr>
        <w:top w:val="none" w:sz="0" w:space="0" w:color="auto"/>
        <w:left w:val="none" w:sz="0" w:space="0" w:color="auto"/>
        <w:bottom w:val="none" w:sz="0" w:space="0" w:color="auto"/>
        <w:right w:val="none" w:sz="0" w:space="0" w:color="auto"/>
      </w:divBdr>
    </w:div>
    <w:div w:id="2117215176">
      <w:bodyDiv w:val="1"/>
      <w:marLeft w:val="0"/>
      <w:marRight w:val="0"/>
      <w:marTop w:val="0"/>
      <w:marBottom w:val="0"/>
      <w:divBdr>
        <w:top w:val="none" w:sz="0" w:space="0" w:color="auto"/>
        <w:left w:val="none" w:sz="0" w:space="0" w:color="auto"/>
        <w:bottom w:val="none" w:sz="0" w:space="0" w:color="auto"/>
        <w:right w:val="none" w:sz="0" w:space="0" w:color="auto"/>
      </w:divBdr>
    </w:div>
    <w:div w:id="2117673225">
      <w:bodyDiv w:val="1"/>
      <w:marLeft w:val="0"/>
      <w:marRight w:val="0"/>
      <w:marTop w:val="0"/>
      <w:marBottom w:val="0"/>
      <w:divBdr>
        <w:top w:val="none" w:sz="0" w:space="0" w:color="auto"/>
        <w:left w:val="none" w:sz="0" w:space="0" w:color="auto"/>
        <w:bottom w:val="none" w:sz="0" w:space="0" w:color="auto"/>
        <w:right w:val="none" w:sz="0" w:space="0" w:color="auto"/>
      </w:divBdr>
    </w:div>
    <w:div w:id="2118406125">
      <w:bodyDiv w:val="1"/>
      <w:marLeft w:val="0"/>
      <w:marRight w:val="0"/>
      <w:marTop w:val="0"/>
      <w:marBottom w:val="0"/>
      <w:divBdr>
        <w:top w:val="none" w:sz="0" w:space="0" w:color="auto"/>
        <w:left w:val="none" w:sz="0" w:space="0" w:color="auto"/>
        <w:bottom w:val="none" w:sz="0" w:space="0" w:color="auto"/>
        <w:right w:val="none" w:sz="0" w:space="0" w:color="auto"/>
      </w:divBdr>
    </w:div>
    <w:div w:id="2124228686">
      <w:bodyDiv w:val="1"/>
      <w:marLeft w:val="0"/>
      <w:marRight w:val="0"/>
      <w:marTop w:val="0"/>
      <w:marBottom w:val="0"/>
      <w:divBdr>
        <w:top w:val="none" w:sz="0" w:space="0" w:color="auto"/>
        <w:left w:val="none" w:sz="0" w:space="0" w:color="auto"/>
        <w:bottom w:val="none" w:sz="0" w:space="0" w:color="auto"/>
        <w:right w:val="none" w:sz="0" w:space="0" w:color="auto"/>
      </w:divBdr>
    </w:div>
    <w:div w:id="2125340629">
      <w:bodyDiv w:val="1"/>
      <w:marLeft w:val="0"/>
      <w:marRight w:val="0"/>
      <w:marTop w:val="0"/>
      <w:marBottom w:val="0"/>
      <w:divBdr>
        <w:top w:val="none" w:sz="0" w:space="0" w:color="auto"/>
        <w:left w:val="none" w:sz="0" w:space="0" w:color="auto"/>
        <w:bottom w:val="none" w:sz="0" w:space="0" w:color="auto"/>
        <w:right w:val="none" w:sz="0" w:space="0" w:color="auto"/>
      </w:divBdr>
    </w:div>
    <w:div w:id="2125615571">
      <w:bodyDiv w:val="1"/>
      <w:marLeft w:val="0"/>
      <w:marRight w:val="0"/>
      <w:marTop w:val="0"/>
      <w:marBottom w:val="0"/>
      <w:divBdr>
        <w:top w:val="none" w:sz="0" w:space="0" w:color="auto"/>
        <w:left w:val="none" w:sz="0" w:space="0" w:color="auto"/>
        <w:bottom w:val="none" w:sz="0" w:space="0" w:color="auto"/>
        <w:right w:val="none" w:sz="0" w:space="0" w:color="auto"/>
      </w:divBdr>
    </w:div>
    <w:div w:id="2126464285">
      <w:bodyDiv w:val="1"/>
      <w:marLeft w:val="0"/>
      <w:marRight w:val="0"/>
      <w:marTop w:val="0"/>
      <w:marBottom w:val="0"/>
      <w:divBdr>
        <w:top w:val="none" w:sz="0" w:space="0" w:color="auto"/>
        <w:left w:val="none" w:sz="0" w:space="0" w:color="auto"/>
        <w:bottom w:val="none" w:sz="0" w:space="0" w:color="auto"/>
        <w:right w:val="none" w:sz="0" w:space="0" w:color="auto"/>
      </w:divBdr>
    </w:div>
    <w:div w:id="2128233289">
      <w:bodyDiv w:val="1"/>
      <w:marLeft w:val="0"/>
      <w:marRight w:val="0"/>
      <w:marTop w:val="0"/>
      <w:marBottom w:val="0"/>
      <w:divBdr>
        <w:top w:val="none" w:sz="0" w:space="0" w:color="auto"/>
        <w:left w:val="none" w:sz="0" w:space="0" w:color="auto"/>
        <w:bottom w:val="none" w:sz="0" w:space="0" w:color="auto"/>
        <w:right w:val="none" w:sz="0" w:space="0" w:color="auto"/>
      </w:divBdr>
    </w:div>
    <w:div w:id="2128573549">
      <w:bodyDiv w:val="1"/>
      <w:marLeft w:val="0"/>
      <w:marRight w:val="0"/>
      <w:marTop w:val="0"/>
      <w:marBottom w:val="0"/>
      <w:divBdr>
        <w:top w:val="none" w:sz="0" w:space="0" w:color="auto"/>
        <w:left w:val="none" w:sz="0" w:space="0" w:color="auto"/>
        <w:bottom w:val="none" w:sz="0" w:space="0" w:color="auto"/>
        <w:right w:val="none" w:sz="0" w:space="0" w:color="auto"/>
      </w:divBdr>
    </w:div>
    <w:div w:id="2129813077">
      <w:bodyDiv w:val="1"/>
      <w:marLeft w:val="0"/>
      <w:marRight w:val="0"/>
      <w:marTop w:val="0"/>
      <w:marBottom w:val="0"/>
      <w:divBdr>
        <w:top w:val="none" w:sz="0" w:space="0" w:color="auto"/>
        <w:left w:val="none" w:sz="0" w:space="0" w:color="auto"/>
        <w:bottom w:val="none" w:sz="0" w:space="0" w:color="auto"/>
        <w:right w:val="none" w:sz="0" w:space="0" w:color="auto"/>
      </w:divBdr>
    </w:div>
    <w:div w:id="2131125640">
      <w:bodyDiv w:val="1"/>
      <w:marLeft w:val="0"/>
      <w:marRight w:val="0"/>
      <w:marTop w:val="0"/>
      <w:marBottom w:val="0"/>
      <w:divBdr>
        <w:top w:val="none" w:sz="0" w:space="0" w:color="auto"/>
        <w:left w:val="none" w:sz="0" w:space="0" w:color="auto"/>
        <w:bottom w:val="none" w:sz="0" w:space="0" w:color="auto"/>
        <w:right w:val="none" w:sz="0" w:space="0" w:color="auto"/>
      </w:divBdr>
    </w:div>
    <w:div w:id="2131165485">
      <w:bodyDiv w:val="1"/>
      <w:marLeft w:val="0"/>
      <w:marRight w:val="0"/>
      <w:marTop w:val="0"/>
      <w:marBottom w:val="0"/>
      <w:divBdr>
        <w:top w:val="none" w:sz="0" w:space="0" w:color="auto"/>
        <w:left w:val="none" w:sz="0" w:space="0" w:color="auto"/>
        <w:bottom w:val="none" w:sz="0" w:space="0" w:color="auto"/>
        <w:right w:val="none" w:sz="0" w:space="0" w:color="auto"/>
      </w:divBdr>
    </w:div>
    <w:div w:id="2131435143">
      <w:bodyDiv w:val="1"/>
      <w:marLeft w:val="0"/>
      <w:marRight w:val="0"/>
      <w:marTop w:val="0"/>
      <w:marBottom w:val="0"/>
      <w:divBdr>
        <w:top w:val="none" w:sz="0" w:space="0" w:color="auto"/>
        <w:left w:val="none" w:sz="0" w:space="0" w:color="auto"/>
        <w:bottom w:val="none" w:sz="0" w:space="0" w:color="auto"/>
        <w:right w:val="none" w:sz="0" w:space="0" w:color="auto"/>
      </w:divBdr>
    </w:div>
    <w:div w:id="2131509297">
      <w:bodyDiv w:val="1"/>
      <w:marLeft w:val="0"/>
      <w:marRight w:val="0"/>
      <w:marTop w:val="0"/>
      <w:marBottom w:val="0"/>
      <w:divBdr>
        <w:top w:val="none" w:sz="0" w:space="0" w:color="auto"/>
        <w:left w:val="none" w:sz="0" w:space="0" w:color="auto"/>
        <w:bottom w:val="none" w:sz="0" w:space="0" w:color="auto"/>
        <w:right w:val="none" w:sz="0" w:space="0" w:color="auto"/>
      </w:divBdr>
    </w:div>
    <w:div w:id="2132476669">
      <w:bodyDiv w:val="1"/>
      <w:marLeft w:val="0"/>
      <w:marRight w:val="0"/>
      <w:marTop w:val="0"/>
      <w:marBottom w:val="0"/>
      <w:divBdr>
        <w:top w:val="none" w:sz="0" w:space="0" w:color="auto"/>
        <w:left w:val="none" w:sz="0" w:space="0" w:color="auto"/>
        <w:bottom w:val="none" w:sz="0" w:space="0" w:color="auto"/>
        <w:right w:val="none" w:sz="0" w:space="0" w:color="auto"/>
      </w:divBdr>
    </w:div>
    <w:div w:id="2134203699">
      <w:bodyDiv w:val="1"/>
      <w:marLeft w:val="0"/>
      <w:marRight w:val="0"/>
      <w:marTop w:val="0"/>
      <w:marBottom w:val="0"/>
      <w:divBdr>
        <w:top w:val="none" w:sz="0" w:space="0" w:color="auto"/>
        <w:left w:val="none" w:sz="0" w:space="0" w:color="auto"/>
        <w:bottom w:val="none" w:sz="0" w:space="0" w:color="auto"/>
        <w:right w:val="none" w:sz="0" w:space="0" w:color="auto"/>
      </w:divBdr>
    </w:div>
    <w:div w:id="2136026590">
      <w:bodyDiv w:val="1"/>
      <w:marLeft w:val="0"/>
      <w:marRight w:val="0"/>
      <w:marTop w:val="0"/>
      <w:marBottom w:val="0"/>
      <w:divBdr>
        <w:top w:val="none" w:sz="0" w:space="0" w:color="auto"/>
        <w:left w:val="none" w:sz="0" w:space="0" w:color="auto"/>
        <w:bottom w:val="none" w:sz="0" w:space="0" w:color="auto"/>
        <w:right w:val="none" w:sz="0" w:space="0" w:color="auto"/>
      </w:divBdr>
    </w:div>
    <w:div w:id="2136680221">
      <w:bodyDiv w:val="1"/>
      <w:marLeft w:val="0"/>
      <w:marRight w:val="0"/>
      <w:marTop w:val="0"/>
      <w:marBottom w:val="0"/>
      <w:divBdr>
        <w:top w:val="none" w:sz="0" w:space="0" w:color="auto"/>
        <w:left w:val="none" w:sz="0" w:space="0" w:color="auto"/>
        <w:bottom w:val="none" w:sz="0" w:space="0" w:color="auto"/>
        <w:right w:val="none" w:sz="0" w:space="0" w:color="auto"/>
      </w:divBdr>
    </w:div>
    <w:div w:id="2139252729">
      <w:bodyDiv w:val="1"/>
      <w:marLeft w:val="0"/>
      <w:marRight w:val="0"/>
      <w:marTop w:val="0"/>
      <w:marBottom w:val="0"/>
      <w:divBdr>
        <w:top w:val="none" w:sz="0" w:space="0" w:color="auto"/>
        <w:left w:val="none" w:sz="0" w:space="0" w:color="auto"/>
        <w:bottom w:val="none" w:sz="0" w:space="0" w:color="auto"/>
        <w:right w:val="none" w:sz="0" w:space="0" w:color="auto"/>
      </w:divBdr>
    </w:div>
    <w:div w:id="2139296481">
      <w:bodyDiv w:val="1"/>
      <w:marLeft w:val="0"/>
      <w:marRight w:val="0"/>
      <w:marTop w:val="0"/>
      <w:marBottom w:val="0"/>
      <w:divBdr>
        <w:top w:val="none" w:sz="0" w:space="0" w:color="auto"/>
        <w:left w:val="none" w:sz="0" w:space="0" w:color="auto"/>
        <w:bottom w:val="none" w:sz="0" w:space="0" w:color="auto"/>
        <w:right w:val="none" w:sz="0" w:space="0" w:color="auto"/>
      </w:divBdr>
    </w:div>
    <w:div w:id="2139689426">
      <w:bodyDiv w:val="1"/>
      <w:marLeft w:val="0"/>
      <w:marRight w:val="0"/>
      <w:marTop w:val="0"/>
      <w:marBottom w:val="0"/>
      <w:divBdr>
        <w:top w:val="none" w:sz="0" w:space="0" w:color="auto"/>
        <w:left w:val="none" w:sz="0" w:space="0" w:color="auto"/>
        <w:bottom w:val="none" w:sz="0" w:space="0" w:color="auto"/>
        <w:right w:val="none" w:sz="0" w:space="0" w:color="auto"/>
      </w:divBdr>
    </w:div>
    <w:div w:id="2140605779">
      <w:bodyDiv w:val="1"/>
      <w:marLeft w:val="0"/>
      <w:marRight w:val="0"/>
      <w:marTop w:val="0"/>
      <w:marBottom w:val="0"/>
      <w:divBdr>
        <w:top w:val="none" w:sz="0" w:space="0" w:color="auto"/>
        <w:left w:val="none" w:sz="0" w:space="0" w:color="auto"/>
        <w:bottom w:val="none" w:sz="0" w:space="0" w:color="auto"/>
        <w:right w:val="none" w:sz="0" w:space="0" w:color="auto"/>
      </w:divBdr>
    </w:div>
    <w:div w:id="2140806550">
      <w:bodyDiv w:val="1"/>
      <w:marLeft w:val="0"/>
      <w:marRight w:val="0"/>
      <w:marTop w:val="0"/>
      <w:marBottom w:val="0"/>
      <w:divBdr>
        <w:top w:val="none" w:sz="0" w:space="0" w:color="auto"/>
        <w:left w:val="none" w:sz="0" w:space="0" w:color="auto"/>
        <w:bottom w:val="none" w:sz="0" w:space="0" w:color="auto"/>
        <w:right w:val="none" w:sz="0" w:space="0" w:color="auto"/>
      </w:divBdr>
    </w:div>
    <w:div w:id="2141680792">
      <w:bodyDiv w:val="1"/>
      <w:marLeft w:val="0"/>
      <w:marRight w:val="0"/>
      <w:marTop w:val="0"/>
      <w:marBottom w:val="0"/>
      <w:divBdr>
        <w:top w:val="none" w:sz="0" w:space="0" w:color="auto"/>
        <w:left w:val="none" w:sz="0" w:space="0" w:color="auto"/>
        <w:bottom w:val="none" w:sz="0" w:space="0" w:color="auto"/>
        <w:right w:val="none" w:sz="0" w:space="0" w:color="auto"/>
      </w:divBdr>
    </w:div>
    <w:div w:id="2142795980">
      <w:bodyDiv w:val="1"/>
      <w:marLeft w:val="0"/>
      <w:marRight w:val="0"/>
      <w:marTop w:val="0"/>
      <w:marBottom w:val="0"/>
      <w:divBdr>
        <w:top w:val="none" w:sz="0" w:space="0" w:color="auto"/>
        <w:left w:val="none" w:sz="0" w:space="0" w:color="auto"/>
        <w:bottom w:val="none" w:sz="0" w:space="0" w:color="auto"/>
        <w:right w:val="none" w:sz="0" w:space="0" w:color="auto"/>
      </w:divBdr>
    </w:div>
    <w:div w:id="2144081938">
      <w:bodyDiv w:val="1"/>
      <w:marLeft w:val="0"/>
      <w:marRight w:val="0"/>
      <w:marTop w:val="0"/>
      <w:marBottom w:val="0"/>
      <w:divBdr>
        <w:top w:val="none" w:sz="0" w:space="0" w:color="auto"/>
        <w:left w:val="none" w:sz="0" w:space="0" w:color="auto"/>
        <w:bottom w:val="none" w:sz="0" w:space="0" w:color="auto"/>
        <w:right w:val="none" w:sz="0" w:space="0" w:color="auto"/>
      </w:divBdr>
    </w:div>
    <w:div w:id="2144881926">
      <w:bodyDiv w:val="1"/>
      <w:marLeft w:val="0"/>
      <w:marRight w:val="0"/>
      <w:marTop w:val="0"/>
      <w:marBottom w:val="0"/>
      <w:divBdr>
        <w:top w:val="none" w:sz="0" w:space="0" w:color="auto"/>
        <w:left w:val="none" w:sz="0" w:space="0" w:color="auto"/>
        <w:bottom w:val="none" w:sz="0" w:space="0" w:color="auto"/>
        <w:right w:val="none" w:sz="0" w:space="0" w:color="auto"/>
      </w:divBdr>
    </w:div>
    <w:div w:id="2145386956">
      <w:bodyDiv w:val="1"/>
      <w:marLeft w:val="0"/>
      <w:marRight w:val="0"/>
      <w:marTop w:val="0"/>
      <w:marBottom w:val="0"/>
      <w:divBdr>
        <w:top w:val="none" w:sz="0" w:space="0" w:color="auto"/>
        <w:left w:val="none" w:sz="0" w:space="0" w:color="auto"/>
        <w:bottom w:val="none" w:sz="0" w:space="0" w:color="auto"/>
        <w:right w:val="none" w:sz="0" w:space="0" w:color="auto"/>
      </w:divBdr>
    </w:div>
    <w:div w:id="2146581034">
      <w:bodyDiv w:val="1"/>
      <w:marLeft w:val="0"/>
      <w:marRight w:val="0"/>
      <w:marTop w:val="0"/>
      <w:marBottom w:val="0"/>
      <w:divBdr>
        <w:top w:val="none" w:sz="0" w:space="0" w:color="auto"/>
        <w:left w:val="none" w:sz="0" w:space="0" w:color="auto"/>
        <w:bottom w:val="none" w:sz="0" w:space="0" w:color="auto"/>
        <w:right w:val="none" w:sz="0" w:space="0" w:color="auto"/>
      </w:divBdr>
    </w:div>
    <w:div w:id="2147240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comments" Target="comments.xml"/><Relationship Id="rId21" Type="http://schemas.openxmlformats.org/officeDocument/2006/relationships/hyperlink" Target="https://beta.eiti.org/document/validation-guide" TargetMode="External"/><Relationship Id="rId22" Type="http://schemas.openxmlformats.org/officeDocument/2006/relationships/hyperlink" Target="https://beta.eiti.org/document/validation-procedures" TargetMode="External"/><Relationship Id="rId23" Type="http://schemas.openxmlformats.org/officeDocument/2006/relationships/header" Target="header6.xml"/><Relationship Id="rId24" Type="http://schemas.openxmlformats.org/officeDocument/2006/relationships/header" Target="header7.xml"/><Relationship Id="rId25" Type="http://schemas.openxmlformats.org/officeDocument/2006/relationships/chart" Target="charts/chart1.xml"/><Relationship Id="rId26" Type="http://schemas.openxmlformats.org/officeDocument/2006/relationships/header" Target="header8.xml"/><Relationship Id="rId27" Type="http://schemas.openxmlformats.org/officeDocument/2006/relationships/image" Target="media/image2.png"/><Relationship Id="rId28" Type="http://schemas.openxmlformats.org/officeDocument/2006/relationships/header" Target="header9.xml"/><Relationship Id="rId29" Type="http://schemas.openxmlformats.org/officeDocument/2006/relationships/header" Target="header10.xml"/><Relationship Id="rId30" Type="http://schemas.openxmlformats.org/officeDocument/2006/relationships/header" Target="header1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s://freedomhouse.org/report/freedom-world/2017/senegal" TargetMode="External"/><Relationship Id="rId14" Type="http://schemas.openxmlformats.org/officeDocument/2006/relationships/hyperlink" Target="https://www.hrw.org/africa/senegal" TargetMode="External"/><Relationship Id="rId15" Type="http://schemas.openxmlformats.org/officeDocument/2006/relationships/hyperlink" Target="https://freedomhouse.org/country/senegal" TargetMode="External"/><Relationship Id="rId16" Type="http://schemas.openxmlformats.org/officeDocument/2006/relationships/hyperlink" Target="https://rsf.org/en/senegal" TargetMode="External"/><Relationship Id="rId17" Type="http://schemas.openxmlformats.org/officeDocument/2006/relationships/hyperlink" Target="http://www.publishwhatyoupay.org/members/senegal/" TargetMode="External"/><Relationship Id="rId18" Type="http://schemas.openxmlformats.org/officeDocument/2006/relationships/hyperlink" Target="http://rdmdev.com/itie/wp-content/uploads/2017/03/STATUT-PCQVP-SENEGAL.pdf" TargetMode="External"/><Relationship Id="rId19" Type="http://schemas.openxmlformats.org/officeDocument/2006/relationships/hyperlink" Target="http://www.publishwhatyoupay.org/global-council/" TargetMode="External"/><Relationship Id="rId63" Type="http://schemas.openxmlformats.org/officeDocument/2006/relationships/hyperlink" Target="http://itie.sn/wp-content/uploads/2017/03/Politique-de-Donn%C3%A9es-Ouvertes-CN-ITIE-S%C3%A9n%C3%A9gal-vf.pdf" TargetMode="External"/><Relationship Id="rId64" Type="http://schemas.openxmlformats.org/officeDocument/2006/relationships/hyperlink" Target="https://www.unicef.org/infobycountry/senegal_statistics.html" TargetMode="External"/><Relationship Id="rId65" Type="http://schemas.openxmlformats.org/officeDocument/2006/relationships/hyperlink" Target="http://itie.sn/rapport-2013/" TargetMode="External"/><Relationship Id="rId66" Type="http://schemas.openxmlformats.org/officeDocument/2006/relationships/hyperlink" Target="http://itie.sn/rapport-2014/" TargetMode="External"/><Relationship Id="rId67" Type="http://schemas.openxmlformats.org/officeDocument/2006/relationships/hyperlink" Target="https://www.sec.gouv.sn/-Conventions-minieres-.html" TargetMode="External"/><Relationship Id="rId68" Type="http://schemas.openxmlformats.org/officeDocument/2006/relationships/hyperlink" Target="https://www.sec.gouv.sn/Point-de-situation-sur-les.html" TargetMode="External"/><Relationship Id="rId69" Type="http://schemas.openxmlformats.org/officeDocument/2006/relationships/hyperlink" Target="http://itie.sn/contrats-miniers/" TargetMode="External"/><Relationship Id="rId50" Type="http://schemas.openxmlformats.org/officeDocument/2006/relationships/hyperlink" Target="http://itie.sn/rapport-2013/" TargetMode="External"/><Relationship Id="rId51" Type="http://schemas.openxmlformats.org/officeDocument/2006/relationships/hyperlink" Target="http://itie.sn/rapport-2014/" TargetMode="External"/><Relationship Id="rId52" Type="http://schemas.openxmlformats.org/officeDocument/2006/relationships/hyperlink" Target="http://itie.sn/rapport-2013/" TargetMode="External"/><Relationship Id="rId53" Type="http://schemas.openxmlformats.org/officeDocument/2006/relationships/hyperlink" Target="http://itie.sn/rapport-2014/" TargetMode="External"/><Relationship Id="rId54" Type="http://schemas.openxmlformats.org/officeDocument/2006/relationships/hyperlink" Target="https://eiti.org/senegal" TargetMode="External"/><Relationship Id="rId55" Type="http://schemas.openxmlformats.org/officeDocument/2006/relationships/hyperlink" Target="http://itie.sn/wp-content/uploads/2015/02/ITIE_Rapport_final_de_la_stratu00E9gie_de_communication_19_1-_15_VF_TN-2.pdf" TargetMode="External"/><Relationship Id="rId56" Type="http://schemas.openxmlformats.org/officeDocument/2006/relationships/hyperlink" Target="http://itie.sn/repartition-des-revenus-miniersregion/" TargetMode="External"/><Relationship Id="rId57" Type="http://schemas.openxmlformats.org/officeDocument/2006/relationships/hyperlink" Target="http://itie.sn/blog/" TargetMode="External"/><Relationship Id="rId58" Type="http://schemas.openxmlformats.org/officeDocument/2006/relationships/hyperlink" Target="http://www.seneweb.com/news/Video/journal-televise-de-la-rts1-du-dimanche-_n_171159.html" TargetMode="External"/><Relationship Id="rId59" Type="http://schemas.openxmlformats.org/officeDocument/2006/relationships/hyperlink" Target="http://itie.sn/conferences-de-l-itie/" TargetMode="External"/><Relationship Id="rId40" Type="http://schemas.openxmlformats.org/officeDocument/2006/relationships/hyperlink" Target="https://www.sec.gouv.sn/Point-de-situation-sur-les.html" TargetMode="External"/><Relationship Id="rId41" Type="http://schemas.openxmlformats.org/officeDocument/2006/relationships/hyperlink" Target="http://itie.sn/contrats-miniers/" TargetMode="External"/><Relationship Id="rId42" Type="http://schemas.openxmlformats.org/officeDocument/2006/relationships/hyperlink" Target="http://itie.sn/contrats-petroliers/" TargetMode="External"/><Relationship Id="rId43" Type="http://schemas.openxmlformats.org/officeDocument/2006/relationships/hyperlink" Target="http://resourcecontracts.org/search?q=senegal" TargetMode="External"/><Relationship Id="rId44" Type="http://schemas.openxmlformats.org/officeDocument/2006/relationships/hyperlink" Target="http://www.miferso.sn/fr" TargetMode="External"/><Relationship Id="rId45" Type="http://schemas.openxmlformats.org/officeDocument/2006/relationships/hyperlink" Target="http://www.dpm.gouv.sn/index.php?option=com_docman&amp;task=doc_download&amp;gid=44&amp;Itemid=110" TargetMode="External"/><Relationship Id="rId46" Type="http://schemas.openxmlformats.org/officeDocument/2006/relationships/hyperlink" Target="https://www.gate.ezv.admin.ch/swissimpex/" TargetMode="External"/><Relationship Id="rId47" Type="http://schemas.openxmlformats.org/officeDocument/2006/relationships/hyperlink" Target="http://www.oanda.com" TargetMode="External"/><Relationship Id="rId48" Type="http://schemas.openxmlformats.org/officeDocument/2006/relationships/hyperlink" Target="http://itie.sn/rapport-2014/" TargetMode="External"/><Relationship Id="rId49" Type="http://schemas.openxmlformats.org/officeDocument/2006/relationships/hyperlink" Target="http://www.oanda.com" TargetMode="External"/><Relationship Id="rId1" Type="http://schemas.openxmlformats.org/officeDocument/2006/relationships/hyperlink" Target="https://eiti.org/BD/2016-18" TargetMode="External"/><Relationship Id="rId2" Type="http://schemas.openxmlformats.org/officeDocument/2006/relationships/hyperlink" Target="https://beta.eiti.org/document/validation-procedures" TargetMode="External"/><Relationship Id="rId3" Type="http://schemas.openxmlformats.org/officeDocument/2006/relationships/hyperlink" Target="https://beta.eiti.org/document/validation-guide" TargetMode="External"/><Relationship Id="rId4" Type="http://schemas.openxmlformats.org/officeDocument/2006/relationships/hyperlink" Target="https://eiti.org/document/25th-board-meeting" TargetMode="External"/><Relationship Id="rId5" Type="http://schemas.openxmlformats.org/officeDocument/2006/relationships/hyperlink" Target="https://www.transparency.org/country/SEN" TargetMode="External"/><Relationship Id="rId6" Type="http://schemas.openxmlformats.org/officeDocument/2006/relationships/hyperlink" Target="http://itie.sn/?offshore_dl=1177" TargetMode="External"/><Relationship Id="rId7" Type="http://schemas.openxmlformats.org/officeDocument/2006/relationships/hyperlink" Target="http://itie.sn/groupe-multipartite/" TargetMode="External"/><Relationship Id="rId8" Type="http://schemas.openxmlformats.org/officeDocument/2006/relationships/hyperlink" Target="http://agc-sngb.org/en/?page_id=1913" TargetMode="External"/><Relationship Id="rId9" Type="http://schemas.openxmlformats.org/officeDocument/2006/relationships/hyperlink" Target="https://eiti.org/validation" TargetMode="External"/><Relationship Id="rId30" Type="http://schemas.openxmlformats.org/officeDocument/2006/relationships/hyperlink" Target="http://itie.sn/permis-de-recherche-dor-2014/" TargetMode="External"/><Relationship Id="rId31" Type="http://schemas.openxmlformats.org/officeDocument/2006/relationships/hyperlink" Target="http://itie.sn/liste-des-permis-et-concessions/2012-mines-concessions-minieres/" TargetMode="External"/><Relationship Id="rId32" Type="http://schemas.openxmlformats.org/officeDocument/2006/relationships/hyperlink" Target="http://itie.sn/liste-des-permis-et-concessions/2012-mines-petites-mines/" TargetMode="External"/><Relationship Id="rId33" Type="http://schemas.openxmlformats.org/officeDocument/2006/relationships/hyperlink" Target="http://itie.sn/liste-des-permis-et-concessions/2012-mines-mines-artisanales/" TargetMode="External"/><Relationship Id="rId34" Type="http://schemas.openxmlformats.org/officeDocument/2006/relationships/hyperlink" Target="http://itie.sn/liste-des-permis-et-concessions/2012-carrieres-privees/" TargetMode="External"/><Relationship Id="rId35" Type="http://schemas.openxmlformats.org/officeDocument/2006/relationships/hyperlink" Target="http://itie.sn/liste-des-permis-et-concessions/2012-carrieres-publiques/" TargetMode="External"/><Relationship Id="rId36" Type="http://schemas.openxmlformats.org/officeDocument/2006/relationships/hyperlink" Target="http://itie.sn/liste-des-permis-et-concessions/2012-carrieres-temporaires/" TargetMode="External"/><Relationship Id="rId37" Type="http://schemas.openxmlformats.org/officeDocument/2006/relationships/hyperlink" Target="http://itie.sn/liste-des-permis/" TargetMode="External"/><Relationship Id="rId38" Type="http://schemas.openxmlformats.org/officeDocument/2006/relationships/hyperlink" Target="http://itie.sn/?offshore_dl=924" TargetMode="External"/><Relationship Id="rId39" Type="http://schemas.openxmlformats.org/officeDocument/2006/relationships/hyperlink" Target="https://www.sec.gouv.sn/-Conventions-minieres-.html" TargetMode="External"/><Relationship Id="rId70" Type="http://schemas.openxmlformats.org/officeDocument/2006/relationships/hyperlink" Target="http://itie.sn/contrats-petroliers/" TargetMode="External"/><Relationship Id="rId71" Type="http://schemas.openxmlformats.org/officeDocument/2006/relationships/hyperlink" Target="https://www.sec.gouv.sn/-Conventions-minieres-.html" TargetMode="External"/><Relationship Id="rId72" Type="http://schemas.openxmlformats.org/officeDocument/2006/relationships/hyperlink" Target="https://www.sec.gouv.sn/Point-de-situation-sur-les.html" TargetMode="External"/><Relationship Id="rId20" Type="http://schemas.openxmlformats.org/officeDocument/2006/relationships/hyperlink" Target="https://twitter.com/pcqvpsn" TargetMode="External"/><Relationship Id="rId21" Type="http://schemas.openxmlformats.org/officeDocument/2006/relationships/hyperlink" Target="https://www.facebook.com/PubliezCeQueVousPayezSenegal/?fref=nf" TargetMode="External"/><Relationship Id="rId22" Type="http://schemas.openxmlformats.org/officeDocument/2006/relationships/hyperlink" Target="http://itie.sn/reunion-gmp/" TargetMode="External"/><Relationship Id="rId23" Type="http://schemas.openxmlformats.org/officeDocument/2006/relationships/hyperlink" Target="http://itie.sn/reunion-gmp/" TargetMode="External"/><Relationship Id="rId24" Type="http://schemas.openxmlformats.org/officeDocument/2006/relationships/hyperlink" Target="http://itie.sn/?offshore_dl=1177" TargetMode="External"/><Relationship Id="rId25" Type="http://schemas.openxmlformats.org/officeDocument/2006/relationships/hyperlink" Target="http://itie.sn/wp-content/uploads/2017/03/Plan-de-travail-annuel-ITIE-2017.pdf" TargetMode="External"/><Relationship Id="rId26" Type="http://schemas.openxmlformats.org/officeDocument/2006/relationships/hyperlink" Target="http://itie.sn/" TargetMode="External"/><Relationship Id="rId27" Type="http://schemas.openxmlformats.org/officeDocument/2006/relationships/hyperlink" Target="http://itie.sn/permis-de-recherche-de-mineraux-lourds-2014/" TargetMode="External"/><Relationship Id="rId28" Type="http://schemas.openxmlformats.org/officeDocument/2006/relationships/hyperlink" Target="http://itie.sn/permis-de-recherche-de-fer-2014/" TargetMode="External"/><Relationship Id="rId29" Type="http://schemas.openxmlformats.org/officeDocument/2006/relationships/hyperlink" Target="http://itie.sn/permis-de-recherche-de-phosphates-2014/" TargetMode="External"/><Relationship Id="rId73" Type="http://schemas.openxmlformats.org/officeDocument/2006/relationships/hyperlink" Target="http://itie.sn/contrats-miniers/" TargetMode="External"/><Relationship Id="rId74" Type="http://schemas.openxmlformats.org/officeDocument/2006/relationships/hyperlink" Target="http://itie.sn/contrats-petroliers/" TargetMode="External"/><Relationship Id="rId60" Type="http://schemas.openxmlformats.org/officeDocument/2006/relationships/hyperlink" Target="https://twitter.com/Itie_Senegal" TargetMode="External"/><Relationship Id="rId61" Type="http://schemas.openxmlformats.org/officeDocument/2006/relationships/hyperlink" Target="https://plus.google.com/105664725486030930079" TargetMode="External"/><Relationship Id="rId62" Type="http://schemas.openxmlformats.org/officeDocument/2006/relationships/hyperlink" Target="https://www.youtube.com/channel/UCvP3npUKDaaMwp5MuxIbRmw/videos" TargetMode="External"/><Relationship Id="rId10" Type="http://schemas.openxmlformats.org/officeDocument/2006/relationships/hyperlink" Target="http://itie.sn/groupe-multipartite/" TargetMode="External"/><Relationship Id="rId11" Type="http://schemas.openxmlformats.org/officeDocument/2006/relationships/hyperlink" Target="http://itie.sn/groupe-multipartite/" TargetMode="External"/><Relationship Id="rId12" Type="http://schemas.openxmlformats.org/officeDocument/2006/relationships/hyperlink" Target="http://itie.sn/?offshore_dl=214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Users\alexgordy\Desktop\EITI\EITI%20Senegal\Press%20coverage%20of%20EITI%20Senegal%202015-2017.xlsx" TargetMode="External"/><Relationship Id="rId2" Type="http://schemas.microsoft.com/office/2011/relationships/chartStyle" Target="style1.xml"/><Relationship Id="rId3"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mj-lt"/>
              </a:rPr>
              <a:t>Media coverage (press</a:t>
            </a:r>
            <a:r>
              <a:rPr lang="en-US" sz="1100" baseline="0">
                <a:latin typeface="+mj-lt"/>
              </a:rPr>
              <a:t> &amp; TV) </a:t>
            </a:r>
          </a:p>
          <a:p>
            <a:pPr>
              <a:defRPr sz="1400" b="0" i="0" u="none" strike="noStrike" kern="1200" spc="0" baseline="0">
                <a:solidFill>
                  <a:schemeClr val="tx1">
                    <a:lumMod val="65000"/>
                    <a:lumOff val="35000"/>
                  </a:schemeClr>
                </a:solidFill>
                <a:latin typeface="+mn-lt"/>
                <a:ea typeface="+mn-ea"/>
                <a:cs typeface="+mn-cs"/>
              </a:defRPr>
            </a:pPr>
            <a:r>
              <a:rPr lang="en-US" sz="1100">
                <a:latin typeface="+mj-lt"/>
              </a:rPr>
              <a:t>of EITI Senegal </a:t>
            </a:r>
          </a:p>
          <a:p>
            <a:pPr>
              <a:defRPr sz="1400" b="0" i="0" u="none" strike="noStrike" kern="1200" spc="0" baseline="0">
                <a:solidFill>
                  <a:schemeClr val="tx1">
                    <a:lumMod val="65000"/>
                    <a:lumOff val="35000"/>
                  </a:schemeClr>
                </a:solidFill>
                <a:latin typeface="+mn-lt"/>
                <a:ea typeface="+mn-ea"/>
                <a:cs typeface="+mn-cs"/>
              </a:defRPr>
            </a:pPr>
            <a:r>
              <a:rPr lang="en-US" sz="1100">
                <a:latin typeface="+mj-lt"/>
              </a:rPr>
              <a:t>(as tracked by secretariat)</a:t>
            </a:r>
          </a:p>
        </c:rich>
      </c:tx>
      <c:layout>
        <c:manualLayout>
          <c:xMode val="edge"/>
          <c:yMode val="edge"/>
          <c:x val="0.212999352191751"/>
          <c:y val="0.027266530334015"/>
        </c:manualLayout>
      </c:layout>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cat>
            <c:numRef>
              <c:f>Sheet1!$A$3:$A$31</c:f>
              <c:numCache>
                <c:formatCode>mmm\-yy</c:formatCode>
                <c:ptCount val="29"/>
                <c:pt idx="0">
                  <c:v>42887.0</c:v>
                </c:pt>
                <c:pt idx="1">
                  <c:v>42856.0</c:v>
                </c:pt>
                <c:pt idx="2">
                  <c:v>42826.0</c:v>
                </c:pt>
                <c:pt idx="3">
                  <c:v>42795.0</c:v>
                </c:pt>
                <c:pt idx="4">
                  <c:v>42767.0</c:v>
                </c:pt>
                <c:pt idx="5">
                  <c:v>42736.0</c:v>
                </c:pt>
                <c:pt idx="6">
                  <c:v>42705.0</c:v>
                </c:pt>
                <c:pt idx="7">
                  <c:v>42675.0</c:v>
                </c:pt>
                <c:pt idx="8">
                  <c:v>42644.0</c:v>
                </c:pt>
                <c:pt idx="9">
                  <c:v>42614.0</c:v>
                </c:pt>
                <c:pt idx="10">
                  <c:v>42583.0</c:v>
                </c:pt>
                <c:pt idx="11">
                  <c:v>42552.0</c:v>
                </c:pt>
                <c:pt idx="12">
                  <c:v>42522.0</c:v>
                </c:pt>
                <c:pt idx="13">
                  <c:v>42491.0</c:v>
                </c:pt>
                <c:pt idx="14">
                  <c:v>42461.0</c:v>
                </c:pt>
                <c:pt idx="15">
                  <c:v>42430.0</c:v>
                </c:pt>
                <c:pt idx="16">
                  <c:v>42401.0</c:v>
                </c:pt>
                <c:pt idx="17">
                  <c:v>42370.0</c:v>
                </c:pt>
                <c:pt idx="18">
                  <c:v>42339.0</c:v>
                </c:pt>
                <c:pt idx="19">
                  <c:v>42309.0</c:v>
                </c:pt>
                <c:pt idx="20">
                  <c:v>42278.0</c:v>
                </c:pt>
                <c:pt idx="21">
                  <c:v>42248.0</c:v>
                </c:pt>
                <c:pt idx="22">
                  <c:v>42217.0</c:v>
                </c:pt>
                <c:pt idx="23">
                  <c:v>42186.0</c:v>
                </c:pt>
                <c:pt idx="24">
                  <c:v>42156.0</c:v>
                </c:pt>
                <c:pt idx="25">
                  <c:v>42125.0</c:v>
                </c:pt>
                <c:pt idx="26">
                  <c:v>42095.0</c:v>
                </c:pt>
                <c:pt idx="27">
                  <c:v>42064.0</c:v>
                </c:pt>
                <c:pt idx="28">
                  <c:v>42036.0</c:v>
                </c:pt>
              </c:numCache>
            </c:numRef>
          </c:cat>
          <c:val>
            <c:numRef>
              <c:f>Sheet1!$B$3:$B$31</c:f>
              <c:numCache>
                <c:formatCode>General</c:formatCode>
                <c:ptCount val="29"/>
                <c:pt idx="0">
                  <c:v>30.0</c:v>
                </c:pt>
                <c:pt idx="1">
                  <c:v>46.0</c:v>
                </c:pt>
                <c:pt idx="2">
                  <c:v>17.0</c:v>
                </c:pt>
                <c:pt idx="3">
                  <c:v>9.0</c:v>
                </c:pt>
                <c:pt idx="4">
                  <c:v>3.0</c:v>
                </c:pt>
                <c:pt idx="5">
                  <c:v>3.0</c:v>
                </c:pt>
                <c:pt idx="6">
                  <c:v>10.0</c:v>
                </c:pt>
                <c:pt idx="7">
                  <c:v>28.0</c:v>
                </c:pt>
                <c:pt idx="8">
                  <c:v>43.0</c:v>
                </c:pt>
                <c:pt idx="9">
                  <c:v>12.0</c:v>
                </c:pt>
                <c:pt idx="10">
                  <c:v>10.0</c:v>
                </c:pt>
                <c:pt idx="11">
                  <c:v>22.0</c:v>
                </c:pt>
                <c:pt idx="12">
                  <c:v>19.0</c:v>
                </c:pt>
                <c:pt idx="13">
                  <c:v>5.0</c:v>
                </c:pt>
                <c:pt idx="14">
                  <c:v>4.0</c:v>
                </c:pt>
                <c:pt idx="15">
                  <c:v>1.0</c:v>
                </c:pt>
                <c:pt idx="16">
                  <c:v>2.0</c:v>
                </c:pt>
                <c:pt idx="17">
                  <c:v>1.0</c:v>
                </c:pt>
                <c:pt idx="18">
                  <c:v>7.0</c:v>
                </c:pt>
                <c:pt idx="19">
                  <c:v>17.0</c:v>
                </c:pt>
                <c:pt idx="20">
                  <c:v>15.0</c:v>
                </c:pt>
                <c:pt idx="21">
                  <c:v>4.0</c:v>
                </c:pt>
                <c:pt idx="22">
                  <c:v>3.0</c:v>
                </c:pt>
                <c:pt idx="23">
                  <c:v>1.0</c:v>
                </c:pt>
                <c:pt idx="24">
                  <c:v>7.0</c:v>
                </c:pt>
                <c:pt idx="25">
                  <c:v>13.0</c:v>
                </c:pt>
                <c:pt idx="26">
                  <c:v>1.0</c:v>
                </c:pt>
                <c:pt idx="27">
                  <c:v>11.0</c:v>
                </c:pt>
                <c:pt idx="28">
                  <c:v>11.0</c:v>
                </c:pt>
              </c:numCache>
            </c:numRef>
          </c:val>
          <c:smooth val="0"/>
          <c:extLst xmlns:c16r2="http://schemas.microsoft.com/office/drawing/2015/06/chart">
            <c:ext xmlns:c16="http://schemas.microsoft.com/office/drawing/2014/chart" uri="{C3380CC4-5D6E-409C-BE32-E72D297353CC}">
              <c16:uniqueId val="{00000000-3DB6-43C0-851D-8162C4A119C4}"/>
            </c:ext>
          </c:extLst>
        </c:ser>
        <c:dLbls>
          <c:showLegendKey val="0"/>
          <c:showVal val="0"/>
          <c:showCatName val="0"/>
          <c:showSerName val="0"/>
          <c:showPercent val="0"/>
          <c:showBubbleSize val="0"/>
        </c:dLbls>
        <c:marker val="1"/>
        <c:smooth val="0"/>
        <c:axId val="-2117504552"/>
        <c:axId val="-2117560088"/>
      </c:lineChart>
      <c:dateAx>
        <c:axId val="-211750455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117560088"/>
        <c:crosses val="autoZero"/>
        <c:auto val="1"/>
        <c:lblOffset val="100"/>
        <c:baseTimeUnit val="months"/>
      </c:dateAx>
      <c:valAx>
        <c:axId val="-2117560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117504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b:Source>
    <b:Tag>ITI1610</b:Tag>
    <b:SourceType>InternetSite</b:SourceType>
    <b:Guid>{466EC3A7-B794-0248-B8D5-A6A893818D1B}</b:Guid>
    <b:Author>
      <b:Author>
        <b:Corporate>ITIE Senegal</b:Corporate>
      </b:Author>
    </b:Author>
    <b:Title>Rapport ITIE 2014</b:Title>
    <b:URL>http://itie.sn/?offshore_dl=986</b:URL>
    <b:Year>2016</b:Year>
    <b:Month>December</b:Month>
    <b:YearAccessed>2017</b:YearAccessed>
    <b:MonthAccessed>July</b:MonthAccessed>
    <b:RefOrder>1</b:RefOrder>
  </b:Source>
  <b:Source>
    <b:Tag>ITI159</b:Tag>
    <b:SourceType>InternetSite</b:SourceType>
    <b:Guid>{CED91E94-DD5F-1141-A1CA-0919AA7DE0E5}</b:Guid>
    <b:Author>
      <b:Author>
        <b:Corporate>ITIE Senegal</b:Corporate>
      </b:Author>
    </b:Author>
    <b:Title>Rapport ITIE 2013</b:Title>
    <b:URL>http://itie.sn/?offshore_dl=980</b:URL>
    <b:Year>2015</b:Year>
    <b:Month>October</b:Month>
    <b:YearAccessed>2017</b:YearAccessed>
    <b:MonthAccessed>July</b:MonthAccessed>
    <b:RefOrder>65</b:RefOrder>
  </b:Source>
  <b:Source>
    <b:Tag>ITI1611</b:Tag>
    <b:SourceType>InternetSite</b:SourceType>
    <b:Guid>{15DDB230-27C5-E54B-84B8-647737060AC7}</b:Guid>
    <b:Author>
      <b:Author>
        <b:Corporate>ITIE Senegal</b:Corporate>
      </b:Author>
    </b:Author>
    <b:Title>Comprendre pour agir 2014</b:Title>
    <b:URL>http://itie.sn/?offshore_dl=990</b:URL>
    <b:Year>2016</b:Year>
    <b:Month>December</b:Month>
    <b:YearAccessed>2017</b:YearAccessed>
    <b:MonthAccessed>July</b:MonthAccessed>
    <b:RefOrder>164</b:RefOrder>
  </b:Source>
  <b:Source>
    <b:Tag>ITI1612</b:Tag>
    <b:SourceType>InternetSite</b:SourceType>
    <b:Guid>{213D0C17-DE2B-6246-9081-64BCABB87834}</b:Guid>
    <b:Author>
      <b:Author>
        <b:Corporate>ITIE Senegal</b:Corporate>
      </b:Author>
    </b:Author>
    <b:Title>Donnees chiffrees Rapport ITIE 2014</b:Title>
    <b:URL>http://itie.sn/?offshore_dl=990</b:URL>
    <b:Year>2016</b:Year>
    <b:Month>December</b:Month>
    <b:YearAccessed>2017</b:YearAccessed>
    <b:MonthAccessed>July</b:MonthAccessed>
    <b:RefOrder>209</b:RefOrder>
  </b:Source>
  <b:Source>
    <b:Tag>ITI1510</b:Tag>
    <b:SourceType>InternetSite</b:SourceType>
    <b:Guid>{A1DB78EA-B9B7-8644-B555-E8E1970E81A2}</b:Guid>
    <b:Author>
      <b:Author>
        <b:Corporate>ITIE Senegal</b:Corporate>
      </b:Author>
    </b:Author>
    <b:Title>Donnees chifrees Rapport ITIE 2013</b:Title>
    <b:URL>http://itie.sn/?offshore_dl=978</b:URL>
    <b:Year>2015</b:Year>
    <b:Month>November</b:Month>
    <b:YearAccessed>2017</b:YearAccessed>
    <b:MonthAccessed>July</b:MonthAccessed>
    <b:RefOrder>210</b:RefOrder>
  </b:Source>
  <b:Source>
    <b:Tag>ITI1511</b:Tag>
    <b:SourceType>InternetSite</b:SourceType>
    <b:Guid>{65A4B74A-5CFF-1240-AA8D-5106865264A5}</b:Guid>
    <b:Author>
      <b:Author>
        <b:Corporate>ITIE Senegal</b:Corporate>
      </b:Author>
    </b:Author>
    <b:Title>Comprendre pour agir 2013</b:Title>
    <b:URL>http://itie.sn/?offshore_dl=965</b:URL>
    <b:Year>2015</b:Year>
    <b:Month>December</b:Month>
    <b:YearAccessed>2017</b:YearAccessed>
    <b:MonthAccessed>July</b:MonthAccessed>
    <b:RefOrder>163</b:RefOrder>
  </b:Source>
  <b:Source>
    <b:Tag>ITI171</b:Tag>
    <b:SourceType>InternetSite</b:SourceType>
    <b:Guid>{D81CCC55-2738-B740-B77B-E667289A18AB}</b:Guid>
    <b:Author>
      <b:Author>
        <b:Corporate>ITIE Senegal</b:Corporate>
      </b:Author>
    </b:Author>
    <b:Title>Politique de donnees ouvertes ITIE Senegal</b:Title>
    <b:URL>http://itie.sn/?offshore_dl=1125</b:URL>
    <b:Year>2017</b:Year>
    <b:Month>January</b:Month>
    <b:YearAccessed>2017</b:YearAccessed>
    <b:MonthAccessed>July</b:MonthAccessed>
    <b:RefOrder>211</b:RefOrder>
  </b:Source>
  <b:Source>
    <b:Tag>ITI1512</b:Tag>
    <b:SourceType>InternetSite</b:SourceType>
    <b:Guid>{90BB8257-BA65-B140-B1BA-26BC9240EEBC}</b:Guid>
    <b:Author>
      <b:Author>
        <b:Corporate>ITIE Senegal </b:Corporate>
      </b:Author>
    </b:Author>
    <b:Title>Etude de cadrage ITIE Senegal - Fairlinks</b:Title>
    <b:URL>http://itie.sn/?offshore_dl=2001</b:URL>
    <b:Year>2015</b:Year>
    <b:YearAccessed>2017</b:YearAccessed>
    <b:MonthAccessed>July</b:MonthAccessed>
    <b:RefOrder>212</b:RefOrder>
  </b:Source>
  <b:Source>
    <b:Tag>ITI1613</b:Tag>
    <b:SourceType>InternetSite</b:SourceType>
    <b:Guid>{ED39A181-1FD0-0343-BB42-2D28436300E2}</b:Guid>
    <b:Author>
      <b:Author>
        <b:Corporate>ITIE Senegal</b:Corporate>
      </b:Author>
    </b:Author>
    <b:Title>Feuille de route divulgation Propriété Réelle – CN ITIE Sénégal</b:Title>
    <b:URL>http://itie.sn/?offshore_dl=1127</b:URL>
    <b:Year>2016</b:Year>
    <b:Month>December</b:Month>
    <b:YearAccessed>2017</b:YearAccessed>
    <b:MonthAccessed>July</b:MonthAccessed>
    <b:RefOrder>213</b:RefOrder>
  </b:Source>
  <b:Source>
    <b:Tag>ITI1614</b:Tag>
    <b:SourceType>InternetSite</b:SourceType>
    <b:Guid>{619AFAAB-4A3F-BF42-BFD4-D52474FEFC4D}</b:Guid>
    <b:Author>
      <b:Author>
        <b:Corporate>ITIE Senegal</b:Corporate>
      </b:Author>
    </b:Author>
    <b:Title>Plaquete ITIE Senegal</b:Title>
    <b:URL>http://itie.sn/?offshore_dl=2002</b:URL>
    <b:Year>2016</b:Year>
    <b:YearAccessed>2017</b:YearAccessed>
    <b:MonthAccessed>July</b:MonthAccessed>
    <b:RefOrder>214</b:RefOrder>
  </b:Source>
  <b:Source>
    <b:Tag>PWY16</b:Tag>
    <b:SourceType>InternetSite</b:SourceType>
    <b:Guid>{6D196091-9396-4848-BE7A-163460C3DF8D}</b:Guid>
    <b:Author>
      <b:Author>
        <b:Corporate>PWYP Senegal</b:Corporate>
      </b:Author>
    </b:Author>
    <b:Title>Compte rendu de la caravane de sensibilisation et de vulgarisation de l'ITIE</b:Title>
    <b:URL>http://itie.sn/?offshore_dl=2003</b:URL>
    <b:Year>2016</b:Year>
    <b:YearAccessed>2017</b:YearAccessed>
    <b:MonthAccessed>July</b:MonthAccessed>
    <b:RefOrder>90</b:RefOrder>
  </b:Source>
  <b:Source>
    <b:Tag>ITI1513</b:Tag>
    <b:SourceType>InternetSite</b:SourceType>
    <b:Guid>{78F90E15-65DC-C243-AD27-2541F338697C}</b:Guid>
    <b:Author>
      <b:Author>
        <b:Corporate>ITIE Senegal</b:Corporate>
      </b:Author>
    </b:Author>
    <b:Title>Les activités extractives : Quel contrôle public ?</b:Title>
    <b:URL>http://itie.sn/?offshore_dl=1129</b:URL>
    <b:Year>2015</b:Year>
    <b:Month>December</b:Month>
    <b:YearAccessed>2017</b:YearAccessed>
    <b:MonthAccessed>July</b:MonthAccessed>
    <b:RefOrder>215</b:RefOrder>
  </b:Source>
  <b:Source>
    <b:Tag>PWY15</b:Tag>
    <b:SourceType>InternetSite</b:SourceType>
    <b:Guid>{34E1D727-7CD8-214E-9C8A-358EDDAA1D1F}</b:Guid>
    <b:Author>
      <b:Author>
        <b:Corporate>PWYP Senegal</b:Corporate>
      </b:Author>
    </b:Author>
    <b:Title>Contribution de la coalition sur la révision du code minier - FINAL</b:Title>
    <b:URL>http://itie.sn/?offshore_dl=1145</b:URL>
    <b:Year>2015</b:Year>
    <b:Month>February</b:Month>
    <b:YearAccessed>2017</b:YearAccessed>
    <b:MonthAccessed>July</b:MonthAccessed>
    <b:RefOrder>216</b:RefOrder>
  </b:Source>
  <b:Source>
    <b:Tag>ITI148</b:Tag>
    <b:SourceType>InternetSite</b:SourceType>
    <b:Guid>{2AC499DB-F1D6-F745-B975-2428EEE8238C}</b:Guid>
    <b:Author>
      <b:Author>
        <b:Corporate>ITIE Senegal</b:Corporate>
      </b:Author>
    </b:Author>
    <b:Title>Rapport Atelier de mise à niveau de l'Administration Août 2014</b:Title>
    <b:URL>http://itie.sn/?offshore_dl=2006</b:URL>
    <b:Year>2014</b:Year>
    <b:Month>August</b:Month>
    <b:YearAccessed>2017</b:YearAccessed>
    <b:MonthAccessed>July</b:MonthAccessed>
    <b:RefOrder>217</b:RefOrder>
  </b:Source>
  <b:Source>
    <b:Tag>ITI149</b:Tag>
    <b:SourceType>InternetSite</b:SourceType>
    <b:Guid>{EE95E30A-1601-8A44-98AC-57FB1BC4CB2F}</b:Guid>
    <b:Author>
      <b:Author>
        <b:Corporate>ITIE Senegal</b:Corporate>
      </b:Author>
    </b:Author>
    <b:Title>Rapport Atelier de mise à niveau des OSC - Août 2014</b:Title>
    <b:URL>http://itie.sn/?offshore_dl=2007</b:URL>
    <b:Year>2014</b:Year>
    <b:Month>August</b:Month>
    <b:YearAccessed>2017</b:YearAccessed>
    <b:MonthAccessed>July</b:MonthAccessed>
    <b:RefOrder>218</b:RefOrder>
  </b:Source>
  <b:Source>
    <b:Tag>ITI1514</b:Tag>
    <b:SourceType>InternetSite</b:SourceType>
    <b:Guid>{93DA114D-385E-DB4B-B0F0-C58B05D4CD77}</b:Guid>
    <b:Author>
      <b:Author>
        <b:Corporate>ITIE Senegal</b:Corporate>
      </b:Author>
    </b:Author>
    <b:Title>Rapport Atelier de sensibilisation à Kédougou 13 Mai 2015</b:Title>
    <b:URL>http://itie.sn/?offshore_dl=2008</b:URL>
    <b:Year>2015</b:Year>
    <b:Month>May</b:Month>
    <b:YearAccessed>2017</b:YearAccessed>
    <b:MonthAccessed>July</b:MonthAccessed>
    <b:RefOrder>94</b:RefOrder>
  </b:Source>
  <b:Source>
    <b:Tag>ITI1410</b:Tag>
    <b:SourceType>InternetSite</b:SourceType>
    <b:Guid>{6E0A2A23-AF10-5E43-ADF7-C8E3E63AC9A8}</b:Guid>
    <b:Author>
      <b:Author>
        <b:Corporate>ITIE Senegal</b:Corporate>
      </b:Author>
    </b:Author>
    <b:Title>Rapport Atelier de sensibilisation des Communautés THIES Décembre 2014</b:Title>
    <b:URL>http://itie.sn/?offshore_dl=2009</b:URL>
    <b:Year>2014</b:Year>
    <b:Month>December</b:Month>
    <b:YearAccessed>2017</b:YearAccessed>
    <b:MonthAccessed>July</b:MonthAccessed>
    <b:RefOrder>92</b:RefOrder>
  </b:Source>
  <b:Source>
    <b:Tag>ITI1411</b:Tag>
    <b:SourceType>InternetSite</b:SourceType>
    <b:Guid>{73CFA057-383C-8E46-9A76-104D4B4BF8C7}</b:Guid>
    <b:Author>
      <b:Author>
        <b:Corporate>ITIE Senegal</b:Corporate>
      </b:Author>
    </b:Author>
    <b:Title>Rapport Atelier de sensibilisation des entreprises minières et pétrolières JUIN 2014</b:Title>
    <b:URL>http://itie.sn/?offshore_dl=2010</b:URL>
    <b:Year>2014</b:Year>
    <b:Month>June</b:Month>
    <b:YearAccessed>2017</b:YearAccessed>
    <b:MonthAccessed>July</b:MonthAccessed>
    <b:RefOrder>219</b:RefOrder>
  </b:Source>
  <b:Source>
    <b:Tag>ITI1412</b:Tag>
    <b:SourceType>InternetSite</b:SourceType>
    <b:Guid>{FFBBC0B9-F4B1-1A45-8026-1D9869E1CEBE}</b:Guid>
    <b:Author>
      <b:Author>
        <b:Corporate>ITIE Senegal</b:Corporate>
      </b:Author>
    </b:Author>
    <b:Title>Rapport Atelier Parlementaire Mai 2014</b:Title>
    <b:URL>http://itie.sn/?offshore_dl=2011</b:URL>
    <b:Year>2014</b:Year>
    <b:Month>May</b:Month>
    <b:YearAccessed>2017</b:YearAccessed>
    <b:MonthAccessed>July</b:MonthAccessed>
    <b:RefOrder>184</b:RefOrder>
  </b:Source>
  <b:Source>
    <b:Tag>ITI1515</b:Tag>
    <b:SourceType>InternetSite</b:SourceType>
    <b:Guid>{A12283EE-6AA5-CB43-9FD2-97DB1912ADC4}</b:Guid>
    <b:Author>
      <b:Author>
        <b:Corporate>ITIE Senegal</b:Corporate>
      </b:Author>
    </b:Author>
    <b:Title>Rapport Forum Communautaire Rufisque</b:Title>
    <b:URL>http://itie.sn/?offshore_dl=2012</b:URL>
    <b:Year>2015</b:Year>
    <b:Month>December</b:Month>
    <b:YearAccessed>2017</b:YearAccessed>
    <b:MonthAccessed>July</b:MonthAccessed>
    <b:RefOrder>95</b:RefOrder>
  </b:Source>
  <b:Source>
    <b:Tag>PWY151</b:Tag>
    <b:SourceType>InternetSite</b:SourceType>
    <b:Guid>{28E96EDE-2CBD-8E45-B326-A5B7D8E81F53}</b:Guid>
    <b:Author>
      <b:Author>
        <b:Corporate>PWYP Senegal</b:Corporate>
      </b:Author>
    </b:Author>
    <b:Title>Rapport Mobilisation Communautaire KEDOUGOU</b:Title>
    <b:URL>http://itie.sn/?offshore_dl=2013</b:URL>
    <b:Year>2015</b:Year>
    <b:Month>December</b:Month>
    <b:YearAccessed>2017</b:YearAccessed>
    <b:MonthAccessed>July</b:MonthAccessed>
    <b:RefOrder>91</b:RefOrder>
  </b:Source>
  <b:Source>
    <b:Tag>PWY14</b:Tag>
    <b:SourceType>InternetSite</b:SourceType>
    <b:Guid>{6C746B82-5A4B-6B42-97FA-4BDDB4D5CD4F}</b:Guid>
    <b:Author>
      <b:Author>
        <b:Corporate>PWYP Senegal</b:Corporate>
      </b:Author>
    </b:Author>
    <b:Title>Statuts de la Coalition « Publiez Ce Que Vous Payez/Sénégal »</b:Title>
    <b:URL>http://itie.sn/?offshore_dl=1143</b:URL>
    <b:Year>2014</b:Year>
    <b:YearAccessed>2017</b:YearAccessed>
    <b:MonthAccessed>July</b:MonthAccessed>
    <b:RefOrder>220</b:RefOrder>
  </b:Source>
  <b:Source>
    <b:Tag>PWY152</b:Tag>
    <b:SourceType>InternetSite</b:SourceType>
    <b:Guid>{62C3DB69-A406-CD45-8D1F-B85CB9E52470}</b:Guid>
    <b:Author>
      <b:Author>
        <b:Corporate>PWYP Senegal</b:Corporate>
      </b:Author>
    </b:Author>
    <b:Title>Déclaration de la Coalition PCVP-Sénégal-2015</b:Title>
    <b:URL>http://itie.sn/?offshore_dl=1147</b:URL>
    <b:Year>2015</b:Year>
    <b:Month>June</b:Month>
    <b:YearAccessed>2017</b:YearAccessed>
    <b:MonthAccessed>July</b:MonthAccessed>
    <b:RefOrder>221</b:RefOrder>
  </b:Source>
  <b:Source>
    <b:Tag>PWY153</b:Tag>
    <b:SourceType>InternetSite</b:SourceType>
    <b:Guid>{21D2D353-8C7A-0B4F-AB71-AA33B08E56BE}</b:Guid>
    <b:Author>
      <b:Author>
        <b:Corporate>PWYP Senegal</b:Corporate>
      </b:Author>
    </b:Author>
    <b:Title>Contribution de la Coalition Publiez Ce Que Vous Payez / Sénégal sur l’avant projet de Code Minier</b:Title>
    <b:URL>http://itie.sn/?offshore_dl=1145</b:URL>
    <b:Year>2015</b:Year>
    <b:Month>February</b:Month>
    <b:YearAccessed>2017</b:YearAccessed>
    <b:MonthAccessed>July</b:MonthAccessed>
    <b:RefOrder>222</b:RefOrder>
  </b:Source>
  <b:Source>
    <b:Tag>ITI1615</b:Tag>
    <b:SourceType>InternetSite</b:SourceType>
    <b:Guid>{53DC0B7C-348F-614E-A9A5-615C873BC56D}</b:Guid>
    <b:Author>
      <b:Author>
        <b:Corporate>ITIE Senegal</b:Corporate>
      </b:Author>
    </b:Author>
    <b:Title>Plan d'Action 2016-2017</b:Title>
    <b:URL>http://itie.sn/?offshore_dl=1992</b:URL>
    <b:Year>2016</b:Year>
    <b:YearAccessed>2017</b:YearAccessed>
    <b:MonthAccessed>July</b:MonthAccessed>
    <b:RefOrder>223</b:RefOrder>
  </b:Source>
  <b:Source>
    <b:Tag>ITI1516</b:Tag>
    <b:SourceType>InternetSite</b:SourceType>
    <b:Guid>{C79EB141-470E-074C-9F85-A6CEAC8DC6F9}</b:Guid>
    <b:Author>
      <b:Author>
        <b:Corporate>ITIE Senegal</b:Corporate>
      </b:Author>
    </b:Author>
    <b:Title>Workplan ITIE du 10 Février 2015</b:Title>
    <b:URL>http://itie.sn/?offshore_dl=1993</b:URL>
    <b:Year>2015</b:Year>
    <b:Month>February</b:Month>
    <b:YearAccessed>2017</b:YearAccessed>
    <b:MonthAccessed>July</b:MonthAccessed>
    <b:RefOrder>224</b:RefOrder>
  </b:Source>
  <b:Source>
    <b:Tag>Pre161</b:Tag>
    <b:SourceType>InternetSite</b:SourceType>
    <b:Guid>{5583E601-F54F-694E-A8E0-C005B35BD693}</b:Guid>
    <b:Author>
      <b:Author>
        <b:Corporate>President de la Republique</b:Corporate>
      </b:Author>
    </b:Author>
    <b:Title>Arrêté portant Nomination des membres du comité national de l'ITIE</b:Title>
    <b:URL>http://itie.sn/?offshore_dl=621</b:URL>
    <b:Year>2016</b:Year>
    <b:Month>August</b:Month>
    <b:YearAccessed>2017</b:YearAccessed>
    <b:MonthAccessed>July</b:MonthAccessed>
    <b:RefOrder>16</b:RefOrder>
  </b:Source>
  <b:Source>
    <b:Tag>ITI1413</b:Tag>
    <b:SourceType>InternetSite</b:SourceType>
    <b:Guid>{4343E065-98C4-1A48-9868-DEC9D3299688}</b:Guid>
    <b:Author>
      <b:Author>
        <b:Corporate>ITIE Senegal</b:Corporate>
      </b:Author>
    </b:Author>
    <b:Title>Atelier de dissémination du rapport ITIE 2013</b:Title>
    <b:URL>http://itie.sn/wp-content/uploads/2017/03/Atelier-de-diss%C3%A9mination-du-rapport-ITIE-2013-du-S%C3%A9n%C3%A9gal-1.pdf</b:URL>
    <b:Year>2014</b:Year>
    <b:Month>November</b:Month>
    <b:YearAccessed>2017</b:YearAccessed>
    <b:MonthAccessed>July</b:MonthAccessed>
    <b:RefOrder>225</b:RefOrder>
  </b:Source>
  <b:Source>
    <b:Tag>ITI1315</b:Tag>
    <b:SourceType>InternetSite</b:SourceType>
    <b:Guid>{AF257CDF-4B20-5F4B-BA44-D87C77646962}</b:Guid>
    <b:Author>
      <b:Author>
        <b:Corporate>ITIE Senegal</b:Corporate>
      </b:Author>
    </b:Author>
    <b:Title>PV RÉUNION DU GMP – 27 JUILLET 2013</b:Title>
    <b:URL>http://itie.sn/wp-content/uploads/2017/03/Compte-Rendu-reunion-27-Juillet-2013.pdf</b:URL>
    <b:Year>2013</b:Year>
    <b:Month>July</b:Month>
    <b:YearAccessed>2017</b:YearAccessed>
    <b:MonthAccessed>July</b:MonthAccessed>
    <b:RefOrder>226</b:RefOrder>
  </b:Source>
  <b:Source>
    <b:Tag>ITI1316</b:Tag>
    <b:SourceType>InternetSite</b:SourceType>
    <b:Guid>{7446B3B4-5F22-3049-93A2-F7CA853E95BA}</b:Guid>
    <b:Author>
      <b:Author>
        <b:Corporate>ITIE Senegal</b:Corporate>
      </b:Author>
    </b:Author>
    <b:Title>PV RÉUNION DU GMP – 02 OCTOBRE 2013</b:Title>
    <b:URL>http://itie.sn/wp-content/uploads/2017/03/Compte-Rendu-R%C3%A9union-du-GMP-02-Octobre-2013.pdf</b:URL>
    <b:Year>2013</b:Year>
    <b:Month>October</b:Month>
    <b:YearAccessed>2017</b:YearAccessed>
    <b:MonthAccessed>July</b:MonthAccessed>
    <b:RefOrder>227</b:RefOrder>
  </b:Source>
  <b:Source>
    <b:Tag>ITI1317</b:Tag>
    <b:SourceType>InternetSite</b:SourceType>
    <b:Guid>{4424B865-241B-1441-B727-FF823A17EE54}</b:Guid>
    <b:Author>
      <b:Author>
        <b:Corporate>ITIE Senegal</b:Corporate>
      </b:Author>
    </b:Author>
    <b:Title>PV RÉUNION DU GMP – 11 DÉCEMBRE 2013</b:Title>
    <b:URL>http://itie.sn/wp-content/uploads/2017/03/Compte-R-r%C3%A9union-GMP-11122013.pdf</b:URL>
    <b:Year>2013</b:Year>
    <b:Month>December</b:Month>
    <b:YearAccessed>2017</b:YearAccessed>
    <b:MonthAccessed>July</b:MonthAccessed>
    <b:RefOrder>228</b:RefOrder>
  </b:Source>
  <b:Source>
    <b:Tag>ITI1318</b:Tag>
    <b:SourceType>InternetSite</b:SourceType>
    <b:Guid>{F0290FA7-BE17-AA46-9E25-BE6438CF07BB}</b:Guid>
    <b:Author>
      <b:Author>
        <b:Corporate>ITIE Senegal</b:Corporate>
      </b:Author>
    </b:Author>
    <b:Title>PV RÉUNION DU GMP – 13 DÉCEMBRE 2013</b:Title>
    <b:URL>http://itie.sn/wp-content/uploads/2017/02/Compte-R-re%CC%81union-GMP.pdf</b:URL>
    <b:Year>2013</b:Year>
    <b:Month>December</b:Month>
    <b:YearAccessed>2017</b:YearAccessed>
    <b:MonthAccessed>July</b:MonthAccessed>
    <b:RefOrder>229</b:RefOrder>
  </b:Source>
  <b:Source>
    <b:Tag>ITI1414</b:Tag>
    <b:SourceType>InternetSite</b:SourceType>
    <b:Guid>{A9D43D61-B298-D740-ACAE-464362B4804A}</b:Guid>
    <b:Author>
      <b:Author>
        <b:Corporate>ITIE Senegal</b:Corporate>
      </b:Author>
    </b:Author>
    <b:Title>PV RÉUNION DU GMP – 04 MAI 2014</b:Title>
    <b:URL>http://itie.sn/wp-content/uploads/2017/03/2-Compte-Rendu-r%C3%A9union-GMP-04-mai-14.pdf</b:URL>
    <b:Year>2014</b:Year>
    <b:Month>May</b:Month>
    <b:YearAccessed>2017</b:YearAccessed>
    <b:MonthAccessed>July</b:MonthAccessed>
    <b:RefOrder>190</b:RefOrder>
  </b:Source>
  <b:Source>
    <b:Tag>ITI1415</b:Tag>
    <b:SourceType>InternetSite</b:SourceType>
    <b:Guid>{996631E8-EFFE-6146-972C-4CB4FA37D5B0}</b:Guid>
    <b:Author>
      <b:Author>
        <b:Corporate>ITIE Senegal</b:Corporate>
      </b:Author>
    </b:Author>
    <b:Title>PV RÉUNION DU GMP – 24 OCTOBRE 2014</b:Title>
    <b:URL>http://itie.sn/wp-content/uploads/2017/03/4-Compte-Rendu-r%C3%A9union-GMP-24-oct-14.pdf</b:URL>
    <b:Year>2014</b:Year>
    <b:Month>October</b:Month>
    <b:YearAccessed>2017</b:YearAccessed>
    <b:MonthAccessed>July</b:MonthAccessed>
    <b:RefOrder>156</b:RefOrder>
  </b:Source>
  <b:Source>
    <b:Tag>ITI1416</b:Tag>
    <b:SourceType>InternetSite</b:SourceType>
    <b:Guid>{5A435C9F-220A-8F4F-B9E6-713E06B5C47F}</b:Guid>
    <b:Author>
      <b:Author>
        <b:Corporate>ITIE Senegal</b:Corporate>
      </b:Author>
    </b:Author>
    <b:Title>PV RÉUNION DU GMP – 12 DÉCEMBRE 2014</b:Title>
    <b:URL>http://itie.sn/wp-content/uploads/2017/03/5-Compte-rendu-r%C3%A9union-GMP-12-D%C3%A9cembre-14.pdf</b:URL>
    <b:Year>2014</b:Year>
    <b:Month>December</b:Month>
    <b:YearAccessed>2017</b:YearAccessed>
    <b:MonthAccessed>July</b:MonthAccessed>
    <b:RefOrder>230</b:RefOrder>
  </b:Source>
  <b:Source>
    <b:Tag>ITI1517</b:Tag>
    <b:SourceType>InternetSite</b:SourceType>
    <b:Guid>{CDC606C2-E4C8-E849-917B-E1D69F90274A}</b:Guid>
    <b:Author>
      <b:Author>
        <b:Corporate>ITIE Senegal</b:Corporate>
      </b:Author>
    </b:Author>
    <b:Title>PV RÉUNION DU GMP-19 FÉVRIER 2015</b:Title>
    <b:URL>http://itie.sn/wp-content/uploads/2017/03/Compte-R%C3%A9union-Ordinaire-du-GMP-19-F%C3%A9vrier-2015.pdf</b:URL>
    <b:Year>2015</b:Year>
    <b:Month>February</b:Month>
    <b:YearAccessed>2017</b:YearAccessed>
    <b:MonthAccessed>July</b:MonthAccessed>
    <b:RefOrder>231</b:RefOrder>
  </b:Source>
  <b:Source>
    <b:Tag>ITI1518</b:Tag>
    <b:SourceType>InternetSite</b:SourceType>
    <b:Guid>{E62C8555-2C35-3744-8834-85AEF1FBECFF}</b:Guid>
    <b:Author>
      <b:Author>
        <b:Corporate>ITIE Senegal</b:Corporate>
      </b:Author>
    </b:Author>
    <b:Title>PV  RÉUNION DU GMP – 03 AVRIL 2015</b:Title>
    <b:URL>http://itie.sn/wp-content/uploads/2017/03/PV-R%C3%A9union-extraordinaire-du-GMP-03-Avril-2015.pdf</b:URL>
    <b:Year>2015</b:Year>
    <b:Month>April</b:Month>
    <b:YearAccessed>2017</b:YearAccessed>
    <b:MonthAccessed>July</b:MonthAccessed>
    <b:RefOrder>232</b:RefOrder>
  </b:Source>
  <b:Source>
    <b:Tag>ITI1519</b:Tag>
    <b:SourceType>InternetSite</b:SourceType>
    <b:Guid>{662CA364-410F-2848-BC70-23844EB4C33B}</b:Guid>
    <b:Author>
      <b:Author>
        <b:Corporate>ITIE Senegal</b:Corporate>
      </b:Author>
    </b:Author>
    <b:Title>PV RÉUNION DU GMP-07 AOÛT 2015</b:Title>
    <b:URL>http://itie.sn/wp-content/uploads/2017/03/Compte-rendu-R%C3%A9union-Ordinaire-du-GMP-07-Aout-2015.pdf</b:URL>
    <b:Year>2015</b:Year>
    <b:Month>August</b:Month>
    <b:YearAccessed>2017</b:YearAccessed>
    <b:MonthAccessed>July</b:MonthAccessed>
    <b:RefOrder>233</b:RefOrder>
  </b:Source>
  <b:Source>
    <b:Tag>ITI1520</b:Tag>
    <b:SourceType>InternetSite</b:SourceType>
    <b:Guid>{825459AE-0CE5-A34C-8DA9-9DBE607B939C}</b:Guid>
    <b:Author>
      <b:Author>
        <b:Corporate>ITIE Senegal</b:Corporate>
      </b:Author>
    </b:Author>
    <b:Title>PV RÉUNION DU GMP – 30 SEPTEMBRE 2015</b:Title>
    <b:URL>http://itie.sn/wp-content/uploads/2017/03/Compte-Rendu-r%C3%A9union-du-GMP-30-Septembre-2015-1.pdf</b:URL>
    <b:Year>2015</b:Year>
    <b:YearAccessed>2017</b:YearAccessed>
    <b:MonthAccessed>July</b:MonthAccessed>
    <b:RefOrder>234</b:RefOrder>
  </b:Source>
  <b:Source>
    <b:Tag>ITI1616</b:Tag>
    <b:SourceType>InternetSite</b:SourceType>
    <b:Guid>{DD3782FB-B6E4-984A-ACE6-73CF96ECF28F}</b:Guid>
    <b:Author>
      <b:Author>
        <b:Corporate>ITIE Senegal</b:Corporate>
      </b:Author>
    </b:Author>
    <b:Title>PV RÉUNION ORDINAIRE DU GMP – 08 JANVIER 2016</b:Title>
    <b:URL>http://itie.sn/wp-content/uploads/2017/03/Compte-rendu-R%C3%A9union-Ordinaire-GMP-08-Janvier-2016.pdf</b:URL>
    <b:Year>2016</b:Year>
    <b:Month>January</b:Month>
    <b:YearAccessed>2017</b:YearAccessed>
    <b:MonthAccessed>July</b:MonthAccessed>
    <b:RefOrder>235</b:RefOrder>
  </b:Source>
  <b:Source>
    <b:Tag>ITI1617</b:Tag>
    <b:SourceType>InternetSite</b:SourceType>
    <b:Guid>{F89B964F-B174-9240-964F-85234F091F08}</b:Guid>
    <b:Author>
      <b:Author>
        <b:Corporate>ITIE Senegal</b:Corporate>
      </b:Author>
    </b:Author>
    <b:Title>PV RÉUNION DU GMP – 27 JANVIER 2016</b:Title>
    <b:URL>http://itie.sn/wp-content/uploads/2017/03/1ere-r%C3%A9union-extraordinaire-du-GMP-27-Janvier-2016.pdf</b:URL>
    <b:Year>2016</b:Year>
    <b:Month>January</b:Month>
    <b:YearAccessed>2017</b:YearAccessed>
    <b:MonthAccessed>July</b:MonthAccessed>
    <b:RefOrder>236</b:RefOrder>
  </b:Source>
  <b:Source>
    <b:Tag>ITI1618</b:Tag>
    <b:SourceType>InternetSite</b:SourceType>
    <b:Guid>{B9C5B53B-E4B0-0146-9B7A-EE33BBEDAC74}</b:Guid>
    <b:Author>
      <b:Author>
        <b:Corporate>ITIE Senegal</b:Corporate>
      </b:Author>
    </b:Author>
    <b:Title>PV RÉUNION DU GMP-SEC INTERNATIONAL – 25 MARS 2016</b:Title>
    <b:URL>http://itie.sn/wp-content/uploads/2017/03/Compte-rendu-R%C3%A9union-GMP-Sec-International-25-Mars-2016.pdf</b:URL>
    <b:Year>2016</b:Year>
    <b:Month>March</b:Month>
    <b:YearAccessed>2017</b:YearAccessed>
    <b:MonthAccessed>July</b:MonthAccessed>
    <b:RefOrder>237</b:RefOrder>
  </b:Source>
  <b:Source>
    <b:Tag>ITI1619</b:Tag>
    <b:SourceType>InternetSite</b:SourceType>
    <b:Guid>{4B7ADAA9-4193-AF40-86BF-5C65FB3AFEB1}</b:Guid>
    <b:Author>
      <b:Author>
        <b:Corporate>ITIE Senegal</b:Corporate>
      </b:Author>
    </b:Author>
    <b:Title>PV REUNION DU GMP – 11 MAI 2016</b:Title>
    <b:URL>http://itie.sn/wp-content/uploads/2017/02/CR-2eme-re%CC%81union-ordinaire.pdf</b:URL>
    <b:Year>2016</b:Year>
    <b:Month>May</b:Month>
    <b:YearAccessed>2017</b:YearAccessed>
    <b:MonthAccessed>July</b:MonthAccessed>
    <b:RefOrder>238</b:RefOrder>
  </b:Source>
  <b:Source>
    <b:Tag>ITI1620</b:Tag>
    <b:SourceType>InternetSite</b:SourceType>
    <b:Guid>{2784EBE7-9FAF-694B-804E-38CF479C9F54}</b:Guid>
    <b:Author>
      <b:Author>
        <b:Corporate>ITIE Senegal</b:Corporate>
      </b:Author>
    </b:Author>
    <b:Title>PV REUNION DU GMP – 24 MAI 2016</b:Title>
    <b:URL>http://itie.sn/wp-content/uploads/2017/02/CR-2eme-re%CC%81union-extraordinaire.pdf</b:URL>
    <b:Year>2016</b:Year>
    <b:Month>May</b:Month>
    <b:YearAccessed>2017</b:YearAccessed>
    <b:MonthAccessed>July</b:MonthAccessed>
    <b:RefOrder>239</b:RefOrder>
  </b:Source>
  <b:Source>
    <b:Tag>ITI1621</b:Tag>
    <b:SourceType>InternetSite</b:SourceType>
    <b:Guid>{5EBA03FB-9594-E144-90DA-D451A180D35B}</b:Guid>
    <b:Author>
      <b:Author>
        <b:Corporate>ITIE Senegal</b:Corporate>
      </b:Author>
    </b:Author>
    <b:Title>PV RÉUNION DU GMP – 12 AOÛT 2016</b:Title>
    <b:URL>http://itie.sn/wp-content/uploads/2017/03/Compte-rendu-R%C3%A9union-Extraordinaire-GMP-12-Aout-2016.pdf</b:URL>
    <b:Year>2016</b:Year>
    <b:Month>August</b:Month>
    <b:YearAccessed>2017</b:YearAccessed>
    <b:MonthAccessed>July</b:MonthAccessed>
    <b:RefOrder>180</b:RefOrder>
  </b:Source>
  <b:Source>
    <b:Tag>ITI1622</b:Tag>
    <b:SourceType>InternetSite</b:SourceType>
    <b:Guid>{3004BED9-DE01-F74F-ACEA-9676132B0586}</b:Guid>
    <b:Author>
      <b:Author>
        <b:Corporate>ITIE Senegal</b:Corporate>
      </b:Author>
    </b:Author>
    <b:Title>PV RÉUNION DU GMP – 20 SEPTEMBRE 2016</b:Title>
    <b:URL>http://itie.sn/wp-content/uploads/2017/03/Compte-rendu-r%C3%A9union-Ordinaire-GMP-20-Septembre-2016.pdf</b:URL>
    <b:Year>2016</b:Year>
    <b:Month>September</b:Month>
    <b:YearAccessed>2017</b:YearAccessed>
    <b:MonthAccessed>July</b:MonthAccessed>
    <b:RefOrder>186</b:RefOrder>
  </b:Source>
  <b:Source>
    <b:Tag>ITI1623</b:Tag>
    <b:SourceType>InternetSite</b:SourceType>
    <b:Guid>{347F97BD-A3E5-3443-9A64-D7BD5E051430}</b:Guid>
    <b:Author>
      <b:Author>
        <b:Corporate>ITIE Senegal</b:Corporate>
      </b:Author>
    </b:Author>
    <b:Title>PV REUNION DU GMP – 16 DÉCEMBRE 2016</b:Title>
    <b:URL>http://itie.sn/wp-content/uploads/2017/02/CR-GMP.pdf</b:URL>
    <b:Year>2016</b:Year>
    <b:Month>December</b:Month>
    <b:YearAccessed>2017</b:YearAccessed>
    <b:MonthAccessed>July</b:MonthAccessed>
    <b:RefOrder>187</b:RefOrder>
  </b:Source>
  <b:Source>
    <b:Tag>ITI172</b:Tag>
    <b:SourceType>InternetSite</b:SourceType>
    <b:Guid>{48740A93-3372-7D42-B305-32221B5BABD9}</b:Guid>
    <b:Author>
      <b:Author>
        <b:Corporate>ITIE Senegal</b:Corporate>
      </b:Author>
    </b:Author>
    <b:Title>PV RÉUNION GMP N°1- 08 FÉVRIER 2O17</b:Title>
    <b:URL>http://itie.sn/wp-content/uploads/2017/02/CR-1-2017-1.pdf</b:URL>
    <b:Year>2017</b:Year>
    <b:Month>February</b:Month>
    <b:YearAccessed>2017</b:YearAccessed>
    <b:MonthAccessed>July</b:MonthAccessed>
    <b:RefOrder>240</b:RefOrder>
  </b:Source>
  <b:Source>
    <b:Tag>ITI173</b:Tag>
    <b:SourceType>InternetSite</b:SourceType>
    <b:Guid>{1BB3C430-E931-4C4A-B332-8A4CC364126B}</b:Guid>
    <b:Author>
      <b:Author>
        <b:Corporate>ITIE Senegal</b:Corporate>
      </b:Author>
    </b:Author>
    <b:Title>Dakar abrite, les 26 et 27 mai, un Colloque pluridisciplinaire sur les enjeux de l’exploitation pétrolière et gazière en Afrique</b:Title>
    <b:URL>http://itie.sn/dakar-abrite-les-26-et-27-mai-un-colloque-pluridisciplinaire-sur-les-enjeux-de-lexploitation-petroliere-et-gaziere-en-afrique/</b:URL>
    <b:Year>2017</b:Year>
    <b:Month>May</b:Month>
    <b:YearAccessed>2017</b:YearAccessed>
    <b:MonthAccessed>July</b:MonthAccessed>
    <b:RefOrder>241</b:RefOrder>
  </b:Source>
  <b:Source>
    <b:Tag>ITI174</b:Tag>
    <b:SourceType>InternetSite</b:SourceType>
    <b:Guid>{197EB8DD-AE02-C14E-A405-F9AC4CFAB584}</b:Guid>
    <b:Author>
      <b:Author>
        <b:Corporate>ITIE Senegal</b:Corporate>
      </b:Author>
    </b:Author>
    <b:Title>Sélection d’un Cabinet de consultants chargé de l’Etude sur les conditions d’octroi des licences et des permis au Sénégal</b:Title>
    <b:URL>http://itie.sn/selection-dun-cabinet-de-consultants-charge-de-letude-sur-les-conditions-doctroi-des-licences-et-des-permis-au-senegal/</b:URL>
    <b:Year>2017</b:Year>
    <b:Month>February</b:Month>
    <b:YearAccessed>2017</b:YearAccessed>
    <b:MonthAccessed>July</b:MonthAccessed>
    <b:RefOrder>242</b:RefOrder>
  </b:Source>
  <b:Source>
    <b:Tag>ITI175</b:Tag>
    <b:SourceType>InternetSite</b:SourceType>
    <b:Guid>{AB23C2FF-570B-3645-95FF-B597B57ED642}</b:Guid>
    <b:Author>
      <b:Author>
        <b:Corporate>ITIE Senegal</b:Corporate>
      </b:Author>
    </b:Author>
    <b:Title>L’évolution, les enjeux et les perspectives de la gouvernance du secteur extractif au Sénégal, au menu de la 1ére conférence publique de l’ITIE</b:Title>
    <b:URL>http://itie.sn/levolution-les-enjeux-et-les-perspectives-de-la-gouvernance-du-secteur-extractif-au-senegal-au-menu-de-la-1ere-conference-publique-de-litie/</b:URL>
    <b:Year>2017</b:Year>
    <b:Month>April</b:Month>
    <b:YearAccessed>2017</b:YearAccessed>
    <b:MonthAccessed>July</b:MonthAccessed>
    <b:RefOrder>193</b:RefOrder>
  </b:Source>
  <b:Source>
    <b:Tag>ITI176</b:Tag>
    <b:SourceType>InternetSite</b:SourceType>
    <b:Guid>{2FB86530-DF7D-FC45-B0C0-FA037B159110}</b:Guid>
    <b:Author>
      <b:Author>
        <b:Corporate>ITIE Senegal</b:Corporate>
      </b:Author>
    </b:Author>
    <b:Title>Exclusif: Voici le décret 2017-459 fixant les modalités d’application de la loi N°2016-32 portant Code Minier</b:Title>
    <b:URL>http://itie.sn/exclusif-voici-le-decret-2017-459-fixant-les-modalites-dapplication-de-la-loi-n2016-32-portant-code-minier/</b:URL>
    <b:Year>2017</b:Year>
    <b:Month>March</b:Month>
    <b:YearAccessed>2017</b:YearAccessed>
    <b:MonthAccessed>July</b:MonthAccessed>
    <b:RefOrder>105</b:RefOrder>
  </b:Source>
  <b:Source>
    <b:Tag>Min17</b:Tag>
    <b:SourceType>InternetSite</b:SourceType>
    <b:Guid>{AD9AA5A3-EB92-7D4D-A634-62714C1792CB}</b:Guid>
    <b:Author>
      <b:Author>
        <b:Corporate>Ministère de l'Industrie et des Mines</b:Corporate>
      </b:Author>
    </b:Author>
    <b:Title>Décret 2017-459 fixant les modalités d'application du Code minier 2016-32</b:Title>
    <b:URL>http://itie.sn/?offshore_dl=1953</b:URL>
    <b:Year>2017</b:Year>
    <b:Month>March</b:Month>
    <b:YearAccessed>2017</b:YearAccessed>
    <b:MonthAccessed>July</b:MonthAccessed>
    <b:RefOrder>106</b:RefOrder>
  </b:Source>
  <b:Source>
    <b:Tag>ITI177</b:Tag>
    <b:SourceType>InternetSite</b:SourceType>
    <b:Guid>{9B8D2D35-05BF-EB48-954B-3CAFBB61A022}</b:Guid>
    <b:Author>
      <b:Author>
        <b:Corporate>ITIE Senegal</b:Corporate>
      </b:Author>
    </b:Author>
    <b:Title>APPEL A MANIFESTATION D’INTÉRÊT : Sélection d’un Cabinet Administrateur Indépendant chargé d’élaborer les rapports ITIE 2015 &amp; 2016 du Sénégal</b:Title>
    <b:URL>http://itie.sn/sollicitation-de-manifestations-dinteret-selection-dun-administrateur-independant-charge-delaborer-le-rapport-itie-2014-du-senegal-3/</b:URL>
    <b:Year>2017</b:Year>
    <b:Month>March</b:Month>
    <b:YearAccessed>2017</b:YearAccessed>
    <b:MonthAccessed>July</b:MonthAccessed>
    <b:RefOrder>155</b:RefOrder>
  </b:Source>
  <b:Source>
    <b:Tag>ITI178</b:Tag>
    <b:SourceType>InternetSite</b:SourceType>
    <b:Guid>{6FEC682F-AD69-8A4F-BDE8-81A133F0325B}</b:Guid>
    <b:Author>
      <b:Author>
        <b:Corporate>ITIE Senegal</b:Corporate>
      </b:Author>
    </b:Author>
    <b:Title>Tenue d’une formation sur les enjeux et les bonnes pratiques en matière de gouvernance pétrolière et gazière</b:Title>
    <b:URL>http://itie.sn/formation-sur-les-enjeux-et-les-bonnes-pratiques-en-matiere-de-gouvernance-petroliere-et-gaziere/</b:URL>
    <b:Year>2017</b:Year>
    <b:Month>March</b:Month>
    <b:YearAccessed>2017</b:YearAccessed>
    <b:MonthAccessed>July</b:MonthAccessed>
    <b:RefOrder>177</b:RefOrder>
  </b:Source>
  <b:Source>
    <b:Tag>ITI179</b:Tag>
    <b:SourceType>InternetSite</b:SourceType>
    <b:Guid>{9D4B4254-FD5B-1249-A4A6-6D30D8BF0846}</b:Guid>
    <b:Author>
      <b:Author>
        <b:Corporate>ITIE Senegal</b:Corporate>
      </b:Author>
    </b:Author>
    <b:Title>Plan stratégique 2017 – 2021 : L’ITIE, une plateforme multi-actorielle d’impulsion des réformes en matière de transparence et de bonne gouvernance dans le secteur extractif</b:Title>
    <b:URL>http://itie.sn/plan-strategique-2017-2021-litie-une-plateforme-multi-actorielle-dimpulsion-des-reformes-en-matiere-de-transparence-et-de-bonne-gouvernance-dans-le-secteur-extractif/</b:URL>
    <b:Year>2017</b:Year>
    <b:Month>March</b:Month>
    <b:YearAccessed>2017</b:YearAccessed>
    <b:MonthAccessed>July</b:MonthAccessed>
    <b:RefOrder>127</b:RefOrder>
  </b:Source>
  <b:Source>
    <b:Tag>ITI1710</b:Tag>
    <b:SourceType>InternetSite</b:SourceType>
    <b:Guid>{4A90A8E2-1B85-8947-8CC0-44193928965E}</b:Guid>
    <b:Author>
      <b:Author>
        <b:Corporate>ITIE Senegal</b:Corporate>
      </b:Author>
    </b:Author>
    <b:Title>Version simplifiée du Plan Stratégique 2017-2021</b:Title>
    <b:URL>http://itie.sn/?offshore_dl=1785</b:URL>
    <b:Year>2017</b:Year>
    <b:Month>March</b:Month>
    <b:YearAccessed>2017</b:YearAccessed>
    <b:MonthAccessed>July</b:MonthAccessed>
    <b:RefOrder>129</b:RefOrder>
  </b:Source>
  <b:Source>
    <b:Tag>ITI1711</b:Tag>
    <b:SourceType>InternetSite</b:SourceType>
    <b:Guid>{F9F0DE55-532D-F24E-BF42-AD3127630A09}</b:Guid>
    <b:Author>
      <b:Author>
        <b:Corporate>ITIE Senegal</b:Corporate>
      </b:Author>
    </b:Author>
    <b:Title>Plan Stratégique 2017-2021</b:Title>
    <b:URL>http://itie.sn/?offshore_dl=1865</b:URL>
    <b:Year>2017</b:Year>
    <b:Month>March</b:Month>
    <b:YearAccessed>2017</b:YearAccessed>
    <b:MonthAccessed>July</b:MonthAccessed>
    <b:RefOrder>11</b:RefOrder>
  </b:Source>
  <b:Source>
    <b:Tag>ITI1712</b:Tag>
    <b:SourceType>InternetSite</b:SourceType>
    <b:Guid>{24DB6F35-7263-004F-B564-1C0F045C96A3}</b:Guid>
    <b:Author>
      <b:Author>
        <b:Corporate>ITIE Senegal</b:Corporate>
      </b:Author>
    </b:Author>
    <b:Title>Un film documentaire sur les progrès notés dans la gouvernance du secteur extractif au Sénégal</b:Title>
    <b:URL>http://itie.sn/un-film-documentaire-sur-les-progres-notes-dans-la-gouvernance-du-secteur-extractif-au-senegal/</b:URL>
    <b:Year>2017</b:Year>
    <b:Month>February</b:Month>
    <b:YearAccessed>2017</b:YearAccessed>
    <b:MonthAccessed>July</b:MonthAccessed>
    <b:RefOrder>178</b:RefOrder>
  </b:Source>
  <b:Source>
    <b:Tag>ITI1713</b:Tag>
    <b:SourceType>InternetSite</b:SourceType>
    <b:Guid>{71DBD414-F38C-0D41-90FF-62F98C209D99}</b:Guid>
    <b:Author>
      <b:Author>
        <b:Corporate>ITIE Senegal</b:Corporate>
      </b:Author>
    </b:Author>
    <b:Title>Rapport Etude de cadrage pour la divulgation de la Propriété Réelle</b:Title>
    <b:URL>http://itie.sn/rapport-etude-de-cadrage-pour-la-divulgation-2/</b:URL>
    <b:Year>2017</b:Year>
    <b:Month>March</b:Month>
    <b:YearAccessed>2017</b:YearAccessed>
    <b:MonthAccessed>July</b:MonthAccessed>
    <b:RefOrder>139</b:RefOrder>
  </b:Source>
  <b:Source>
    <b:Tag>ITI1714</b:Tag>
    <b:SourceType>InternetSite</b:SourceType>
    <b:Guid>{E123E42B-281F-EF48-8CB3-499C766DC3C0}</b:Guid>
    <b:Author>
      <b:Author>
        <b:Corporate>ITIE Senegal</b:Corporate>
      </b:Author>
    </b:Author>
    <b:Title>Rapport Etude de cadrage pour la divulgation de la propriété réelle</b:Title>
    <b:URL>http://itie.sn/?offshore_dl=1928</b:URL>
    <b:Year>2017</b:Year>
    <b:Month>March</b:Month>
    <b:YearAccessed>2017</b:YearAccessed>
    <b:MonthAccessed>July</b:MonthAccessed>
    <b:RefOrder>140</b:RefOrder>
  </b:Source>
  <b:Source>
    <b:Tag>ITI1624</b:Tag>
    <b:SourceType>InternetSite</b:SourceType>
    <b:Guid>{FC590728-B075-424C-9F2D-BEC48EC87F50}</b:Guid>
    <b:Author>
      <b:Author>
        <b:Corporate>ITIE Senegal</b:Corporate>
      </b:Author>
    </b:Author>
    <b:Title>Le Sénégal publie sa feuille de route sur la propriété réelle</b:Title>
    <b:URL>http://itie.sn/le-senegal-publie-sa-feuille-de-route-sur-la-propriete-reelle/</b:URL>
    <b:Year>2016</b:Year>
    <b:Month>December</b:Month>
    <b:YearAccessed>2017</b:YearAccessed>
    <b:MonthAccessed>July</b:MonthAccessed>
    <b:RefOrder>141</b:RefOrder>
  </b:Source>
  <b:Source>
    <b:Tag>ITI1715</b:Tag>
    <b:SourceType>InternetSite</b:SourceType>
    <b:Guid>{FF4EDDD4-8C64-B340-B6FE-1EA0E04438D0}</b:Guid>
    <b:Author>
      <b:Author>
        <b:Corporate>ITIE Senegal</b:Corporate>
      </b:Author>
    </b:Author>
    <b:Title>TDR Etude de cadrage pour la divulgation</b:Title>
    <b:URL>http://itie.sn/tdr-etude-de-cadrage-pour-la-divulgation/</b:URL>
    <b:Year>2017</b:Year>
    <b:Month>January</b:Month>
    <b:YearAccessed>2017</b:YearAccessed>
    <b:MonthAccessed>July</b:MonthAccessed>
    <b:RefOrder>142</b:RefOrder>
  </b:Source>
  <b:Source>
    <b:Tag>ITI1716</b:Tag>
    <b:SourceType>InternetSite</b:SourceType>
    <b:Guid>{A86414ED-3DD7-174E-9E57-7E764FB1E60B}</b:Guid>
    <b:Author>
      <b:Author>
        <b:Corporate>ITIE Senegal</b:Corporate>
      </b:Author>
    </b:Author>
    <b:Title>Le Comité national a mobilisé en Mars 2016, toutes les parties prenantes du processus pour produire le plan stratégique 2017-2021</b:Title>
    <b:URL>http://itie.sn/le-comite-national-a-mobilise-en-mars-2016-toutes-les-parties-prenantes-du-processus-pour-produire-le-plan-strategique-2017-2021/</b:URL>
    <b:Year>2017</b:Year>
    <b:Month>March</b:Month>
    <b:YearAccessed>2017</b:YearAccessed>
    <b:MonthAccessed>July</b:MonthAccessed>
    <b:RefOrder>128</b:RefOrder>
  </b:Source>
  <b:Source>
    <b:Tag>ITI1626</b:Tag>
    <b:SourceType>InternetSite</b:SourceType>
    <b:Guid>{8F017DE6-F367-C44F-8C46-E28446D2ABE8}</b:Guid>
    <b:Author>
      <b:Author>
        <b:Corporate>ITIE Senegal</b:Corporate>
      </b:Author>
    </b:Author>
    <b:Title>Installation du COS-PETROGAZ</b:Title>
    <b:URL>http://itie.sn/installation-du-cos-petrogaz/</b:URL>
    <b:Year>2016</b:Year>
    <b:Month>November</b:Month>
    <b:YearAccessed>2017</b:YearAccessed>
    <b:MonthAccessed>July</b:MonthAccessed>
    <b:RefOrder>29</b:RefOrder>
  </b:Source>
  <b:Source>
    <b:Tag>Gou16</b:Tag>
    <b:SourceType>InternetSite</b:SourceType>
    <b:Guid>{B43F9294-6019-A24A-B114-9C944F8DD6E6}</b:Guid>
    <b:Author>
      <b:Author>
        <b:Corporate>Gouvernement du Senegal</b:Corporate>
      </b:Author>
    </b:Author>
    <b:Title>Installation du Comité d’Orientation Stratégique du Pétrole et du Gaz (COS-PETROGAZ)-Discours de Son Excellence Monsieur le Président de la République Macky Sall</b:Title>
    <b:URL>https://www.sec.gouv.sn/installation-du-comite-d%2C2126.html</b:URL>
    <b:Year>2016</b:Year>
    <b:Month>November</b:Month>
    <b:YearAccessed>2017</b:YearAccessed>
    <b:MonthAccessed>July</b:MonthAccessed>
    <b:RefOrder>38</b:RefOrder>
  </b:Source>
  <b:Source>
    <b:Tag>ITI1627</b:Tag>
    <b:SourceType>InternetSite</b:SourceType>
    <b:Guid>{637101D6-C49D-BA45-A417-5529091DF2E4}</b:Guid>
    <b:Author>
      <b:Author>
        <b:Corporate>ITIE Senegal</b:Corporate>
      </b:Author>
    </b:Author>
    <b:Title>Thierno Alassane SALL : « Les pays du bassin…»</b:Title>
    <b:URL>http://itie.sn/thierno-alassane-sall-les-pays-du-bassin-msgbc-peuvent-relever-les-defis-de-lacces-universel-a-lenergie-pour-lafrique/</b:URL>
    <b:Year>2016</b:Year>
    <b:YearAccessed>2017</b:YearAccessed>
    <b:MonthAccessed>July</b:MonthAccessed>
    <b:RefOrder>54</b:RefOrder>
  </b:Source>
  <b:Source>
    <b:Tag>ITI1628</b:Tag>
    <b:SourceType>InternetSite</b:SourceType>
    <b:Guid>{5AE01354-0942-2740-89B9-64009E5A6B8B}</b:Guid>
    <b:Author>
      <b:Author>
        <b:Corporate>ITIE Senegal</b:Corporate>
      </b:Author>
    </b:Author>
    <b:Title>Exclusif : Voici la loi N°2016-32 du 08 Novembre 2016 portant Code Minier</b:Title>
    <b:URL>http://itie.sn/exclusif-voici-la-loi-n2016-32-du-08-novembre-2016-portant-code-minier/</b:URL>
    <b:Year>2016</b:Year>
    <b:Month>November</b:Month>
    <b:YearAccessed>2017</b:YearAccessed>
    <b:MonthAccessed>July</b:MonthAccessed>
    <b:RefOrder>46</b:RefOrder>
  </b:Source>
  <b:Source>
    <b:Tag>Rép16</b:Tag>
    <b:SourceType>InternetSite</b:SourceType>
    <b:Guid>{23803E97-62B9-7C4E-88D0-5400BAD96E21}</b:Guid>
    <b:Author>
      <b:Author>
        <b:Corporate>République du Senegal</b:Corporate>
      </b:Author>
    </b:Author>
    <b:Title>Loi N°2016-32 du 08 Novembre 2016 portant Code Minier</b:Title>
    <b:URL>http://itie.sn/?offshore_dl=1082</b:URL>
    <b:Year>2016</b:Year>
    <b:Month>November</b:Month>
    <b:YearAccessed>2017</b:YearAccessed>
    <b:MonthAccessed>July</b:MonthAccessed>
    <b:RefOrder>66</b:RefOrder>
  </b:Source>
  <b:Source>
    <b:Tag>ITI1629</b:Tag>
    <b:SourceType>InternetSite</b:SourceType>
    <b:Guid>{C8721BD1-1C74-4B4E-8B70-CD78089E8AEE}</b:Guid>
    <b:Author>
      <b:Author>
        <b:Corporate>ITIE Senegal</b:Corporate>
      </b:Author>
    </b:Author>
    <b:Title>Atelier national de dissémination du rapport ITIE 2014 : Voici l’intégralité du Discours d’ouverture du Premier ministre</b:Title>
    <b:URL>http://itie.sn/atelier-national-de-dissemination-du-rapport-itie-2014-voici-lintegralite-du-discours-douverture-du-premier-ministre/</b:URL>
    <b:Year>2016</b:Year>
    <b:Month>October</b:Month>
    <b:YearAccessed>2017</b:YearAccessed>
    <b:MonthAccessed>July</b:MonthAccessed>
    <b:RefOrder>8</b:RefOrder>
  </b:Source>
  <b:Source>
    <b:Tag>ITI1630</b:Tag>
    <b:SourceType>InternetSite</b:SourceType>
    <b:Guid>{5F836106-4E49-6142-A5CB-4456CD63D144}</b:Guid>
    <b:Author>
      <b:Author>
        <b:Corporate>ITIE Senegal</b:Corporate>
      </b:Author>
    </b:Author>
    <b:Title>Pr Ismaëla Madior Fall, président de l’Itie : « Des progrès significatifs dans la marche vers la transparence optimale »</b:Title>
    <b:URL>http://itie.sn/pr-ismaela-madior-fall-president-de-litie-des-progres-significatifs-dans-la-marche-vers-la-transparence-optimale/</b:URL>
    <b:Year>2016</b:Year>
    <b:Month>October</b:Month>
    <b:YearAccessed>2017</b:YearAccessed>
    <b:MonthAccessed>July</b:MonthAccessed>
    <b:RefOrder>43</b:RefOrder>
  </b:Source>
  <b:Source>
    <b:Tag>Pre162</b:Tag>
    <b:SourceType>InternetSite</b:SourceType>
    <b:Guid>{E25D383A-3852-4D43-AE07-2B55E346D84A}</b:Guid>
    <b:Author>
      <b:Author>
        <b:Corporate>President de la Republique</b:Corporate>
      </b:Author>
    </b:Author>
    <b:Title>I)écret no 2016-1542 Portant création et fÏxant les règles tl'organisation et de lbnctionnemcnt du Comité d'Orientation Stratégique du Pétrole et «Iu Gaz (COS - pE'tRg(;AZ).</b:Title>
    <b:URL>http://itie.sn/?offshore_dl=2265</b:URL>
    <b:Year>2016</b:Year>
    <b:Month>October</b:Month>
    <b:YearAccessed>2017</b:YearAccessed>
    <b:MonthAccessed>July</b:MonthAccessed>
    <b:RefOrder>191</b:RefOrder>
  </b:Source>
  <b:Source>
    <b:Tag>ITI1631</b:Tag>
    <b:SourceType>InternetSite</b:SourceType>
    <b:Guid>{E8D15DC4-D467-454F-8CB4-14231AFF18F3}</b:Guid>
    <b:Author>
      <b:Author>
        <b:Corporate>ITIE Senegal</b:Corporate>
      </b:Author>
    </b:Author>
    <b:Title>« Le rapport ITIE illustre la vision de gouvernance et les ambitions de réformes que nous continuons de nourrir pour le pays » Macky SALL  </b:Title>
    <b:URL>http://itie.sn/le-rapport-itie-illustre-la-vision-de-gouvernance-et-les-ambitions-de-reformes-que-nous-continuons-de-nourrir-pour-le-pays-macky-sall/</b:URL>
    <b:Year>2016</b:Year>
    <b:Month>October</b:Month>
    <b:YearAccessed>2017</b:YearAccessed>
    <b:MonthAccessed>July</b:MonthAccessed>
    <b:RefOrder>243</b:RefOrder>
  </b:Source>
  <b:Source>
    <b:Tag>LeQ16</b:Tag>
    <b:SourceType>InternetSite</b:SourceType>
    <b:Guid>{0A5B6839-75FC-2F42-91D9-4D30CD09C350}</b:Guid>
    <b:Author>
      <b:Author>
        <b:Corporate>Le Quotidien</b:Corporate>
      </b:Author>
    </b:Author>
    <b:Title>Le Président de la République Macky Sall sur la publication du Rapport ITIE : « … Il faut s’en féliciter… »</b:Title>
    <b:URL>http://itie.sn/le-president-de-la-republique-macky-sall-sur-la-publication-du-rapport-itie-il-faut-sen-feliciter/</b:URL>
    <b:Year>2016</b:Year>
    <b:Month>October</b:Month>
    <b:YearAccessed>2017</b:YearAccessed>
    <b:MonthAccessed>July</b:MonthAccessed>
    <b:RefOrder>37</b:RefOrder>
  </b:Source>
  <b:Source>
    <b:Tag>ITI1632</b:Tag>
    <b:SourceType>InternetSite</b:SourceType>
    <b:Guid>{DC5843DE-3D85-9843-86DD-A7BDADBC9BB1}</b:Guid>
    <b:Author>
      <b:Author>
        <b:Corporate>ITIE Senegal</b:Corporate>
      </b:Author>
    </b:Author>
    <b:Title>Pr Ismaëla Madior Fall, Président du Comité national ITIE : « Ce rapport ITIE de 2014 est de très haute qualité »</b:Title>
    <b:URL>http://itie.sn/pr-ismaela-madior-fall-president-du-comite-national-itie-ce-rapport-itie-de-2014-est-de-tres-haute-qualite/</b:URL>
    <b:Year>2016</b:Year>
    <b:Month>November</b:Month>
    <b:YearAccessed>2017</b:YearAccessed>
    <b:MonthAccessed>July</b:MonthAccessed>
    <b:RefOrder>117</b:RefOrder>
  </b:Source>
  <b:Source>
    <b:Tag>LeS16</b:Tag>
    <b:SourceType>InternetSite</b:SourceType>
    <b:Guid>{464C097B-7279-A542-96C9-BD0CBCB7EA60}</b:Guid>
    <b:Author>
      <b:Author>
        <b:Corporate>Le Soleil</b:Corporate>
      </b:Author>
    </b:Author>
    <b:Title>Pr Ismaëla Madior Fall, Président du Comité national ITIE : « Ce rapport ITIE de 2014 est de très haute qualité »</b:Title>
    <b:URL>http://itie.sn/pr-ismaela-madior-fall-president-du-comite-national-itie-ce-rapport-itie-de-2014-est-de-tres-haute-qualite/</b:URL>
    <b:Year>2016</b:Year>
    <b:Month>October</b:Month>
    <b:YearAccessed>2017</b:YearAccessed>
    <b:MonthAccessed>July</b:MonthAccessed>
    <b:RefOrder>132</b:RefOrder>
  </b:Source>
  <b:Source>
    <b:Tag>LeQ161</b:Tag>
    <b:SourceType>InternetSite</b:SourceType>
    <b:Guid>{A12983EE-9049-1D45-9456-E69271A93A13}</b:Guid>
    <b:Author>
      <b:Author>
        <b:Corporate>Le Quotidien</b:Corporate>
      </b:Author>
    </b:Author>
    <b:Title>Publication du Rapport ITIE 2014 : Le secteur extractif a généré 117 milliards FCFA en 2014</b:Title>
    <b:URL>http://itie.sn/publication-du-rapport-itie-2014-le-secteur-extractif-a-genere-117-milliards-fcfa-en-2014/</b:URL>
    <b:Year>2016</b:Year>
    <b:Month>October</b:Month>
    <b:YearAccessed>2017</b:YearAccessed>
    <b:MonthAccessed>July</b:MonthAccessed>
    <b:RefOrder>181</b:RefOrder>
  </b:Source>
  <b:Source>
    <b:Tag>ITI1633</b:Tag>
    <b:SourceType>InternetSite</b:SourceType>
    <b:Guid>{E7309BAD-2E27-824C-A1E7-2B3AFC2FC0DD}</b:Guid>
    <b:Author>
      <b:Author>
        <b:Corporate>ITIE Senegal</b:Corporate>
      </b:Author>
    </b:Author>
    <b:Title>Le Président du Comité national ITIE recommande des clarifications dans le code pétrolier</b:Title>
    <b:URL>http://itie.sn/le-president-du-comite-national-itie-recommande-des-clarifications-dans-le-code-petrolier/</b:URL>
    <b:Year>2016</b:Year>
    <b:Month>October</b:Month>
    <b:YearAccessed>2017</b:YearAccessed>
    <b:MonthAccessed>July</b:MonthAccessed>
    <b:RefOrder>189</b:RefOrder>
  </b:Source>
  <b:Source>
    <b:Tag>ITI1634</b:Tag>
    <b:SourceType>InternetSite</b:SourceType>
    <b:Guid>{5E0948E4-5E79-2E46-A048-11C47D68C9D1}</b:Guid>
    <b:Author>
      <b:Author>
        <b:Corporate>ITIE Senegal</b:Corporate>
      </b:Author>
    </b:Author>
    <b:Title>Analyse de la contribution du secteur extractif en 2014</b:Title>
    <b:URL>http://itie.sn/analyse-de-la-contribution-du-secteur-extractif-en-2014/</b:URL>
    <b:Year>2016</b:Year>
    <b:Month>October</b:Month>
    <b:YearAccessed>2017</b:YearAccessed>
    <b:MonthAccessed>July</b:MonthAccessed>
    <b:RefOrder>168</b:RefOrder>
  </b:Source>
  <b:Source>
    <b:Tag>ITI1635</b:Tag>
    <b:SourceType>InternetSite</b:SourceType>
    <b:Guid>{CD13BD54-6074-E543-8BB2-327ECEE7D7A3}</b:Guid>
    <b:Author>
      <b:Author>
        <b:Corporate>ITIE Senegal</b:Corporate>
      </b:Author>
    </b:Author>
    <b:Title>Publication du Rapport ITIE 2014 : Une contribution de 117 milliards du secteur extractif</b:Title>
    <b:URL>http://itie.sn/publication-du-rapport-itie-2014-une-contribution-de-117-milliards-du-secteur-extractif/</b:URL>
    <b:Year>2016</b:Year>
    <b:Month>October</b:Month>
    <b:YearAccessed>2017</b:YearAccessed>
    <b:MonthAccessed>July</b:MonthAccessed>
    <b:RefOrder>169</b:RefOrder>
  </b:Source>
  <b:Source>
    <b:Tag>ITI1636</b:Tag>
    <b:SourceType>InternetSite</b:SourceType>
    <b:Guid>{5A5E97E6-A701-8B4E-9D4C-D159DC075875}</b:Guid>
    <b:Author>
      <b:Author>
        <b:Corporate>ITIE Senegal</b:Corporate>
      </b:Author>
    </b:Author>
    <b:Title>Publication du Rapport ITIE : Le Comité national fait face à la presse le 17 Octobre</b:Title>
    <b:URL>http://itie.sn/publication-du-rapport-itie-le-comite-national-fait-face-a-la-presse-le-17-octobre/</b:URL>
    <b:Year>2016</b:Year>
    <b:Month>October</b:Month>
    <b:YearAccessed>2017</b:YearAccessed>
    <b:MonthAccessed>July</b:MonthAccessed>
    <b:RefOrder>170</b:RefOrder>
  </b:Source>
  <b:Source>
    <b:Tag>APS16</b:Tag>
    <b:SourceType>InternetSite</b:SourceType>
    <b:Guid>{E10327CB-3E08-5943-894D-DF3E7C043E6E}</b:Guid>
    <b:Author>
      <b:Author>
        <b:Corporate>APS</b:Corporate>
      </b:Author>
    </b:Author>
    <b:Title>Le secrétaire permanent de l’ITIE invite SGO à publier sa convention la liant à l’Etat du Sénégal</b:Title>
    <b:URL>http://itie.sn/le-secretaire-permanent-de-litie-invite-sgo-a-publier-sa-convention-la-liant-a-letat-du-senegal/</b:URL>
    <b:Year>2016</b:Year>
    <b:YearAccessed>2017</b:YearAccessed>
    <b:MonthAccessed>July</b:MonthAccessed>
    <b:RefOrder>135</b:RefOrder>
  </b:Source>
  <b:Source>
    <b:Tag>ITI1637</b:Tag>
    <b:SourceType>InternetSite</b:SourceType>
    <b:Guid>{4FE37AD2-17DB-BD43-99F3-9C1308D42250}</b:Guid>
    <b:Author>
      <b:Author>
        <b:Corporate>ITIE Senegal</b:Corporate>
      </b:Author>
    </b:Author>
    <b:Title>Les contrats petroliers et miniers disponibles sur le site du Gouvernement</b:Title>
    <b:URL>http://itie.sn/les-contrats-petroliers-et-miniers-disponibles-sur-le-site-du-gouvernement/</b:URL>
    <b:Year>2016</b:Year>
    <b:Month>October</b:Month>
    <b:YearAccessed>2017</b:YearAccessed>
    <b:MonthAccessed>July</b:MonthAccessed>
    <b:RefOrder>136</b:RefOrder>
  </b:Source>
  <b:Source>
    <b:Tag>Gou161</b:Tag>
    <b:SourceType>InternetSite</b:SourceType>
    <b:Guid>{A334D305-DDDF-CD4E-8AD7-7A8A286DB2BE}</b:Guid>
    <b:Author>
      <b:Author>
        <b:Corporate>Gouvernement du Senegal</b:Corporate>
      </b:Author>
    </b:Author>
    <b:Title>Point de situation sur les contrats pétroliers</b:Title>
    <b:URL>https://www.sec.gouv.sn/Point-de-situation-sur-les.html</b:URL>
    <b:Year>2016</b:Year>
    <b:Month>October</b:Month>
    <b:YearAccessed>2017</b:YearAccessed>
    <b:MonthAccessed>July</b:MonthAccessed>
    <b:RefOrder>134</b:RefOrder>
  </b:Source>
  <b:Source>
    <b:Tag>ITI1638</b:Tag>
    <b:SourceType>InternetSite</b:SourceType>
    <b:Guid>{3ADC9300-B859-3C4A-9833-05AFF3F00B23}</b:Guid>
    <b:Author>
      <b:Author>
        <b:Corporate>ITIE Senegal</b:Corporate>
      </b:Author>
    </b:Author>
    <b:Title>Cheikh Tidiane Touré, secrétaire permanent ITIE : « Le statut de pays conforme va renforcer la confiance vis-à-vis des investisseurs et des partenaires techniques et financiers »</b:Title>
    <b:URL>http://itie.sn/cheikh-tidiane-toure-secretaire-permanent-itie-le-statut-de-pays-conforme-va-renforcer-la-confiance-vis-a-vis-des-investisseurs-et-des-partenaires-techniques-et-financiers/</b:URL>
    <b:Year>2016</b:Year>
    <b:Month>October</b:Month>
    <b:YearAccessed>2017</b:YearAccessed>
    <b:MonthAccessed>July</b:MonthAccessed>
    <b:RefOrder>72</b:RefOrder>
  </b:Source>
  <b:Source>
    <b:Tag>APS161</b:Tag>
    <b:SourceType>InternetSite</b:SourceType>
    <b:Guid>{44D58F62-5F28-C84D-A2A3-D9554FB6C347}</b:Guid>
    <b:Author>
      <b:Author>
        <b:Corporate>APS</b:Corporate>
      </b:Author>
    </b:Author>
    <b:Title>ITIE : Les entreprises encouragées à transmettre leurs déclarations certifiées au plus tard, Vendredi 29 Juillet 2016</b:Title>
    <b:URL>http://itie.sn/itie-les-entreprises-encouragees-a-transmettre-leurs-declarations-certifiees-au-plus-tard-vendredi-29-juillet-2016/</b:URL>
    <b:Year>2016</b:Year>
    <b:Month>July</b:Month>
    <b:YearAccessed>2017</b:YearAccessed>
    <b:MonthAccessed>July</b:MonthAccessed>
    <b:RefOrder>114</b:RefOrder>
  </b:Source>
  <b:Source>
    <b:Tag>LeS161</b:Tag>
    <b:SourceType>InternetSite</b:SourceType>
    <b:Guid>{AFD151BD-B71B-A04A-81B2-E5A63436DFC8}</b:Guid>
    <b:Author>
      <b:Author>
        <b:Corporate>Le Soleil</b:Corporate>
      </b:Author>
    </b:Author>
    <b:Title>Rapport ITIE 2014 : La quasi-totalité des entreprises ont fourni leurs données</b:Title>
    <b:URL>http://itie.sn/rapport-itie-2014-la-quasi-totalite-des-entreprises-ont-fourni-leurs-donnees/</b:URL>
    <b:Year>2016</b:Year>
    <b:Month>July</b:Month>
    <b:YearAccessed>2017</b:YearAccessed>
    <b:MonthAccessed>July</b:MonthAccessed>
    <b:RefOrder>115</b:RefOrder>
  </b:Source>
  <b:Source>
    <b:Tag>ITI1717</b:Tag>
    <b:SourceType>InternetSite</b:SourceType>
    <b:Guid>{92A558E8-1B55-654D-871B-0B9590716104}</b:Guid>
    <b:Author>
      <b:Author>
        <b:Corporate>ITIE Senegal</b:Corporate>
      </b:Author>
    </b:Author>
    <b:Title>Conférences de l’ITIE</b:Title>
    <b:URL>http://itie.sn/conferences-de-l-itie/</b:URL>
    <b:Year>2017</b:Year>
    <b:YearAccessed>2017</b:YearAccessed>
    <b:MonthAccessed>July</b:MonthAccessed>
    <b:RefOrder>176</b:RefOrder>
  </b:Source>
  <b:Source>
    <b:Tag>Con12</b:Tag>
    <b:SourceType>InternetSite</b:SourceType>
    <b:Guid>{7AB6C827-09F3-184F-AD81-594404BA7E37}</b:Guid>
    <b:Author>
      <b:Author>
        <b:Corporate>Conseil des Ministres</b:Corporate>
      </b:Author>
    </b:Author>
    <b:Title>Le Communiqué du Conseil des Ministres du 02 Février 2012</b:Title>
    <b:URL>http://itie.sn/?offshore_dl=497</b:URL>
    <b:Year>2012</b:Year>
    <b:Month>February</b:Month>
    <b:Day>2</b:Day>
    <b:YearAccessed>2017</b:YearAccessed>
    <b:MonthAccessed>July</b:MonthAccessed>
    <b:RefOrder>2</b:RefOrder>
  </b:Source>
  <b:Source>
    <b:Tag>Gra16</b:Tag>
    <b:SourceType>InternetSite</b:SourceType>
    <b:Guid>{679B89CF-7B99-4742-BEB5-7B7152F51DFE}</b:Guid>
    <b:Author>
      <b:Author>
        <b:Corporate>Grant Thornton</b:Corporate>
      </b:Author>
    </b:Author>
    <b:Title>Senegal 2016: Objectifs de croissance, orientations budgetaires</b:Title>
    <b:URL>http://www.grantthornton.sn/spub-31-budget_brief_2016_vf_ok.pdf</b:URL>
    <b:Year>2016</b:Year>
    <b:YearAccessed>2017</b:YearAccessed>
    <b:MonthAccessed>July</b:MonthAccessed>
    <b:RefOrder>64</b:RefOrder>
  </b:Source>
  <b:Source>
    <b:Tag>Ban10</b:Tag>
    <b:SourceType>InternetSite</b:SourceType>
    <b:Guid>{992573FF-1643-EF47-9A52-19CED83F81A0}</b:Guid>
    <b:Author>
      <b:Author>
        <b:Corporate>Banque Africaine de Developpement</b:Corporate>
      </b:Author>
    </b:Author>
    <b:Title>RÉPUBLIQUE DU SÉNÉGAL DOCUMENT DE STRATÉGIE PAR PAYS 2010 Ŕ 2015</b:Title>
    <b:URL>https://www.afdb.org/fileadmin/uploads/afdb/Documents/Project-and-Operations/SENEGAL_-_DSP_2010-2015.pdf</b:URL>
    <b:Year>2010</b:Year>
    <b:Month>September</b:Month>
    <b:YearAccessed>2017</b:YearAccessed>
    <b:MonthAccessed>July</b:MonthAccessed>
    <b:RefOrder>244</b:RefOrder>
  </b:Source>
  <b:Source>
    <b:Tag>Wor14</b:Tag>
    <b:SourceType>InternetSite</b:SourceType>
    <b:Guid>{590757F4-CFAB-5442-883D-3FF8319A9014}</b:Guid>
    <b:Author>
      <b:Author>
        <b:Corporate>World Bank</b:Corporate>
      </b:Author>
    </b:Author>
    <b:Title>Project document Senegal: Extractive Industries Transparency Initiative Implementation (P131626)</b:Title>
    <b:URL>http://documents.banquemondiale.org/curated/fr/354651468057564463/pdf/ISR-Disclosable-P131626-06-18-2015-1434633641915.pdf</b:URL>
    <b:Year>2014</b:Year>
    <b:Month>March</b:Month>
    <b:YearAccessed>2017</b:YearAccessed>
    <b:MonthAccessed>July</b:MonthAccessed>
    <b:RefOrder>14</b:RefOrder>
  </b:Source>
  <b:Source>
    <b:Tag>Oxf16</b:Tag>
    <b:SourceType>InternetSite</b:SourceType>
    <b:Guid>{3A570AAD-59AC-F047-BE73-92F4FD5B4A12}</b:Guid>
    <b:Author>
      <b:Author>
        <b:Corporate>Oxfam America</b:Corporate>
      </b:Author>
    </b:Author>
    <b:Title>THE WEAK LINK THE ROLE OF LOCAL INSTITUTIONS IN ACCOUNTABLE NATURAL RESOURCE MANAGEMENT SENEGAL</b:Title>
    <b:URL>https://www.oxfam.org/sites/www.oxfam.org/files/file_attachments/rr-the-weak-link-senegal-150416-en.pdf</b:URL>
    <b:Year>2016</b:Year>
    <b:Month>April</b:Month>
    <b:YearAccessed>2017</b:YearAccessed>
    <b:MonthAccessed>July</b:MonthAccessed>
    <b:RefOrder>98</b:RefOrder>
  </b:Source>
  <b:Source>
    <b:Tag>PWY162</b:Tag>
    <b:SourceType>InternetSite</b:SourceType>
    <b:Guid>{39EFFEE7-DEBF-8E49-A422-3312846D451B}</b:Guid>
    <b:Author>
      <b:Author>
        <b:Corporate>PWYP</b:Corporate>
      </b:Author>
    </b:Author>
    <b:Title>Global Assembly PUBLISH WHAT YOU PAY 22-23 February 2016 Lima, Peru</b:Title>
    <b:URL>http://www.publishwhatyoupay.org/wp-content/uploads/2016/03/PWYP-Global-Assembly-2016-report.pdf</b:URL>
    <b:Year>2016</b:Year>
    <b:Month>February</b:Month>
    <b:YearAccessed>2017</b:YearAccessed>
    <b:MonthAccessed>July</b:MonthAccessed>
    <b:RefOrder>99</b:RefOrder>
  </b:Source>
  <b:Source>
    <b:Tag>Wor161</b:Tag>
    <b:SourceType>InternetSite</b:SourceType>
    <b:Guid>{7EFE822F-AD03-6849-861E-9BF89C6AB501}</b:Guid>
    <b:Author>
      <b:Author>
        <b:Corporate>World Bank</b:Corporate>
      </b:Author>
    </b:Author>
    <b:Title>Grant concept paper Senegal EITI Report No.: ISDSC17879</b:Title>
    <b:URL>http://documents.worldbank.org/curated/en/535971468332417099/pdf/ISDSC17879.pdf</b:URL>
    <b:Year>2016</b:Year>
    <b:Month>May</b:Month>
    <b:YearAccessed>2017</b:YearAccessed>
    <b:MonthAccessed>July</b:MonthAccessed>
    <b:RefOrder>88</b:RefOrder>
  </b:Source>
  <b:Source>
    <b:Tag>MSI151</b:Tag>
    <b:SourceType>InternetSite</b:SourceType>
    <b:Guid>{55E1BC39-1A6A-D148-89F0-497560C0DAB1}</b:Guid>
    <b:Author>
      <b:Author>
        <b:Corporate>MSI Integrity</b:Corporate>
      </b:Author>
    </b:Author>
    <b:Title>Senegal (v 1.1) civil society overview </b:Title>
    <b:URL>www.msi-integrity.org/wp-content/uploads/2015/02/Senegal-v1-1.xlsx</b:URL>
    <b:Year>2015</b:Year>
    <b:Month>May</b:Month>
    <b:YearAccessed>2017</b:YearAccessed>
    <b:MonthAccessed>July</b:MonthAccessed>
    <b:RefOrder>245</b:RefOrder>
  </b:Source>
  <b:Source>
    <b:Tag>ITI1417</b:Tag>
    <b:SourceType>InternetSite</b:SourceType>
    <b:Guid>{82585325-3C61-4A42-B5EF-791200CF5DCB}</b:Guid>
    <b:Author>
      <b:Author>
        <b:Corporate>ITIE Senegal</b:Corporate>
      </b:Author>
    </b:Author>
    <b:Title>REGLEMENT INTERIEUR DU COMITE NATIONAL DE L’INITIATIVE POUR LA TRANSPARENCE DANS LES INDUSTRIES EXTRACTIVES (CN-ITIE – SENEGAL)</b:Title>
    <b:URL>http://itie.sn/wp-content/uploads/2017/03/reglement-interieur-CN-ITIE-version-finale.pdf</b:URL>
    <b:Year>2014</b:Year>
    <b:YearAccessed>2017</b:YearAccessed>
    <b:MonthAccessed>July</b:MonthAccessed>
    <b:RefOrder>45</b:RefOrder>
  </b:Source>
  <b:Source>
    <b:Tag>DLA16</b:Tag>
    <b:SourceType>InternetSite</b:SourceType>
    <b:Guid>{99997BA2-A00A-104E-94F2-BC391999E9DA}</b:Guid>
    <b:Author>
      <b:Author>
        <b:Corporate>DLA Piper</b:Corporate>
      </b:Author>
    </b:Author>
    <b:Title>SENEGAL'S NEW MINING CODE WHAT MINING COMPANIES NEED TO KNOW</b:Title>
    <b:URL>http://documents.jdsupra.com/6241b143-a2d8-4442-8d7d-3f84b21a7432.pdf</b:URL>
    <b:Year>2016</b:Year>
    <b:Month>November</b:Month>
    <b:YearAccessed>2017</b:YearAccessed>
    <b:MonthAccessed>July</b:MonthAccessed>
    <b:RefOrder>67</b:RefOrder>
  </b:Source>
  <b:Source>
    <b:Tag>Ope17</b:Tag>
    <b:SourceType>InternetSite</b:SourceType>
    <b:Guid>{F3267DBA-3231-E842-B959-1A330B110AFD}</b:Guid>
    <b:Author>
      <b:Author>
        <b:Corporate>Open Contracting Partnership</b:Corporate>
      </b:Author>
    </b:Author>
    <b:Title>Open Contracting Scoping Study SENEGAL West Africa Open Contracting Assessment Project</b:Title>
    <b:URL>http://www.developmentgateway.org/sites/default/files/2017-04/Open%20Contracting%20West%20Africa%20-%20Senegal%20-%20Development%20Gateway.pdf</b:URL>
    <b:Year>2017</b:Year>
    <b:Month>February</b:Month>
    <b:YearAccessed>2017</b:YearAccessed>
    <b:MonthAccessed>July</b:MonthAccessed>
    <b:RefOrder>89</b:RefOrder>
  </b:Source>
  <b:Source>
    <b:Tag>May16</b:Tag>
    <b:SourceType>InternetSite</b:SourceType>
    <b:Guid>{AD384D48-8D5A-CE46-ADE5-482B9B4CA70A}</b:Guid>
    <b:Author>
      <b:Author>
        <b:Corporate>Mayer Brown</b:Corporate>
      </b:Author>
    </b:Author>
    <b:Title>A brief overview of mining in Senegal</b:Title>
    <b:URL>https://www.mayerbrown.com/files/uploads/Documents/PDFs/mining-in-Senegal_welsh-dorin.pdf</b:URL>
    <b:Year>2016</b:Year>
    <b:Month>October</b:Month>
    <b:YearAccessed>2017</b:YearAccessed>
    <b:MonthAccessed>July</b:MonthAccessed>
    <b:RefOrder>68</b:RefOrder>
  </b:Source>
  <b:Source>
    <b:Tag>Kos16</b:Tag>
    <b:SourceType>InternetSite</b:SourceType>
    <b:Guid>{FA6C0BF5-6A64-BE4C-8EDC-D0F9B7433142}</b:Guid>
    <b:Author>
      <b:Author>
        <b:Corporate>Kosmos Energy </b:Corporate>
      </b:Author>
    </b:Author>
    <b:Title>Our commitment to transparency</b:Title>
    <b:URL>http://www.kosmosenergy.com/responsibility/KM212%20Transparency%20BrochureEN3.pdf</b:URL>
    <b:Year>2016</b:Year>
    <b:YearAccessed>2017</b:YearAccessed>
    <b:MonthAccessed>July</b:MonthAccessed>
    <b:RefOrder>58</b:RefOrder>
  </b:Source>
  <b:Source>
    <b:Tag>Moo13</b:Tag>
    <b:SourceType>InternetSite</b:SourceType>
    <b:Guid>{B303E888-595F-464C-89C4-59CF4620F3D2}</b:Guid>
    <b:Author>
      <b:Author>
        <b:Corporate>Moody's</b:Corporate>
      </b:Author>
    </b:Author>
    <b:Title>Issuer Comment: Senegal's EITI Candidacy Status Approved, a Credit Positive</b:Title>
    <b:URL>http://www.alacrastore.com/moodys-credit-research/Senegal-s-EITI-Candidacy-Status-Approveda-Credit-Positive-PBC_159679#sthash.1OG03a9s.dpuf</b:URL>
    <b:Year>2013</b:Year>
    <b:Month>October</b:Month>
    <b:YearAccessed>2017</b:YearAccessed>
    <b:MonthAccessed>July</b:MonthAccessed>
    <b:RefOrder>15</b:RefOrder>
  </b:Source>
  <b:Source>
    <b:Tag>Ope16</b:Tag>
    <b:SourceType>InternetSite</b:SourceType>
    <b:Guid>{7F9CC204-26C0-C745-A6B3-F1B2D17D8AD7}</b:Guid>
    <b:Author>
      <b:Author>
        <b:Corporate>Open Contracting Partnership</b:Corporate>
      </b:Author>
    </b:Author>
    <b:Title>Open Contracting in SENEGAL At a glance </b:Title>
    <b:URL>https://sea.hivos.org/sites/default/files/senegal_0.pdf</b:URL>
    <b:Year>2016</b:Year>
    <b:Month>July</b:Month>
    <b:YearAccessed>2017</b:YearAccessed>
    <b:MonthAccessed>July</b:MonthAccessed>
    <b:RefOrder>42</b:RefOrder>
  </b:Source>
  <b:Source>
    <b:Tag>USA13</b:Tag>
    <b:SourceType>InternetSite</b:SourceType>
    <b:Guid>{7AEF425F-2137-1946-8764-6501AB31EB64}</b:Guid>
    <b:Author>
      <b:Author>
        <b:Corporate>USAID</b:Corporate>
      </b:Author>
    </b:Author>
    <b:Title>Programme Gouvernance et Paix (PGP) Senegal 4thQUARTERLY / ANNUAL PERFORMANCE REPORT October 2012 – September 2013</b:Title>
    <b:URL>http://pdf.usaid.gov/pdf_docs/PA00KJMM.pdf</b:URL>
    <b:Year>2013</b:Year>
    <b:Month>October</b:Month>
    <b:YearAccessed>2017</b:YearAccessed>
    <b:MonthAccessed>July</b:MonthAccessed>
    <b:RefOrder>83</b:RefOrder>
  </b:Source>
  <b:Source>
    <b:Tag>Min163</b:Tag>
    <b:SourceType>InternetSite</b:SourceType>
    <b:Guid>{3DA324D5-CA29-A643-9A18-2C507FC087CB}</b:Guid>
    <b:Author>
      <b:Author>
        <b:Corporate>Mineral Deposits</b:Corporate>
      </b:Author>
    </b:Author>
    <b:Title>2015 Annual report</b:Title>
    <b:URL>https://www.mineraldeposits.com.au/wp-content/uploads/2016/02/MDLAnnualReport2015.pdf</b:URL>
    <b:Year>2016</b:Year>
    <b:YearAccessed>2017</b:YearAccessed>
    <b:MonthAccessed>July</b:MonthAccessed>
    <b:RefOrder>61</b:RefOrder>
  </b:Source>
  <b:Source>
    <b:Tag>IDA17</b:Tag>
    <b:SourceType>InternetSite</b:SourceType>
    <b:Guid>{921A1127-7294-E34F-9935-C6064A9DFBB6}</b:Guid>
    <b:Author>
      <b:Author>
        <b:Corporate>IDA Africa Watch</b:Corporate>
      </b:Author>
    </b:Author>
    <b:Title>WHAT WILL OIL AND GAS MEAN FOR SENEGAL?</b:Title>
    <b:URL>https://www.ida.org/idamedia/Corporate/Files/Publications/AfricaWatch/africawatch-June-8-2017-vol15.ashx</b:URL>
    <b:Year>2017</b:Year>
    <b:Month>June</b:Month>
    <b:YearAccessed>2017</b:YearAccessed>
    <b:MonthAccessed>JULY</b:MonthAccessed>
    <b:RefOrder>23</b:RefOrder>
  </b:Source>
  <b:Source>
    <b:Tag>Fin17</b:Tag>
    <b:SourceType>InternetSite</b:SourceType>
    <b:Guid>{3ADAFCBD-81DF-634B-9D23-A3150A3A288E}</b:Guid>
    <b:Author>
      <b:Author>
        <b:Corporate>Financial Times</b:Corporate>
      </b:Author>
    </b:Author>
    <b:Title>BP and Kosmos strike gas again off Senegal</b:Title>
    <b:URL>https://www.ft.com/content/091c4a94-33e4-11e7-99bd-13beb0903fa3</b:URL>
    <b:Year>2017</b:Year>
    <b:Month>May</b:Month>
    <b:YearAccessed>2017</b:YearAccessed>
    <b:MonthAccessed>July</b:MonthAccessed>
    <b:RefOrder>26</b:RefOrder>
  </b:Source>
  <b:Source>
    <b:Tag>FAR17</b:Tag>
    <b:SourceType>InternetSite</b:SourceType>
    <b:Guid>{E957F4AF-1CE5-5147-87C2-E65ECB0BFE6F}</b:Guid>
    <b:Author>
      <b:Author>
        <b:Corporate>FAR Ltd</b:Corporate>
      </b:Author>
    </b:Author>
    <b:Title>Senegal Prospective Resource Increase</b:Title>
    <b:URL>http://far.live.irmau.com/irm/PDF/2236_0/SenegalProspectiveResourceIncrease</b:URL>
    <b:Year>2017</b:Year>
    <b:Month>February</b:Month>
    <b:YearAccessed>2017</b:YearAccessed>
    <b:MonthAccessed>July</b:MonthAccessed>
    <b:RefOrder>24</b:RefOrder>
  </b:Source>
  <b:Source>
    <b:Tag>Pla17</b:Tag>
    <b:SourceType>InternetSite</b:SourceType>
    <b:Guid>{1A8269CE-B47E-6741-9601-1931BBA04CAC}</b:Guid>
    <b:Author>
      <b:Author>
        <b:Corporate>Platts</b:Corporate>
      </b:Author>
    </b:Author>
    <b:Title>New major Senegal natural gas find raises prospect of second LNG hub: BP, Kosmos</b:Title>
    <b:URL>https://www.platts.com/latest-news/natural-gas/london/new-major-senegal-natural-gas-find-raises-prospect-26730712</b:URL>
    <b:Year>2017</b:Year>
    <b:Month>May</b:Month>
    <b:YearAccessed>2017</b:YearAccessed>
    <b:MonthAccessed>July</b:MonthAccessed>
    <b:RefOrder>28</b:RefOrder>
  </b:Source>
  <b:Source>
    <b:Tag>EIT131</b:Tag>
    <b:SourceType>InternetSite</b:SourceType>
    <b:Guid>{F9F03DD4-E0C0-844E-9967-1EED68FA0B09}</b:Guid>
    <b:Author>
      <b:Author>
        <b:Corporate>EITI</b:Corporate>
      </b:Author>
    </b:Author>
    <b:Title>Senegal's application for EITI candidature approved</b:Title>
    <b:URL>https://eiti.org/news/senegals-application-for-eiti-candidature-approved</b:URL>
    <b:Year>2013</b:Year>
    <b:Month>October</b:Month>
    <b:Day>17</b:Day>
    <b:YearAccessed>2017</b:YearAccessed>
    <b:MonthAccessed>July</b:MonthAccessed>
    <b:RefOrder>6</b:RefOrder>
  </b:Source>
  <b:Source>
    <b:Tag>LeS13</b:Tag>
    <b:SourceType>InternetSite</b:SourceType>
    <b:Guid>{3DA2A5A3-BFDE-1548-87F7-C7A9E48C4DD5}</b:Guid>
    <b:Author>
      <b:Author>
        <b:Corporate>Le Sud Online</b:Corporate>
      </b:Author>
    </b:Author>
    <b:Title>ITIE SENEGAL: Atelier national de lancement</b:Title>
    <b:URL>http://www.sudonline.sn/les-ressources-minieres-representent-1-du-pib_a_16352.html</b:URL>
    <b:Year>2013</b:Year>
    <b:Month>November</b:Month>
    <b:YearAccessed>2017</b:YearAccessed>
    <b:MonthAccessed>July</b:MonthAccessed>
    <b:RefOrder>33</b:RefOrder>
  </b:Source>
  <b:Source>
    <b:Tag>EIT16</b:Tag>
    <b:SourceType>InternetSite</b:SourceType>
    <b:Guid>{8D7FDCEB-75BD-E24A-BCA1-2795B1807DB3}</b:Guid>
    <b:Author>
      <b:Author>
        <b:Corporate>EITI</b:Corporate>
      </b:Author>
    </b:Author>
    <b:Title>7TH EITI GLOBAL CONFERENCE, LIMA, 24-25 FEBRUARY 2016 Brief Secretariat Report</b:Title>
    <b:URL>https://eiti.org/sites/default/files/documents/2016-conference-lima-secretariat-finalreport-lima-2016_0.pdf</b:URL>
    <b:Year>2016</b:Year>
    <b:Month>February</b:Month>
    <b:YearAccessed>2017</b:YearAccessed>
    <b:MonthAccessed>July</b:MonthAccessed>
    <b:RefOrder>41</b:RefOrder>
  </b:Source>
  <b:Source>
    <b:Tag>Cai15</b:Tag>
    <b:SourceType>InternetSite</b:SourceType>
    <b:Guid>{0900D5F6-B888-7142-AE9F-88290B86F012}</b:Guid>
    <b:Author>
      <b:Author>
        <b:Corporate>Cairn Energy</b:Corporate>
      </b:Author>
    </b:Author>
    <b:Title>Cairn au Senegal</b:Title>
    <b:URL>https://www.cairnenergy.com/files/pdf/senegal/cairn_in_senegal_2015_fr.pdf</b:URL>
    <b:Year>2015</b:Year>
    <b:YearAccessed>2017</b:YearAccessed>
    <b:MonthAccessed>July</b:MonthAccessed>
    <b:RefOrder>21</b:RefOrder>
  </b:Source>
  <b:Source>
    <b:Tag>LeS162</b:Tag>
    <b:SourceType>InternetSite</b:SourceType>
    <b:Guid>{5759F6D3-C70D-DD4F-B5BF-D3F70E4A8761}</b:Guid>
    <b:Author>
      <b:Author>
        <b:Corporate>Le Sud Quotidien</b:Corporate>
      </b:Author>
    </b:Author>
    <b:Title>Production du Rapport ITIE 2014 : L’Etat d’avancement des travaux jugé satisfaisant</b:Title>
    <b:URL>http://itie.sn/production-du-rapport-itie-2014-letat-davancement-des-travaux-juge-satisfaisant/</b:URL>
    <b:Year>2016</b:Year>
    <b:Month>July</b:Month>
    <b:YearAccessed>2017</b:YearAccessed>
    <b:MonthAccessed>July</b:MonthAccessed>
    <b:RefOrder>116</b:RefOrder>
  </b:Source>
  <b:Source>
    <b:Tag>ITI1718</b:Tag>
    <b:SourceType>InternetSite</b:SourceType>
    <b:Guid>{4FC29AEA-AF1D-8B43-8608-5A26826524D0}</b:Guid>
    <b:Author>
      <b:Author>
        <b:Corporate>ITIE Senegal</b:Corporate>
      </b:Author>
    </b:Author>
    <b:Title>Hydrocarbures : Oxfam et ses partenaires planchent sur les enjeux de la gouvernance du pétrole et du gaz</b:Title>
    <b:URL>http://itie.sn/hydrocarbures-oxfam-et-ses-partenaires-planchent-sur-les-enjeux-de-la-gouvernance-du-petrole-et-du-gaz/</b:URL>
    <b:Year>2017</b:Year>
    <b:YearAccessed>2017</b:YearAccessed>
    <b:MonthAccessed>July</b:MonthAccessed>
    <b:RefOrder>97</b:RefOrder>
  </b:Source>
  <b:Source>
    <b:Tag>ITI1719</b:Tag>
    <b:SourceType>InternetSite</b:SourceType>
    <b:Guid>{F973FAAF-CA1F-CF41-8CBA-86F1A7B57FCD}</b:Guid>
    <b:Author>
      <b:Author>
        <b:Corporate>ITIE Senegal</b:Corporate>
      </b:Author>
    </b:Author>
    <b:Title>Premier Ministre : « Les entreprises retenues dans le périmètre du rapport ITIE doivent collaborer avec le Comité National en lui soumettant leurs déclarations, selon les modalités définies par la Norme ITIE »</b:Title>
    <b:URL>http://itie.sn/premier-ministre-les-entreprises-retenues-dans-le-perimetre-du-rapport-itie-doivent-collaborer-avec-le-comite-national-en-lui-soumettant-leurs-declarations-selon-les-modalites-definies-par-l/</b:URL>
    <b:Year>2017</b:Year>
    <b:YearAccessed>2017</b:YearAccessed>
    <b:MonthAccessed>July</b:MonthAccessed>
    <b:RefOrder>118</b:RefOrder>
  </b:Source>
  <b:Source>
    <b:Tag>ITI1639</b:Tag>
    <b:SourceType>InternetSite</b:SourceType>
    <b:Guid>{5DF05B35-C8BF-1F46-8A02-67731C55CAC0}</b:Guid>
    <b:Author>
      <b:Author>
        <b:Corporate>ITIE Senegal</b:Corporate>
      </b:Author>
    </b:Author>
    <b:Title>Le Comité national lance le processus d’élaboration du Rapport ITIE 2014 du Sénégal</b:Title>
    <b:URL>http://itie.sn/le-comite-national-lance-le-processus-delaboration-du-rapport-itie-2014-du-senegal/</b:URL>
    <b:Year>2016</b:Year>
    <b:Month>April</b:Month>
    <b:YearAccessed>2017</b:YearAccessed>
    <b:MonthAccessed>July</b:MonthAccessed>
    <b:RefOrder>145</b:RefOrder>
  </b:Source>
  <b:Source>
    <b:Tag>ITI1720</b:Tag>
    <b:SourceType>InternetSite</b:SourceType>
    <b:Guid>{B4AD122C-B016-024B-81CE-FB7A06E6C6FC}</b:Guid>
    <b:Author>
      <b:Author>
        <b:Corporate>ITIE Senegal</b:Corporate>
      </b:Author>
    </b:Author>
    <b:Title>Formation sur la gouvernance pétrolière</b:Title>
    <b:URL>http://itie.sn/formation-sur-la-gouvernance-petroliere/</b:URL>
    <b:Year>2017</b:Year>
    <b:Month>March</b:Month>
    <b:YearAccessed>2017</b:YearAccessed>
    <b:MonthAccessed>July</b:MonthAccessed>
    <b:RefOrder>123</b:RefOrder>
  </b:Source>
  <b:Source>
    <b:Tag>APS17</b:Tag>
    <b:SourceType>InternetSite</b:SourceType>
    <b:Guid>{FA854A02-8757-E14E-B84F-0A433D23E1E6}</b:Guid>
    <b:Author>
      <b:Author>
        <b:Corporate>APS</b:Corporate>
      </b:Author>
    </b:Author>
    <b:Title>Macky SALL invite le CESE à réfléchir sur une gestion durable des ressources naturelles dans un contexte de mise en œuvre de l’ITIE au Sénégal</b:Title>
    <b:URL>http://itie.sn/macky-sall-invite-le-cese-a-reflechir-sur-une-gestion-durable-des-ressources-naturelles-dans-un-contexte-de-mise-en-oeuvre-de-litie-au-senegal/</b:URL>
    <b:Year>2017</b:Year>
    <b:YearAccessed>2017</b:YearAccessed>
    <b:MonthAccessed>July</b:MonthAccessed>
    <b:RefOrder>246</b:RefOrder>
  </b:Source>
  <b:Source>
    <b:Tag>ITI1640</b:Tag>
    <b:SourceType>InternetSite</b:SourceType>
    <b:Guid>{20DC21AC-7009-1B4A-B3E1-7945357AB076}</b:Guid>
    <b:Author>
      <b:Author>
        <b:Corporate>ITIE Senegal</b:Corporate>
      </b:Author>
    </b:Author>
    <b:Title>Rapport 2014 : Le Comité national ITIE planche sur le périmètre et la matérialité…la société civile s’engage à jouer leur partition</b:Title>
    <b:URL>http://itie.sn/rapport-2014-le-comite-national-itie-planche-sur-le-perimetre-et-la-materialitela-societe-civile-sengage-a-jouer-leur-partition/</b:URL>
    <b:Year>2016</b:Year>
    <b:Month>May</b:Month>
    <b:YearAccessed>2017</b:YearAccessed>
    <b:MonthAccessed>July</b:MonthAccessed>
    <b:RefOrder>101</b:RefOrder>
  </b:Source>
  <b:Source>
    <b:Tag>ITI1641</b:Tag>
    <b:SourceType>InternetSite</b:SourceType>
    <b:Guid>{2626C3BE-E462-664D-8511-E920D9813C81}</b:Guid>
    <b:Author>
      <b:Author>
        <b:Corporate>ITIE Senegal</b:Corporate>
      </b:Author>
    </b:Author>
    <b:Title>Lutte contre la corruption : Le Gouvernement se félicite du leadership de l’ITIE…</b:Title>
    <b:URL>http://itie.sn/lutte-contre-la-corruption-le-gouvernement-se-felicite-du-leadership-de-litie/</b:URL>
    <b:Year>2016</b:Year>
    <b:Month>May</b:Month>
    <b:YearAccessed>2017</b:YearAccessed>
    <b:MonthAccessed>July</b:MonthAccessed>
    <b:RefOrder>39</b:RefOrder>
  </b:Source>
  <b:Source>
    <b:Tag>Rép161</b:Tag>
    <b:SourceType>InternetSite</b:SourceType>
    <b:Guid>{9EE517F0-BA45-3649-A284-8F24690B3A33}</b:Guid>
    <b:Author>
      <b:Author>
        <b:Corporate>République du Senegal</b:Corporate>
      </b:Author>
    </b:Author>
    <b:Title>SOMMET SUR LA LUTTE CONTRE LA CORRUPTION DECLARATION DE LA REPUBLIQUE DU SENEGAL LONDRES, LE 12 MAI 2016</b:Title>
    <b:URL>http://itie.sn/?offshore_dl=2275</b:URL>
    <b:Year>2016</b:Year>
    <b:Month>May</b:Month>
    <b:YearAccessed>2017</b:YearAccessed>
    <b:MonthAccessed>July</b:MonthAccessed>
    <b:RefOrder>40</b:RefOrder>
  </b:Source>
  <b:Source>
    <b:Tag>ITI1642</b:Tag>
    <b:SourceType>InternetSite</b:SourceType>
    <b:Guid>{B77D943E-44B6-3343-95D3-2FF2EFB35C39}</b:Guid>
    <b:Author>
      <b:Author>
        <b:Corporate>ITIE Senegal</b:Corporate>
      </b:Author>
    </b:Author>
    <b:Title>Ismaila Madior FALL, Président du Comité national ITIE « Tous les acteurs doivent jouer pleinement leur partition pour l’obtention de la conformité »</b:Title>
    <b:URL>http://itie.sn/ismaila-madior-fall-president-du-comite-national-itie-tous-les-acteurs-doivent-jouer-pleinement-leur-partition-pour-lobtention-de-la-conformite/</b:URL>
    <b:Year>2016</b:Year>
    <b:YearAccessed>2017</b:YearAccessed>
    <b:MonthAccessed>July</b:MonthAccessed>
    <b:RefOrder>48</b:RefOrder>
  </b:Source>
  <b:Source>
    <b:Tag>ITI1643</b:Tag>
    <b:SourceType>InternetSite</b:SourceType>
    <b:Guid>{82393E76-C4D5-3C43-99A3-60DB9A54AA47}</b:Guid>
    <b:Author>
      <b:Author>
        <b:Corporate>ITIE Senegal</b:Corporate>
      </b:Author>
    </b:Author>
    <b:Title>SOLLICITATION DE MANIFESTATIONS D’INTERET RAPPORT ITIE 2014</b:Title>
    <b:URL>http://itie.sn/?offshore_dl=2113</b:URL>
    <b:Year>2016</b:Year>
    <b:Month>March</b:Month>
    <b:YearAccessed>2017</b:YearAccessed>
    <b:MonthAccessed>July</b:MonthAccessed>
    <b:RefOrder>152</b:RefOrder>
  </b:Source>
  <b:Source>
    <b:Tag>ITI1644</b:Tag>
    <b:SourceType>InternetSite</b:SourceType>
    <b:Guid>{CD9B4288-07E2-3C44-B6E1-937EBCDD100B}</b:Guid>
    <b:Author>
      <b:Author>
        <b:Corporate>ITIE Senegal</b:Corporate>
      </b:Author>
    </b:Author>
    <b:Title>SOLLICITATION DE MANIFESTATIONS D’INTERET: Sélection d’un Administrateur Indépendant chargé d’élaborer le rapport ITIE 2014 du Sénégal</b:Title>
    <b:URL>http://itie.sn/sollicitation-de-manifestations-dinteret-selection-dun-administrateur-independant-charge-delaborer-le-rapport-itie-2014-du-senegal-4/</b:URL>
    <b:Year>2016</b:Year>
    <b:Month>March</b:Month>
    <b:YearAccessed>2017</b:YearAccessed>
    <b:MonthAccessed>July</b:MonthAccessed>
    <b:RefOrder>154</b:RefOrder>
  </b:Source>
  <b:Source>
    <b:Tag>ITI1645</b:Tag>
    <b:SourceType>InternetSite</b:SourceType>
    <b:Guid>{97D40734-445A-A042-B1A7-6B6D8CD4A866}</b:Guid>
    <b:Author>
      <b:Author>
        <b:Corporate>ITIE Senegal</b:Corporate>
      </b:Author>
    </b:Author>
    <b:Title>Aly Ngouille Ndiaye, Ministre des Mines « Le Gouvernement est intéressé par des mesures pour renforcer les prerogatives de l’ITIE Sénégal « </b:Title>
    <b:URL>http://itie.sn/aly-ngouille-ndiaye-ministre-des-mines-le-gouvernement-est-interesse-par-des-mesures-pour-renforcer-les-prerogatives-de-litie-senegal/</b:URL>
    <b:Year>2016</b:Year>
    <b:Month>February</b:Month>
    <b:YearAccessed>2017</b:YearAccessed>
    <b:MonthAccessed>July</b:MonthAccessed>
    <b:RefOrder>36</b:RefOrder>
  </b:Source>
  <b:Source>
    <b:Tag>ITI1646</b:Tag>
    <b:SourceType>InternetSite</b:SourceType>
    <b:Guid>{AAB2C42E-1941-5E4C-9109-3B44AB079A7A}</b:Guid>
    <b:Author>
      <b:Author>
        <b:Corporate>ITIE Senegal</b:Corporate>
      </b:Author>
    </b:Author>
    <b:Title>SOLLICITATION DE MANIFESTATIONS D’INTERET: Sélection d’un Administrateur Indépendant chargé d’élaborer le rapport ITIE 2014 du Sénégal</b:Title>
    <b:URL>http://itie.sn/sollicitation-de-manifestations-dinteret-selection-dun-administrateur-independant-charge-delaborer-le-rapport-itie-2014-du-senegal-5/</b:URL>
    <b:Year>2016</b:Year>
    <b:Month>January</b:Month>
    <b:YearAccessed>2017</b:YearAccessed>
    <b:MonthAccessed>July</b:MonthAccessed>
    <b:RefOrder>153</b:RefOrder>
  </b:Source>
  <b:Source>
    <b:Tag>ITI1521</b:Tag>
    <b:SourceType>InternetSite</b:SourceType>
    <b:Guid>{87E94E57-CF25-8C46-BB85-C724F6EF63A4}</b:Guid>
    <b:Author>
      <b:Author>
        <b:Corporate>ITIE Senegal</b:Corporate>
      </b:Author>
    </b:Author>
    <b:Title>Exclusif : Nouveau decret fixant le taux et les modalités de répartition du fonds de péréquation et d’appui aux collectivités locales</b:Title>
    <b:URL>http://itie.sn/exclusif-nouveau-decret-fixant-le-taux-et-les-modalites-de-repartition-du-fonds-de-perequation-et-dappui-aux-collectivites-locales/</b:URL>
    <b:Year>2015</b:Year>
    <b:Month>December</b:Month>
    <b:YearAccessed>2017</b:YearAccessed>
    <b:MonthAccessed>July</b:MonthAccessed>
    <b:RefOrder>49</b:RefOrder>
  </b:Source>
  <b:Source>
    <b:Tag>ITI1523</b:Tag>
    <b:SourceType>InternetSite</b:SourceType>
    <b:Guid>{0A08CE5E-EBBA-414A-B4FA-24612193AE85}</b:Guid>
    <b:Author>
      <b:Author>
        <b:Corporate>ITIE Senegal</b:Corporate>
      </b:Author>
    </b:Author>
    <b:Title>Le Comité national présente le Rapport ITIE aux populations de Rufisque, Thies et Kédougou</b:Title>
    <b:URL>http://itie.sn/le-comite-national-presente-le-rapport-itie-aux-populations-de-rufisque-thies-et-kedougou/</b:URL>
    <b:Year>2015</b:Year>
    <b:Month>December</b:Month>
    <b:YearAccessed>2017</b:YearAccessed>
    <b:MonthAccessed>July</b:MonthAccessed>
    <b:RefOrder>247</b:RefOrder>
  </b:Source>
  <b:Source>
    <b:Tag>Sen15</b:Tag>
    <b:SourceType>InternetSite</b:SourceType>
    <b:Guid>{CED67A5B-869B-644E-B4FE-7967F038AB2C}</b:Guid>
    <b:Author>
      <b:Author>
        <b:Corporate>SenePlus</b:Corporate>
      </b:Author>
    </b:Author>
    <b:Title>LE FORUM CIVIL DECORTIQUE L’ITIE ET LISTE LES INSUFFISANCES </b:Title>
    <b:URL>http://www.seneplus.com/economie/le-forum-civil-decortique-litie-et-liste-les-insuffisances</b:URL>
    <b:Year>2015</b:Year>
    <b:Month>December</b:Month>
    <b:YearAccessed>2017</b:YearAccessed>
    <b:MonthAccessed>July</b:MonthAccessed>
    <b:RefOrder>79</b:RefOrder>
  </b:Source>
  <b:Source>
    <b:Tag>ITI1524</b:Tag>
    <b:SourceType>InternetSite</b:SourceType>
    <b:Guid>{7ECE664F-EBAD-8D48-9FAE-BB5D0B3036A4}</b:Guid>
    <b:Author>
      <b:Author>
        <b:Corporate>ITIE Senegal</b:Corporate>
      </b:Author>
    </b:Author>
    <b:Title>SOLLICITATION DE MANIFESTATIONS D’INTERET: Sélection d’un Gestionnaire de données – Version finale</b:Title>
    <b:URL>http://itie.sn/2134-2/</b:URL>
    <b:Year>2015</b:Year>
    <b:Month>July</b:Month>
    <b:YearAccessed>2017</b:YearAccessed>
    <b:MonthAccessed>July</b:MonthAccessed>
    <b:RefOrder>179</b:RefOrder>
  </b:Source>
  <b:Source>
    <b:Tag>ITI1525</b:Tag>
    <b:SourceType>InternetSite</b:SourceType>
    <b:Guid>{08CA197F-8EC9-7249-96ED-A40C5AA87E28}</b:Guid>
    <b:Author>
      <b:Author>
        <b:Corporate>ITIE Senegal</b:Corporate>
      </b:Author>
    </b:Author>
    <b:Title>Discours du Premier Ministre lors de l’atelier de dissémination du Rapport</b:Title>
    <b:URL>http://itie.sn/discours-du-premier-ministre-lors-de-latelier-de-dissemination-du-rapport/</b:URL>
    <b:Year>2015</b:Year>
    <b:Month>November</b:Month>
    <b:YearAccessed>2017</b:YearAccessed>
    <b:MonthAccessed>July</b:MonthAccessed>
    <b:RefOrder>71</b:RefOrder>
  </b:Source>
  <b:Source>
    <b:Tag>RTS15</b:Tag>
    <b:SourceType>InternetSite</b:SourceType>
    <b:Guid>{26DF8B94-41EB-C549-BAF1-3AC9D186144F}</b:Guid>
    <b:Author>
      <b:Author>
        <b:Corporate>RTS</b:Corporate>
      </b:Author>
    </b:Author>
    <b:Title>Publication du Rapport ITIE : Le Président du CN-ITIE, invité de l’émission « Le Point » Regardez</b:Title>
    <b:URL>http://itie.sn/publication-du-rapport-itie-le-president-du-cn-itie-invite-de-lemission-le-point-regardez/</b:URL>
    <b:Year>2015</b:Year>
    <b:Month>November</b:Month>
    <b:YearAccessed>2017</b:YearAccessed>
    <b:MonthAccessed>July</b:MonthAccessed>
    <b:RefOrder>182</b:RefOrder>
  </b:Source>
  <b:Source>
    <b:Tag>ITI1526</b:Tag>
    <b:SourceType>InternetSite</b:SourceType>
    <b:Guid>{98163443-CD7A-E64A-BE3A-5B5F5BD1A1BA}</b:Guid>
    <b:Author>
      <b:Author>
        <b:Corporate>ITIE Senegal</b:Corporate>
      </b:Author>
    </b:Author>
    <b:Title>Montants perçus par les Organismes collecteurs en 2013  </b:Title>
    <b:URL>http://itie.sn/montants-percus-par-les-organismes-collecteurs-en-2013/</b:URL>
    <b:Year>2015</b:Year>
    <b:Month>November</b:Month>
    <b:YearAccessed>2017</b:YearAccessed>
    <b:MonthAccessed>July</b:MonthAccessed>
    <b:RefOrder>165</b:RefOrder>
  </b:Source>
  <b:Source>
    <b:Tag>ITI1527</b:Tag>
    <b:SourceType>InternetSite</b:SourceType>
    <b:Guid>{65822FF9-72F1-0F4F-9A8A-7129107AC8C1}</b:Guid>
    <b:Author>
      <b:Author>
        <b:Corporate>ITIE Senegal</b:Corporate>
      </b:Author>
    </b:Author>
    <b:Title>Les contributions des entreprises du secteur extractif en 2013</b:Title>
    <b:URL>http://itie.sn/les-contributions-des-entreprises-du-secteur-extractif-en-2013/</b:URL>
    <b:Year>2015</b:Year>
    <b:Month>November</b:Month>
    <b:YearAccessed>2017</b:YearAccessed>
    <b:MonthAccessed>July</b:MonthAccessed>
    <b:RefOrder>166</b:RefOrder>
  </b:Source>
  <b:Source>
    <b:Tag>ITI1528</b:Tag>
    <b:SourceType>InternetSite</b:SourceType>
    <b:Guid>{48D4E315-EE40-8B4C-8B90-F289AE00A8AE}</b:Guid>
    <b:Author>
      <b:Author>
        <b:Corporate>ITIE Senegal</b:Corporate>
      </b:Author>
    </b:Author>
    <b:Title>Actionnariat de Oromin : L’Etat cède ses parts pour 5 milliards</b:Title>
    <b:URL>http://itie.sn/actionnariat-de-oromin-letat-cede-ses-parts-pour-5-milliards/</b:URL>
    <b:Year>2015</b:Year>
    <b:Month>November</b:Month>
    <b:YearAccessed>2017</b:YearAccessed>
    <b:MonthAccessed>July</b:MonthAccessed>
    <b:RefOrder>63</b:RefOrder>
  </b:Source>
  <b:Source>
    <b:Tag>ITI1320</b:Tag>
    <b:SourceType>InternetSite</b:SourceType>
    <b:Guid>{018407D1-032F-9746-916E-81D4A082DDF5}</b:Guid>
    <b:Author>
      <b:Author>
        <b:Corporate>ITIE Senegal</b:Corporate>
      </b:Author>
    </b:Author>
    <b:Title>Plan d’action ITIE du Sénégal 2013 – 2016</b:Title>
    <b:URL>http://itie.sn/plan-daction-itie-du-senegal-2013-2016/</b:URL>
    <b:Year>2013</b:Year>
    <b:Month>July</b:Month>
    <b:YearAccessed>2017</b:YearAccessed>
    <b:MonthAccessed>July</b:MonthAccessed>
    <b:RefOrder>9</b:RefOrder>
  </b:Source>
  <b:Source>
    <b:Tag>ITI1529</b:Tag>
    <b:SourceType>InternetSite</b:SourceType>
    <b:Guid>{BAEF6A35-60E3-354A-863E-45F70C576B8F}</b:Guid>
    <b:Author>
      <b:Author>
        <b:Corporate>ITIE Senegal</b:Corporate>
      </b:Author>
    </b:Author>
    <b:Title>Communiqué de Presse du Comité National de l’ITIE Sénégal</b:Title>
    <b:URL>http://itie.sn/communique-de-presse-du-comite-national-de-litie-senegal/</b:URL>
    <b:Year>2015</b:Year>
    <b:Month>June</b:Month>
    <b:YearAccessed>2017</b:YearAccessed>
    <b:MonthAccessed>July</b:MonthAccessed>
    <b:RefOrder>47</b:RefOrder>
  </b:Source>
  <b:Source>
    <b:Tag>ITI1530</b:Tag>
    <b:SourceType>InternetSite</b:SourceType>
    <b:Guid>{2422ED31-E574-C04C-AAC5-7EC2BEAF808B}</b:Guid>
    <b:Author>
      <b:Author>
        <b:Corporate>ITIE Senegal</b:Corporate>
      </b:Author>
    </b:Author>
    <b:Title>Cheikh Tidiane Toure, Sécretaire permanent ITIE : « Les compagnies qui ne fournissent pas de déclaration peuvent affecter négativement la notation du Sénégal »</b:Title>
    <b:URL>http://itie.sn/cheikh-tidiane-toure-secretaire-permanent-itie-les-compagnies-qui-ne-fournissent-pas-de-declaration-peuvent-affecter-negativement-la-notation-du-senegal/</b:URL>
    <b:Year>2015</b:Year>
    <b:Month>June</b:Month>
    <b:YearAccessed>2017</b:YearAccessed>
    <b:MonthAccessed>July</b:MonthAccessed>
    <b:RefOrder>248</b:RefOrder>
  </b:Source>
  <b:Source>
    <b:Tag>Dak15</b:Tag>
    <b:SourceType>InternetSite</b:SourceType>
    <b:Guid>{3ED291F7-DE3F-AB4F-AE9B-84450BC9242E}</b:Guid>
    <b:Author>
      <b:Author>
        <b:Corporate>Dakaractu</b:Corporate>
      </b:Author>
    </b:Author>
    <b:Title>Transparence dans les industries extractives : Vers la mise en place d’un cadre de concertation à Kédougou</b:Title>
    <b:URL>http://www.dakaractu.com/Transparence-dans-les-industries-extractives-Vers-la-mise-en-place-d-un-cadre-de-concertation-a-Kedougou_a89973.html</b:URL>
    <b:Year>2015</b:Year>
    <b:YearAccessed>2017</b:YearAccessed>
    <b:MonthAccessed>July</b:MonthAccessed>
    <b:RefOrder>173</b:RefOrder>
  </b:Source>
  <b:Source>
    <b:Tag>APS15</b:Tag>
    <b:SourceType>InternetSite</b:SourceType>
    <b:Guid>{70D7D546-E211-3447-AE9F-F95CC70581D9}</b:Guid>
    <b:Author>
      <b:Author>
        <b:Corporate>APS</b:Corporate>
      </b:Author>
    </b:Author>
    <b:Title>Sénégal: Des acteurs plaident pour "un cadre de concertation participatif et inclusif"</b:Title>
    <b:URL>http://fr.allafrica.com/stories/201505182402.html</b:URL>
    <b:Year>2015</b:Year>
    <b:YearAccessed>2017</b:YearAccessed>
    <b:MonthAccessed>July</b:MonthAccessed>
    <b:RefOrder>174</b:RefOrder>
  </b:Source>
  <b:Source>
    <b:Tag>ITI1531</b:Tag>
    <b:SourceType>InternetSite</b:SourceType>
    <b:Guid>{9D1E7023-7834-C142-82E8-F1AA89B2C59E}</b:Guid>
    <b:Author>
      <b:Author>
        <b:Corporate>ITIE Senegal</b:Corporate>
      </b:Author>
    </b:Author>
    <b:Title>Forum de sensibilisation à Kédougou : Traduire en action concrète l’esprit de l’ITIE</b:Title>
    <b:URL>http://itie.sn/forum-de-sensibilisation-a-kedougou-traduire-en-action-concrete-lesprit-de-litie/</b:URL>
    <b:Year>2015</b:Year>
    <b:YearAccessed>2017</b:YearAccessed>
    <b:MonthAccessed>July</b:MonthAccessed>
    <b:RefOrder>104</b:RefOrder>
  </b:Source>
  <b:Source>
    <b:Tag>Gor15</b:Tag>
    <b:SourceType>InternetSite</b:SourceType>
    <b:Guid>{C9593DBF-FA0E-1C41-B145-2091B2670A22}</b:Guid>
    <b:Author>
      <b:Author>
        <b:Corporate>Gore Institut</b:Corporate>
      </b:Author>
    </b:Author>
    <b:Title>Une meilleure gestion des ressources naturelles pour éviter les conflits</b:Title>
    <b:URL>http://itie.sn/une-meilleure-gestion-des-ressources-naturelles-pour-eviter-les-conflits/</b:URL>
    <b:Year>2015</b:Year>
    <b:YearAccessed>2017</b:YearAccessed>
    <b:MonthAccessed>July</b:MonthAccessed>
    <b:RefOrder>249</b:RefOrder>
  </b:Source>
  <b:Source>
    <b:Tag>ITI1532</b:Tag>
    <b:SourceType>InternetSite</b:SourceType>
    <b:Guid>{69EA35DD-4F71-E848-9822-FB2D3F928EC1}</b:Guid>
    <b:Author>
      <b:Author>
        <b:Corporate>ITIE Senegal</b:Corporate>
      </b:Author>
    </b:Author>
    <b:Title>Exploitation minière à Kédougou : Vers la mise en place d’un cadre de concertation</b:Title>
    <b:URL>http://itie.sn/exploitation-miniere-a-kedougou-vers-la-mise-en-place-dun-cadre-de-concertation/</b:URL>
    <b:Year>2015</b:Year>
    <b:YearAccessed>2017</b:YearAccessed>
    <b:MonthAccessed>July</b:MonthAccessed>
    <b:RefOrder>93</b:RefOrder>
  </b:Source>
  <b:Source>
    <b:Tag>ITI1533</b:Tag>
    <b:SourceType>InternetSite</b:SourceType>
    <b:Guid>{E59B2F25-F883-EB48-B4A9-FDDA3A18D9C3}</b:Guid>
    <b:Author>
      <b:Author>
        <b:Corporate>ITIE Senegal</b:Corporate>
      </b:Author>
    </b:Author>
    <b:Title>Le Sénégal publie son premier Rapport ITIE</b:Title>
    <b:URL>http://itie.sn/le-senegal-publie-son-premier-rapport-itie/</b:URL>
    <b:Year>2015</b:Year>
    <b:Month>October</b:Month>
    <b:YearAccessed>2017</b:YearAccessed>
    <b:MonthAccessed>July</b:MonthAccessed>
    <b:RefOrder>167</b:RefOrder>
  </b:Source>
  <b:Source>
    <b:Tag>ITI1534</b:Tag>
    <b:SourceType>InternetSite</b:SourceType>
    <b:Guid>{4D8EAAEF-B474-514A-86F7-AE13C8EB4292}</b:Guid>
    <b:Author>
      <b:Author>
        <b:Corporate>ITIE Senegal</b:Corporate>
      </b:Author>
    </b:Author>
    <b:Title>Pétrole et mines : Macky Sall veut mettre à jour les législations</b:Title>
    <b:URL>http://itie.sn/petrole-et-mines-macky-sall-veut-mettre-a-jour-les-legislations/</b:URL>
    <b:Year>2015</b:Year>
    <b:YearAccessed>2017</b:YearAccessed>
    <b:MonthAccessed>July</b:MonthAccessed>
    <b:RefOrder>35</b:RefOrder>
  </b:Source>
  <b:Source>
    <b:Tag>ITI1535</b:Tag>
    <b:SourceType>InternetSite</b:SourceType>
    <b:Guid>{0929C71D-CC9F-6B40-BD4A-A1D0F7F8F2FC}</b:Guid>
    <b:Author>
      <b:Author>
        <b:Corporate>ITIE Senegal</b:Corporate>
      </b:Author>
    </b:Author>
    <b:Title>Garantir un remplissage efficient des formulaires de collecte des données</b:Title>
    <b:URL>http://itie.sn/garantir-un-remplissage-efficient-des-formulaires-de-collecte-des-donnees/</b:URL>
    <b:Year>2015</b:Year>
    <b:Month>May</b:Month>
    <b:YearAccessed>2017</b:YearAccessed>
    <b:MonthAccessed>July</b:MonthAccessed>
    <b:RefOrder>122</b:RefOrder>
  </b:Source>
  <b:Source>
    <b:Tag>ITI1537</b:Tag>
    <b:SourceType>InternetSite</b:SourceType>
    <b:Guid>{B1866AFE-D08E-EC47-9724-7842EF9C7AC3}</b:Guid>
    <b:Author>
      <b:Author>
        <b:Corporate>ITIE Senegal</b:Corporate>
      </b:Author>
    </b:Author>
    <b:Title>Production du rapport ITIE : Un autre défi pour l’administration sénégalaise</b:Title>
    <b:URL>http://itie.sn/wp-content/uploads/2015/02/Contribution-du-S%C3%A9cretaire-Permanent-du-Comit%C3%A9-ITIE1.pdf</b:URL>
    <b:Year>2015</b:Year>
    <b:YearAccessed>2017</b:YearAccessed>
    <b:MonthAccessed>July</b:MonthAccessed>
    <b:RefOrder>125</b:RefOrder>
  </b:Source>
  <b:Source>
    <b:Tag>ITI1538</b:Tag>
    <b:SourceType>InternetSite</b:SourceType>
    <b:Guid>{8F51FF48-1250-774B-B00E-A4A6C4216196}</b:Guid>
    <b:Author>
      <b:Author>
        <b:Corporate>ITIE Senegal</b:Corporate>
      </b:Author>
    </b:Author>
    <b:Title>Plan de Communication ITIE Senegal</b:Title>
    <b:URL>http://itie.sn/wp-content/uploads/2015/02/ITIE_Rapport_final_de_la_stratu00E9gie_de_communication_19_1-_15_VF_TN-2.pdf</b:URL>
    <b:Year>2015</b:Year>
    <b:Month>January</b:Month>
    <b:YearAccessed>2017</b:YearAccessed>
    <b:MonthAccessed>July</b:MonthAccessed>
    <b:RefOrder>55</b:RefOrder>
  </b:Source>
  <b:Source>
    <b:Tag>LeS15</b:Tag>
    <b:SourceType>InternetSite</b:SourceType>
    <b:Guid>{F771FB11-661F-E54A-AA93-989EC8DE9A96}</b:Guid>
    <b:Author>
      <b:Author>
        <b:Corporate>Le Soleil</b:Corporate>
      </b:Author>
    </b:Author>
    <b:Title>Le Comité national ITIE doté d’un plan de communication</b:Title>
    <b:URL>http://itie.sn/le-comite-national-itie-dote-dun-plan-de-communication/</b:URL>
    <b:Year>2015</b:Year>
    <b:Month>January</b:Month>
    <b:YearAccessed>2017</b:YearAccessed>
    <b:MonthAccessed>July</b:MonthAccessed>
    <b:RefOrder>161</b:RefOrder>
  </b:Source>
  <b:Source>
    <b:Tag>Sud15</b:Tag>
    <b:SourceType>InternetSite</b:SourceType>
    <b:Guid>{E09210E9-B4C5-AA4B-A550-85E3D505B311}</b:Guid>
    <b:Author>
      <b:Author>
        <b:Corporate>Sud Quotidien</b:Corporate>
      </b:Author>
    </b:Author>
    <b:Title>Gouvernance minière au Sénégal : L’ITIE valide son plan de communication</b:Title>
    <b:URL>http://itie.sn/gouvernance-miniere-au-senegal-litie-valide-son-plan-de-communication/</b:URL>
    <b:Year>2015</b:Year>
    <b:Month>January</b:Month>
    <b:YearAccessed>2017</b:YearAccessed>
    <b:MonthAccessed>July</b:MonthAccessed>
    <b:RefOrder>162</b:RefOrder>
  </b:Source>
  <b:Source>
    <b:Tag>ITI1418</b:Tag>
    <b:SourceType>InternetSite</b:SourceType>
    <b:Guid>{DD7B55EB-FFA6-3941-A08C-A401385ED0D4}</b:Guid>
    <b:Author>
      <b:Author>
        <b:Corporate>ITIE Senegal</b:Corporate>
      </b:Author>
    </b:Author>
    <b:Title>Compte rendu de la journée de mie à niveau des sociétés minières, pétrolières et gazières sur l’ITIE</b:Title>
    <b:URL>http://itie.sn/compte-rendu-de-la-journee-de-mie-a-niveau-des-societes-minieres-petrolieres-et-gazieres-sur-litie/</b:URL>
    <b:Year>2014</b:Year>
    <b:Month>October</b:Month>
    <b:YearAccessed>2017</b:YearAccessed>
    <b:MonthAccessed>July</b:MonthAccessed>
    <b:RefOrder>121</b:RefOrder>
  </b:Source>
  <b:Source>
    <b:Tag>ITI1419</b:Tag>
    <b:SourceType>InternetSite</b:SourceType>
    <b:Guid>{0E4E03CD-4194-8649-A9A3-1A245B0FBCB0}</b:Guid>
    <b:Author>
      <b:Author>
        <b:Corporate>ITIE Senegal</b:Corporate>
      </b:Author>
    </b:Author>
    <b:Title>Compte rendu de la réunion de coordination du groupe multipartite</b:Title>
    <b:URL>http://itie.sn/compte-rendu-de-la-reunion-de-coordination-du-groupe-multipartite/</b:URL>
    <b:Year>2014</b:Year>
    <b:Month>September</b:Month>
    <b:YearAccessed>2017</b:YearAccessed>
    <b:MonthAccessed>July</b:MonthAccessed>
    <b:RefOrder>111</b:RefOrder>
  </b:Source>
  <b:Source>
    <b:Tag>ITI1420</b:Tag>
    <b:SourceType>InternetSite</b:SourceType>
    <b:Guid>{337D1070-D554-3840-A727-99DD9409AC49}</b:Guid>
    <b:Author>
      <b:Author>
        <b:Corporate>ITIE Senegal</b:Corporate>
      </b:Author>
    </b:Author>
    <b:Title>Démarrage du processus d’élaboration du premier rapport ITIE du Sénégal</b:Title>
    <b:URL>http://itie.sn/demarrage-du-processus-delaboration-du-premier-rapport-itie-du-senegal/</b:URL>
    <b:Year>2014</b:Year>
    <b:Month>October</b:Month>
    <b:YearAccessed>2017</b:YearAccessed>
    <b:MonthAccessed>July</b:MonthAccessed>
    <b:RefOrder>112</b:RefOrder>
  </b:Source>
  <b:Source>
    <b:Tag>ITI1539</b:Tag>
    <b:SourceType>InternetSite</b:SourceType>
    <b:Guid>{E930F6C0-CB2C-B843-A67A-4D25C602E1C7}</b:Guid>
    <b:Author>
      <b:Author>
        <b:Corporate>ITIE Senegal</b:Corporate>
      </b:Author>
    </b:Author>
    <b:Title>Les Rapports ITIE 2012 et 2013 du Sénégal bientôt disponibles</b:Title>
    <b:URL>http://itie.sn/les-rapports-itie-2012-et-2013-du-senegal-bientot-disponibles/</b:URL>
    <b:Year>2015</b:Year>
    <b:YearAccessed>2017</b:YearAccessed>
    <b:MonthAccessed>July</b:MonthAccessed>
    <b:RefOrder>113</b:RefOrder>
  </b:Source>
  <b:Source>
    <b:Tag>ITI1540</b:Tag>
    <b:SourceType>InternetSite</b:SourceType>
    <b:Guid>{737F200D-2319-234E-ADD4-09265748D810}</b:Guid>
    <b:Author>
      <b:Author>
        <b:Corporate>ITIE Senegal</b:Corporate>
      </b:Author>
    </b:Author>
    <b:Title>La décentralisation, pour garantir l’accès à l’information aux acteurs locaux</b:Title>
    <b:URL>http://itie.sn/la-decentralisation-pour-garantir-lacces-a-linformation-aux-acteurs-locaux/</b:URL>
    <b:Year>2015</b:Year>
    <b:YearAccessed>2017</b:YearAccessed>
    <b:MonthAccessed>July</b:MonthAccessed>
    <b:RefOrder>175</b:RefOrder>
  </b:Source>
  <b:Source>
    <b:Tag>ITI1541</b:Tag>
    <b:SourceType>InternetSite</b:SourceType>
    <b:Guid>{4E2BE2A3-F92B-614E-8A85-5B80E7025E94}</b:Guid>
    <b:Author>
      <b:Author>
        <b:Corporate>ITIE Senegal</b:Corporate>
      </b:Author>
    </b:Author>
    <b:Title>Le Rapport d’activité annuelle 2014 de l’ITIE Sénégal publié</b:Title>
    <b:URL>http://itie.sn/le-rapport-dactivite-annuelle-2014-de-litie-senegal-publie/</b:URL>
    <b:Year>2015</b:Year>
    <b:Month>December</b:Month>
    <b:YearAccessed>2017</b:YearAccessed>
    <b:MonthAccessed>July</b:MonthAccessed>
    <b:RefOrder>195</b:RefOrder>
  </b:Source>
  <b:Source>
    <b:Tag>Abi15</b:Tag>
    <b:SourceType>InternetSite</b:SourceType>
    <b:Guid>{4880AB5B-E20B-DE41-B2D5-14548802B37A}</b:Guid>
    <b:Author>
      <b:Author>
        <b:Corporate>Abidjan.net</b:Corporate>
      </b:Author>
    </b:Author>
    <b:Title>Industrie extractive: les parlementaires en formation pour une meilleure gestion des ressources minières</b:Title>
    <b:URL>http://news.abidjan.net/h/519985.html</b:URL>
    <b:Year>2015</b:Year>
    <b:Month>January</b:Month>
    <b:YearAccessed>2017</b:YearAccessed>
    <b:MonthAccessed>July</b:MonthAccessed>
    <b:RefOrder>185</b:RefOrder>
  </b:Source>
  <b:Source>
    <b:Tag>ITI1421</b:Tag>
    <b:SourceType>InternetSite</b:SourceType>
    <b:Guid>{C91849CF-79BC-B44E-82A1-FF88B5EBB9F8}</b:Guid>
    <b:Author>
      <b:Author>
        <b:Corporate>ITIE Senegal</b:Corporate>
      </b:Author>
    </b:Author>
    <b:Title>Rapport de l’atelier de mise à niveau des parlementaires sur l’ITIE au Sénégal  </b:Title>
    <b:URL>http://itie.sn/rapport-de-latelier-de-mise-a-niveau-des-parlementaires-sur-litie-au-senegal/</b:URL>
    <b:Year>2014</b:Year>
    <b:Month>May</b:Month>
    <b:YearAccessed>2017</b:YearAccessed>
    <b:MonthAccessed>July</b:MonthAccessed>
    <b:RefOrder>183</b:RefOrder>
  </b:Source>
  <b:Source>
    <b:Tag>ITI1321</b:Tag>
    <b:SourceType>InternetSite</b:SourceType>
    <b:Guid>{1D09F832-C0E6-5D4A-A083-81E8F1D9281F}</b:Guid>
    <b:Author>
      <b:Author>
        <b:Corporate>ITIE Senegal</b:Corporate>
      </b:Author>
    </b:Author>
    <b:Title>Réunion du Comité National des parties prenantes à l’Initiative pour la Transparence dans les Industries Extractives au Sénégal (ITIES)</b:Title>
    <b:URL>http://itie.sn/reunion-du-comite-national-des-parties-prenantes-a-linitiative-pour-la-transparence-dans-les-industries-extractives-au-senegal-ities/</b:URL>
    <b:Year>2013</b:Year>
    <b:Month>December</b:Month>
    <b:YearAccessed>2017</b:YearAccessed>
    <b:MonthAccessed>July</b:MonthAccessed>
    <b:RefOrder>110</b:RefOrder>
  </b:Source>
  <b:Source>
    <b:Tag>ITI1422</b:Tag>
    <b:SourceType>InternetSite</b:SourceType>
    <b:Guid>{B7EF4C08-CED7-8444-8186-936ED29F652F}</b:Guid>
    <b:Author>
      <b:Author>
        <b:Corporate>ITIE Senegal</b:Corporate>
      </b:Author>
    </b:Author>
    <b:Title>Les coordonnateurs nationaux de l’ITIE d’Afrique francophone en conclave à Dakar</b:Title>
    <b:URL>http://itie.sn/les-coordonnateurs-nationaux-de-litie-dafrique-francophone-en-conclave-a-dakar/</b:URL>
    <b:Year>2014</b:Year>
    <b:Month>September</b:Month>
    <b:YearAccessed>2017</b:YearAccessed>
    <b:MonthAccessed>July</b:MonthAccessed>
    <b:RefOrder>250</b:RefOrder>
  </b:Source>
  <b:Source>
    <b:Tag>LeS14</b:Tag>
    <b:SourceType>InternetSite</b:SourceType>
    <b:Guid>{C3B5E867-9C96-4249-BE7A-5B4C32300AB2}</b:Guid>
    <b:Author>
      <b:Author>
        <b:Corporate>Le Soleil</b:Corporate>
      </b:Author>
    </b:Author>
    <b:Title>Découverte d’un gisement au Sénégal: Il faut éviter la malédiction du pétrole</b:Title>
    <b:URL>http://itie.sn/decouverte-dun-gisement-au-senegal-il-faut-eviter-la-malediction-du-petrole/</b:URL>
    <b:Year>2014</b:Year>
    <b:YearAccessed>2017</b:YearAccessed>
    <b:MonthAccessed>July</b:MonthAccessed>
    <b:RefOrder>34</b:RefOrder>
  </b:Source>
  <b:Source>
    <b:Tag>ITI1423</b:Tag>
    <b:SourceType>InternetSite</b:SourceType>
    <b:Guid>{84025EEB-A950-904F-8732-AF604CC397C6}</b:Guid>
    <b:Author>
      <b:Author>
        <b:Corporate>ITIE Senegal</b:Corporate>
      </b:Author>
    </b:Author>
    <b:Title>La production du rapport ITIE : Un autre défi pour l’administration sénégalaise</b:Title>
    <b:URL>http://itie.sn/la-production-du-rapport-itie-un-autre-defi-pour-ladministration-senegalaise-2/</b:URL>
    <b:Year>2014</b:Year>
    <b:Month>August</b:Month>
    <b:YearAccessed>2017</b:YearAccessed>
    <b:MonthAccessed>July</b:MonthAccessed>
    <b:RefOrder>120</b:RefOrder>
  </b:Source>
  <b:Source>
    <b:Tag>ITI1424</b:Tag>
    <b:SourceType>InternetSite</b:SourceType>
    <b:Guid>{CA589B29-3622-2549-957A-E0EEF889DFC0}</b:Guid>
    <b:Author>
      <b:Author>
        <b:Corporate>ITIE Senegal</b:Corporate>
      </b:Author>
    </b:Author>
    <b:Title>Transparence dans les Industries Extractives à Kédougou</b:Title>
    <b:URL>http://itie.sn/transparence-dans-les-industries-extractives-a-kedougou/</b:URL>
    <b:Year>2014</b:Year>
    <b:Month>March</b:Month>
    <b:YearAccessed>2017</b:YearAccessed>
    <b:MonthAccessed>July</b:MonthAccessed>
    <b:RefOrder>172</b:RefOrder>
  </b:Source>
  <b:Source>
    <b:Tag>Ter14</b:Tag>
    <b:SourceType>InternetSite</b:SourceType>
    <b:Guid>{14087996-066B-FB40-BBBB-132159366C81}</b:Guid>
    <b:Author>
      <b:Author>
        <b:Corporate>Teranga Gold</b:Corporate>
      </b:Author>
    </b:Author>
    <b:Title>Partage d’expérience : Processus de collecte des données ITIE au sein de Teranga Gold</b:Title>
    <b:URL>http://itie.sn/partage-dexperience-processus-de-collecte-des-donnees-itie-au-sein-de-teranga-gold/</b:URL>
    <b:Year>2014</b:Year>
    <b:YearAccessed>2017</b:YearAccessed>
    <b:MonthAccessed>July</b:MonthAccessed>
    <b:RefOrder>60</b:RefOrder>
  </b:Source>
  <b:Source>
    <b:Tag>LeQ14</b:Tag>
    <b:SourceType>InternetSite</b:SourceType>
    <b:Guid>{14ED8DBA-9D81-0146-AAA9-C87B982659F6}</b:Guid>
    <b:Author>
      <b:Author>
        <b:Corporate>Le Quotidien</b:Corporate>
      </b:Author>
    </b:Author>
    <b:Title>Mise en œuvre de l’Itie : Le comité national se met à niveau  </b:Title>
    <b:URL>http://itie.sn/mise-en-oeuvre-de-litie-le-comite-national-se-met-a-niveau/</b:URL>
    <b:Year>2014</b:Year>
    <b:YearAccessed>2017</b:YearAccessed>
    <b:MonthAccessed>July</b:MonthAccessed>
    <b:RefOrder>119</b:RefOrder>
  </b:Source>
  <b:Source>
    <b:Tag>Rep171</b:Tag>
    <b:SourceType>InternetSite</b:SourceType>
    <b:Guid>{E59DBC60-585B-544C-BB97-ACA849278C7A}</b:Guid>
    <b:Author>
      <b:Author>
        <b:Corporate>Republic of Senegal</b:Corporate>
      </b:Author>
    </b:Author>
    <b:Title>2017 Eurobond Prospectus</b:Title>
    <b:URL>http://ise.ie/debt_documents/Final%20Prospectus_df8fa04a-3e08-4b19-b380-a12f441623d0.PDF</b:URL>
    <b:Year>2017</b:Year>
    <b:YearAccessed>2017</b:YearAccessed>
    <b:MonthAccessed>July</b:MonthAccessed>
    <b:RefOrder>7</b:RefOrder>
  </b:Source>
  <b:Source>
    <b:Tag>Rep14</b:Tag>
    <b:SourceType>InternetSite</b:SourceType>
    <b:Guid>{BCE032CA-DE3F-644E-9761-49937EE3EFFF}</b:Guid>
    <b:Author>
      <b:Author>
        <b:Corporate>Republic of Senegal</b:Corporate>
      </b:Author>
    </b:Author>
    <b:Title>2014 Eurobond prospectus</b:Title>
    <b:URL>http://www.ise.ie/debt_documents/Prospectus%20-%20Standalone_db79a2a0-aaa7-43fa-abae-b06fe5526d44.PDF</b:URL>
    <b:Year>2014</b:Year>
    <b:YearAccessed>2017</b:YearAccessed>
    <b:MonthAccessed>July</b:MonthAccessed>
    <b:RefOrder>62</b:RefOrder>
  </b:Source>
  <b:Source>
    <b:Tag>Laz171</b:Tag>
    <b:SourceType>InternetSite</b:SourceType>
    <b:Guid>{E63FE176-A633-094A-B7DA-8AC8B379EEB4}</b:Guid>
    <b:Author>
      <b:Author>
        <b:Corporate>Lazard Asset Management </b:Corporate>
      </b:Author>
    </b:Author>
    <b:Title>Senegal country note</b:Title>
    <b:URL>http://www.lazardassetmanagement.co.uk/institutional-investor/docs/sp0/9720/EmergingMarketsSovereign-Senegal_en.pdf?pagename=Emerging+Markets+Sovereign+Outlook</b:URL>
    <b:Year>2017</b:Year>
    <b:Month>February</b:Month>
    <b:YearAccessed>2017</b:YearAccessed>
    <b:MonthAccessed>July</b:MonthAccessed>
    <b:RefOrder>20</b:RefOrder>
  </b:Source>
  <b:Source>
    <b:Tag>Fin16</b:Tag>
    <b:SourceType>InternetSite</b:SourceType>
    <b:Guid>{BE6D5807-A481-004F-9E9C-894A907A00E7}</b:Guid>
    <b:Author>
      <b:Author>
        <b:Corporate>Financial Times</b:Corporate>
      </b:Author>
    </b:Author>
    <b:Title>Cairn Energy boosted by Senegal discovery</b:Title>
    <b:URL>https://www.ft.com/content/729f4f7e-418d-3f78-a38f-15072054bf98</b:URL>
    <b:Year>2016</b:Year>
    <b:Month>August</b:Month>
    <b:YearAccessed>2017</b:YearAccessed>
    <b:MonthAccessed>July</b:MonthAccessed>
    <b:RefOrder>22</b:RefOrder>
  </b:Source>
  <b:Source>
    <b:Tag>Fin161</b:Tag>
    <b:SourceType>InternetSite</b:SourceType>
    <b:Guid>{9699B7EA-D94A-2C44-B949-2776257D6112}</b:Guid>
    <b:Author>
      <b:Author>
        <b:Corporate>Financial Times</b:Corporate>
      </b:Author>
    </b:Author>
    <b:Title>BP to pump almost $1bn into Mauritania-Senegal gas ‘hub’</b:Title>
    <b:URL>https://www.ft.com/content/7b56d443-d8a5-3d08-8ffa-df3f1a1df013</b:URL>
    <b:Year>2016</b:Year>
    <b:Month>December</b:Month>
    <b:YearAccessed>2017</b:YearAccessed>
    <b:MonthAccessed>July</b:MonthAccessed>
    <b:RefOrder>53</b:RefOrder>
  </b:Source>
  <b:Source>
    <b:Tag>Fin162</b:Tag>
    <b:SourceType>InternetSite</b:SourceType>
    <b:Guid>{5C360EE6-3701-2F4C-891B-539AAAE9A963}</b:Guid>
    <b:Author>
      <b:Author>
        <b:Corporate>Financial Times</b:Corporate>
      </b:Author>
    </b:Author>
    <b:Title>Oil and gas discoveries fuel Senegalese fears  </b:Title>
    <b:URL>https://www.ft.com/content/065ba414-bbce-11e6-8b45-b8b81dd5d080</b:URL>
    <b:Year>2016</b:Year>
    <b:Month>December</b:Month>
    <b:YearAccessed>2017</b:YearAccessed>
    <b:MonthAccessed>July</b:MonthAccessed>
    <b:RefOrder>25</b:RefOrder>
  </b:Source>
  <b:Source>
    <b:Tag>Amn14</b:Tag>
    <b:SourceType>InternetSite</b:SourceType>
    <b:Guid>{A8BB2ED3-04AC-5344-BA02-BA0C57E60C3F}</b:Guid>
    <b:Author>
      <b:Author>
        <b:Corporate>Amnesty International</b:Corporate>
      </b:Author>
    </b:Author>
    <b:Title>MINING AND HUMAN RIGHTS IN SENEGAL ClosIng the gAps In pRoteCtIon</b:Title>
    <b:URL>file:///Users/alexgordy/Downloads/afr490022014en.pdf</b:URL>
    <b:Year>2014</b:Year>
    <b:YearAccessed>2017</b:YearAccessed>
    <b:MonthAccessed>July</b:MonthAccessed>
    <b:RefOrder>17</b:RefOrder>
  </b:Source>
  <b:Source>
    <b:Tag>CIV11</b:Tag>
    <b:SourceType>InternetSite</b:SourceType>
    <b:Guid>{DEE35077-A35C-A94E-B663-F37ED9C6BB20}</b:Guid>
    <b:Author>
      <b:Author>
        <b:Corporate>CIVICUS</b:Corporate>
      </b:Author>
    </b:Author>
    <b:Title>CIVICUS CIVIL SOCIETY INDEX ANALYTICAL COUNTRY REPORT FOR SENEGAL 2011</b:Title>
    <b:URL>http://www.civicus.org/downloads/CSI/Senegal.pdf</b:URL>
    <b:Year>2011</b:Year>
    <b:YearAccessed>2017</b:YearAccessed>
    <b:MonthAccessed>July</b:MonthAccessed>
    <b:RefOrder>80</b:RefOrder>
  </b:Source>
  <b:Source>
    <b:Tag>Amn16</b:Tag>
    <b:SourceType>InternetSite</b:SourceType>
    <b:Guid>{AF9AFB9B-CE4F-614F-AAAA-54F47F9AEDD1}</b:Guid>
    <b:Author>
      <b:Author>
        <b:Corporate>Amnesty International</b:Corporate>
      </b:Author>
    </b:Author>
    <b:Title>SENEGAL 2016/2017</b:Title>
    <b:URL>https://www.amnesty.org/en/countries/africa/senegal/report-senegal/</b:URL>
    <b:Year>2016</b:Year>
    <b:YearAccessed>2017</b:YearAccessed>
    <b:MonthAccessed>July</b:MonthAccessed>
    <b:RefOrder>73</b:RefOrder>
  </b:Source>
  <b:Source>
    <b:Tag>The17</b:Tag>
    <b:SourceType>InternetSite</b:SourceType>
    <b:Guid>{6520F54D-8FBF-8E40-BF4A-B775B5EADA15}</b:Guid>
    <b:Author>
      <b:Author>
        <b:Corporate>The International Center for Not-for-Profit Law</b:Corporate>
      </b:Author>
    </b:Author>
    <b:Title>Civic Freedom Monitor: Senegal</b:Title>
    <b:URL>http://www.icnl.org/research/monitor/Senegal.html</b:URL>
    <b:Year>2017</b:Year>
    <b:Month>May</b:Month>
    <b:YearAccessed>2017</b:YearAccessed>
    <b:MonthAccessed>July</b:MonthAccessed>
    <b:RefOrder>74</b:RefOrder>
  </b:Source>
  <b:Source>
    <b:Tag>The12</b:Tag>
    <b:SourceType>InternetSite</b:SourceType>
    <b:Guid>{90AF3226-631A-A245-A126-82CFD4A5C7D9}</b:Guid>
    <b:Author>
      <b:Author>
        <b:Corporate>The International Centre for Not-for-Profit Law</b:Corporate>
      </b:Author>
    </b:Author>
    <b:Title>NGO LAWS IN SUB-SAHARAN AFRICA</b:Title>
    <b:URL>http://www.icnl.org/research/trends/trends3-3.pdf</b:URL>
    <b:Year>2012</b:Year>
    <b:YearAccessed>2017</b:YearAccessed>
    <b:MonthAccessed>July</b:MonthAccessed>
    <b:RefOrder>81</b:RefOrder>
  </b:Source>
  <b:Source>
    <b:Tag>CON10</b:Tag>
    <b:SourceType>InternetSite</b:SourceType>
    <b:Guid>{EBE35E7E-F152-AA47-955A-86898AAC33F0}</b:Guid>
    <b:Author>
      <b:Author>
        <b:Corporate>CONGAD</b:Corporate>
      </b:Author>
    </b:Author>
    <b:Title>ANALYSE DU REGIME LEGISLATIF ET REGLEMENTAIRE DES ORGANISATIONS DE LA SOCIETE CIVILE AU SENEGAL</b:Title>
    <b:URL>http://www.congad.org/cadrejuridique/5RAPPORT%20DE%20L%27ETUDE%20SUR%20LE%20CADRE%20LEGISLATIF%20ET%20REGL5EMENTAIRE%20D%27INSTALLATION%20ET%20D%27INTERVENTION%20DES%20ORGANISATIONS%20DE%20LA%20SOCIETE%20CIVILE%20AU%20SENEGAL.pdf</b:URL>
    <b:Year>2010</b:Year>
    <b:Month>April</b:Month>
    <b:YearAccessed>2017</b:YearAccessed>
    <b:MonthAccessed>July</b:MonthAccessed>
    <b:RefOrder>100</b:RefOrder>
  </b:Source>
  <b:Source>
    <b:Tag>ITI1542</b:Tag>
    <b:SourceType>InternetSite</b:SourceType>
    <b:Guid>{DD17D6C4-60E9-F147-ACB3-716562DEBCAB}</b:Guid>
    <b:Author>
      <b:Author>
        <b:Corporate>ITIE Senegal</b:Corporate>
      </b:Author>
    </b:Author>
    <b:Title>RAPPORT FORUM COMMUNAUTAIRE DE DISSEMINATION DU PREMIER RAPPORT ITIE DU SENEGAL</b:Title>
    <b:URL>http://itie.sn/?offshore_dl=2012</b:URL>
    <b:Year>2015</b:Year>
    <b:Month>December</b:Month>
    <b:YearAccessed>2017</b:YearAccessed>
    <b:MonthAccessed>July</b:MonthAccessed>
    <b:RefOrder>103</b:RefOrder>
  </b:Source>
  <b:Source>
    <b:Tag>ITI1721</b:Tag>
    <b:SourceType>InternetSite</b:SourceType>
    <b:Guid>{79034897-98FB-1B46-80D1-8B2B607C42FB}</b:Guid>
    <b:Author>
      <b:Author>
        <b:Corporate>ITIE Senegal</b:Corporate>
      </b:Author>
    </b:Author>
    <b:Title>PLAN DE TRAVAIL ANNUEL 2017 COMITE NATIONAL ITIE SENEGAL</b:Title>
    <b:URL>http://itie.sn/wp-content/uploads/2017/03/Plan-de-travail-annuel-ITIE-2017.pdf</b:URL>
    <b:Year>2017</b:Year>
    <b:Month>January</b:Month>
    <b:YearAccessed>2017</b:YearAccessed>
    <b:MonthAccessed>July</b:MonthAccessed>
    <b:RefOrder>126</b:RefOrder>
  </b:Source>
  <b:Source>
    <b:Tag>ERA16</b:Tag>
    <b:SourceType>InternetSite</b:SourceType>
    <b:Guid>{76F0C0B1-A029-994C-A6B0-1B4245E34236}</b:Guid>
    <b:Author>
      <b:Author>
        <b:Corporate>ERAMET</b:Corporate>
      </b:Author>
    </b:Author>
    <b:Title>NOTE D’EXPLICATION RELATIVE AU RAPPORT 2016 SUR LA TRANSPARENCE FINANCIERE DU GROUPE ERAMET</b:Title>
    <b:URL>http://www.eramet.com/system/files/publications/pdf/transparence_financiere_mai_2016_fr_-_eng.docx_.pdf</b:URL>
    <b:Year>2016</b:Year>
    <b:Month>May</b:Month>
    <b:YearAccessed>2017</b:YearAccessed>
    <b:MonthAccessed>July</b:MonthAccessed>
    <b:RefOrder>59</b:RefOrder>
  </b:Source>
  <b:Source>
    <b:Tag>EIT161</b:Tag>
    <b:SourceType>InternetSite</b:SourceType>
    <b:Guid>{65AEEADB-D1B7-9D4A-BCB4-EC11A275AE9B}</b:Guid>
    <b:Author>
      <b:Author>
        <b:Corporate>ITIE Senegal</b:Corporate>
      </b:Author>
    </b:Author>
    <b:Title>EXCLUSIF : Voici le Décret portant création et fixant les règles d’organisation et de fonctionnement du COS-PETROGAZ.</b:Title>
    <b:URL>http://itie.sn/exclusif-voici-le-decret-portant-creation-et-fixant-les-regles-dorganisation-et-de-fonctionnement-du-cos-petrogaz/</b:URL>
    <b:Year>2016</b:Year>
    <b:Month>October</b:Month>
    <b:YearAccessed>2017</b:YearAccessed>
    <b:MonthAccessed>July</b:MonthAccessed>
    <b:RefOrder>192</b:RefOrder>
  </b:Source>
  <b:Source>
    <b:Tag>ITI1319</b:Tag>
    <b:SourceType>InternetSite</b:SourceType>
    <b:Guid>{3D994026-5F74-184F-8E2F-2A2AB25B12B6}</b:Guid>
    <b:Author>
      <b:Author>
        <b:Corporate>ITIE Senegal</b:Corporate>
      </b:Author>
    </b:Author>
    <b:Title>Dossier de candidature du Sénégal à l’ITIE</b:Title>
    <b:URL>http://itie.sn/?offshore_dl=490</b:URL>
    <b:Year>2013</b:Year>
    <b:Month>July</b:Month>
    <b:YearAccessed>2017</b:YearAccessed>
    <b:MonthAccessed>July</b:MonthAccessed>
    <b:RefOrder>3</b:RefOrder>
  </b:Source>
  <b:Source>
    <b:Tag>Min13</b:Tag>
    <b:SourceType>InternetSite</b:SourceType>
    <b:Guid>{6DBC4CFF-49E7-FA45-82E4-DED21B94EDFE}</b:Guid>
    <b:Author>
      <b:Author>
        <b:Corporate>Premier Ministre</b:Corporate>
      </b:Author>
    </b:Author>
    <b:Title>Décret n° 2013-881 du 20 juin 2013 portant creation du CN-ITIE</b:Title>
    <b:URL>http://itie.sn/?offshore_dl=591</b:URL>
    <b:Year>2013</b:Year>
    <b:Month>June</b:Month>
    <b:YearAccessed>2017</b:YearAccessed>
    <b:MonthAccessed>July</b:MonthAccessed>
    <b:RefOrder>4</b:RefOrder>
  </b:Source>
  <b:Source>
    <b:Tag>ITI1625</b:Tag>
    <b:SourceType>InternetSite</b:SourceType>
    <b:Guid>{2A0CB50B-AFD9-2A42-B3C6-6EA496FD40C9}</b:Guid>
    <b:Author>
      <b:Author>
        <b:Corporate>ITIE Senegal</b:Corporate>
      </b:Author>
    </b:Author>
    <b:Title>Rapport annuel d’activité du CN-ITIE Sénégal 2015/16</b:Title>
    <b:URL>https://eiti.org/sites/default/files/documents/rapport_dactivites_annuel_cn-itie_senegal_2015-2016_.pdf</b:URL>
    <b:Year>2016</b:Year>
    <b:Month>November</b:Month>
    <b:YearAccessed>2017</b:YearAccessed>
    <b:MonthAccessed>July</b:MonthAccessed>
    <b:RefOrder>52</b:RefOrder>
  </b:Source>
  <b:Source>
    <b:Tag>ITI1522</b:Tag>
    <b:SourceType>InternetSite</b:SourceType>
    <b:Guid>{31A4A2CE-1FA7-5948-B27A-46E2ED2BF2AC}</b:Guid>
    <b:Author>
      <b:Author>
        <b:Corporate>ITIE Senegal</b:Corporate>
      </b:Author>
    </b:Author>
    <b:Title>Press Release: Rapport d’activités annuel 2015 de l’ITIE : Un bel élan de collaboration pour l’atteinte des objectifs</b:Title>
    <b:URL>http://itie.sn/rapport-dactivites-annuel-2015-de-litie-un-bel-elan-de-collaboration-pour-latteinte-des-objectifs/</b:URL>
    <b:Year>2015</b:Year>
    <b:Month>December</b:Month>
    <b:YearAccessed>2017</b:YearAccessed>
    <b:MonthAccessed>July</b:MonthAccessed>
    <b:RefOrder>50</b:RefOrder>
  </b:Source>
  <b:Source>
    <b:Tag>Pre13</b:Tag>
    <b:SourceType>InternetSite</b:SourceType>
    <b:Guid>{BC5E13CA-9E22-2F45-AE0A-FC2F7AEFCBA5}</b:Guid>
    <b:Author>
      <b:Author>
        <b:Corporate>President de la Republique</b:Corporate>
      </b:Author>
    </b:Author>
    <b:Title>Décret 2013-887 portant Nomination du Président du CN-ITIE Sénégal</b:Title>
    <b:URL>https://eiti.org/sites/default/files/documents/senegal_presidential_decree_2013-887.pdf</b:URL>
    <b:Year>2013</b:Year>
    <b:Month>July</b:Month>
    <b:YearAccessed>2017</b:YearAccessed>
    <b:MonthAccessed>July</b:MonthAccessed>
    <b:RefOrder>5</b:RefOrder>
  </b:Source>
  <b:Source>
    <b:Tag>ITI1543</b:Tag>
    <b:SourceType>InternetSite</b:SourceType>
    <b:Guid>{241FB053-77C1-CD4D-8049-DD0032D0EA99}</b:Guid>
    <b:Author>
      <b:Author>
        <b:Corporate>ITIE Senegal</b:Corporate>
      </b:Author>
    </b:Author>
    <b:Title>Rapport Annuel d'Activites 2014-15</b:Title>
    <b:URL>https://eiti.org/sites/default/files/documents/2015_senegal_annual_activity_report.pdf</b:URL>
    <b:Year>2015</b:Year>
    <b:Month>December</b:Month>
    <b:YearAccessed>2017</b:YearAccessed>
    <b:MonthAccessed>July</b:MonthAccessed>
    <b:RefOrder>51</b:RefOrder>
  </b:Source>
  <b:Source>
    <b:Tag>USG161</b:Tag>
    <b:SourceType>InternetSite</b:SourceType>
    <b:Guid>{E3A53EB5-680E-1743-AD56-09432D7953E0}</b:Guid>
    <b:Author>
      <b:Author>
        <b:Corporate>USGS</b:Corporate>
      </b:Author>
    </b:Author>
    <b:Title>The MIneral Industry of Senegal 2013 </b:Title>
    <b:URL>https://minerals.usgs.gov/minerals/pubs/country/2013/myb3-2013-sg.pdf</b:URL>
    <b:Year>2016</b:Year>
    <b:Month>March</b:Month>
    <b:YearAccessed>2017</b:YearAccessed>
    <b:MonthAccessed>July</b:MonthAccessed>
    <b:RefOrder>19</b:RefOrder>
  </b:Source>
  <b:Source>
    <b:Tag>LeQ162</b:Tag>
    <b:SourceType>InternetSite</b:SourceType>
    <b:Guid>{49C36874-D60B-BC4F-B040-850B37569D0F}</b:Guid>
    <b:Author>
      <b:Author>
        <b:Corporate>Le Quotidien</b:Corporate>
      </b:Author>
    </b:Author>
    <b:Title>Elaboration d'un nouveau Code Petrolier: la societe civile veut un processus inclusif</b:Title>
    <b:URL>http://www.lequotidien.sn/elaboration-dun-nouveau-code-petrolier-la-societe-civile-veut-un-processus-inclusif/</b:URL>
    <b:Year>2016</b:Year>
    <b:Month>December</b:Month>
    <b:YearAccessed>2017</b:YearAccessed>
    <b:MonthAccessed>July</b:MonthAccessed>
    <b:RefOrder>69</b:RefOrder>
  </b:Source>
  <b:Source>
    <b:Tag>USD151</b:Tag>
    <b:SourceType>InternetSite</b:SourceType>
    <b:Guid>{2667BD13-0539-1A47-8C2A-1F637E0C8C22}</b:Guid>
    <b:Author>
      <b:Author>
        <b:Corporate>US Department of State</b:Corporate>
      </b:Author>
    </b:Author>
    <b:Title>SENEGAL 2015 HUMAN RIGHTS REPORT</b:Title>
    <b:URL>https://www.state.gov/documents/organization/252933.pdf</b:URL>
    <b:Year>2015</b:Year>
    <b:YearAccessed>2017</b:YearAccessed>
    <b:MonthAccessed>July</b:MonthAccessed>
    <b:RefOrder>85</b:RefOrder>
  </b:Source>
  <b:Source>
    <b:Tag>USD14</b:Tag>
    <b:SourceType>InternetSite</b:SourceType>
    <b:Guid>{5DB0695F-7F2B-8A4E-B833-B02A542A4C7C}</b:Guid>
    <b:Author>
      <b:Author>
        <b:Corporate>US Department of State</b:Corporate>
      </b:Author>
    </b:Author>
    <b:Title>SENEGAL 2014 HUMAN RIGHTS REPORT</b:Title>
    <b:URL>https://www.state.gov/documents/organization/236610.pdf</b:URL>
    <b:Year>2014</b:Year>
    <b:YearAccessed>2017</b:YearAccessed>
    <b:MonthAccessed>July</b:MonthAccessed>
    <b:RefOrder>84</b:RefOrder>
  </b:Source>
  <b:Source>
    <b:Tag>PWY171</b:Tag>
    <b:SourceType>InternetSite</b:SourceType>
    <b:Guid>{BD769470-B5BE-3A4E-8B31-D8EFF3E5CEDA}</b:Guid>
    <b:Author>
      <b:Author>
        <b:Corporate>PWYP Senegal</b:Corporate>
      </b:Author>
    </b:Author>
    <b:Title>Cayar : L’exploitation du pétrole va impacter les activités de pêche</b:Title>
    <b:URL>http://pcqvp-senegal.com/?p=942</b:URL>
    <b:Year>2017</b:Year>
    <b:Month>March</b:Month>
    <b:YearAccessed>2017</b:YearAccessed>
    <b:MonthAccessed>July</b:MonthAccessed>
    <b:RefOrder>76</b:RefOrder>
  </b:Source>
  <b:Source>
    <b:Tag>PWY163</b:Tag>
    <b:SourceType>InternetSite</b:SourceType>
    <b:Guid>{94D5CC8A-7C18-C542-9F63-55BC001C9332}</b:Guid>
    <b:Author>
      <b:Author>
        <b:Corporate>PWYP Senegal</b:Corporate>
      </b:Author>
    </b:Author>
    <b:Title>Pour une Reforme Consensuelle du Code Minier</b:Title>
    <b:URL>http://pcqvp-senegal.com/?page_id=51#</b:URL>
    <b:Year>2016</b:Year>
    <b:YearAccessed>2017</b:YearAccessed>
    <b:MonthAccessed>July</b:MonthAccessed>
    <b:RefOrder>75</b:RefOrder>
  </b:Source>
  <b:Source>
    <b:Tag>LeQ17</b:Tag>
    <b:SourceType>InternetSite</b:SourceType>
    <b:Guid>{77C0FAD7-EF80-1E44-AF20-301C3BFBAD8C}</b:Guid>
    <b:Author>
      <b:Author>
        <b:Corporate>Le Quotidien</b:Corporate>
      </b:Author>
    </b:Author>
    <b:Title>Hydrocarbures: la societe civile s'impregne du cadre juridique</b:Title>
    <b:URL>http://www.lequotidien.sn/hydrocarbures-la-societe-civile-simpregne-du-cadre-juridique/</b:URL>
    <b:Year>2017</b:Year>
    <b:Month>April</b:Month>
    <b:YearAccessed>2017</b:YearAccessed>
    <b:MonthAccessed>July</b:MonthAccessed>
    <b:RefOrder>70</b:RefOrder>
  </b:Source>
  <b:Source>
    <b:Tag>Rew17</b:Tag>
    <b:SourceType>InternetSite</b:SourceType>
    <b:Guid>{699EB342-1A71-A74C-BC8F-38342989417C}</b:Guid>
    <b:Author>
      <b:Author>
        <b:Corporate>Rewmi.com</b:Corporate>
      </b:Author>
    </b:Author>
    <b:Title>Sénégal : Un collectif de la société civile lancé pour le « recouvrement » des avoirs pétroliers et miniers</b:Title>
    <b:URL>https://business-humanrights.org/fr/s%C3%A9n%C3%A9gal-un-collectif-de-la-soci%C3%A9t%C3%A9-civile-lanc%C3%A9-pour-le-%C2%AB-recouvrement-%C2%BB-des-avoirs-p%C3%A9troliers-et-miniers</b:URL>
    <b:Year>2017</b:Year>
    <b:Month>May</b:Month>
    <b:YearAccessed>2017</b:YearAccessed>
    <b:MonthAccessed>July</b:MonthAccessed>
    <b:RefOrder>77</b:RefOrder>
  </b:Source>
  <b:Source>
    <b:Tag>Le316</b:Tag>
    <b:SourceType>InternetSite</b:SourceType>
    <b:Guid>{88E43BEB-5A0C-EC47-AC5E-F98CCCEFDD91}</b:Guid>
    <b:Author>
      <b:Author>
        <b:Corporate>Le 360 Afrique</b:Corporate>
      </b:Author>
    </b:Author>
    <b:Title>http://afrique.le360.ma/senegal/politique/2016/09/22/5832-senegal-le-gouvernement-publie-les-contrats-petroliers-pour-etouffer-la-polemique-5832</b:Title>
    <b:URL>http://afrique.le360.ma/senegal/politique/2016/09/22/5832-senegal-le-gouvernement-publie-les-contrats-petroliers-pour-etouffer-la-polemique-5832</b:URL>
    <b:Year>2016</b:Year>
    <b:Month>September</b:Month>
    <b:YearAccessed>2017</b:YearAccessed>
    <b:MonthAccessed>July</b:MonthAccessed>
    <b:RefOrder>107</b:RefOrder>
  </b:Source>
  <b:Source>
    <b:Tag>MSI152</b:Tag>
    <b:SourceType>InternetSite</b:SourceType>
    <b:Guid>{CE43CB09-2633-EE45-8B4F-4221EDA56934}</b:Guid>
    <b:Author>
      <b:Author>
        <b:Corporate>MSI Integrity</b:Corporate>
      </b:Author>
    </b:Author>
    <b:Title>Protecting the Cornerstone Assessing the Governance of Extractive Industries Transparency Initiative Multi-Stakeholder Groups</b:Title>
    <b:URL>http://www.msi-integrity.org/wp-content/uploads/2015/02/MSI-Integrity-Protecting-The-Cornerstone-Report.pdf</b:URL>
    <b:Year>2015</b:Year>
    <b:Month>February</b:Month>
    <b:YearAccessed>2017</b:YearAccessed>
    <b:MonthAccessed>July</b:MonthAccessed>
    <b:RefOrder>82</b:RefOrder>
  </b:Source>
  <b:Source>
    <b:Tag>BBC16</b:Tag>
    <b:SourceType>InternetSite</b:SourceType>
    <b:Guid>{AEF11B48-793A-254B-BC80-FA2D7EF46E8B}</b:Guid>
    <b:Author>
      <b:Author>
        <b:Corporate>BBC</b:Corporate>
      </b:Author>
    </b:Author>
    <b:Title>Sénégal : le pétrole engendre la polémique</b:Title>
    <b:URL>http://www.bbc.com/afrique/region-37617408</b:URL>
    <b:Year>2016</b:Year>
    <b:Month>October</b:Month>
    <b:YearAccessed>2017</b:YearAccessed>
    <b:MonthAccessed>July</b:MonthAccessed>
    <b:RefOrder>87</b:RefOrder>
  </b:Source>
  <b:Source>
    <b:Tag>Pre163</b:Tag>
    <b:SourceType>InternetSite</b:SourceType>
    <b:Guid>{F035D755-6B6F-E141-B5A0-A145C472C17E}</b:Guid>
    <b:Author>
      <b:Author>
        <b:Corporate>PressTV</b:Corporate>
      </b:Author>
    </b:Author>
    <b:Title>Sénégal: l'opposition dans la rue contre la gestion du dossier gazier</b:Title>
    <b:URL>http://www.presstv.ir/DetailFr/2016/10/15/489158/Sngal-lopposition-dans-la-rue-contre-la-gestion-du-dossier-gazier</b:URL>
    <b:Year>2016</b:Year>
    <b:Month>October</b:Month>
    <b:YearAccessed>2017</b:YearAccessed>
    <b:MonthAccessed>July</b:MonthAccessed>
    <b:RefOrder>86</b:RefOrder>
  </b:Source>
  <b:Source>
    <b:Tag>ITI1536</b:Tag>
    <b:SourceType>InternetSite</b:SourceType>
    <b:Guid>{6820A7D4-E56F-EC47-8D7E-250B6C4219C1}</b:Guid>
    <b:Author>
      <b:Author>
        <b:Corporate>ITIE Senegal</b:Corporate>
      </b:Author>
    </b:Author>
    <b:Title>Réflexion de la Société civile ouest-africaine sur un code minier communautaire</b:Title>
    <b:URL>http://itie.sn/reflexion-de-la-societe-civile-ouest-africaine-sur-un-code-minier-communautaire/</b:URL>
    <b:Year>2014</b:Year>
    <b:YearAccessed>2017</b:YearAccessed>
    <b:MonthAccessed>July</b:MonthAccessed>
    <b:RefOrder>96</b:RefOrder>
  </b:Source>
  <b:Source>
    <b:Tag>Art14</b:Tag>
    <b:SourceType>InternetSite</b:SourceType>
    <b:Guid>{6D8AF0C7-A9D8-EE4D-8A9B-3E9234D01845}</b:Guid>
    <b:Author>
      <b:Author>
        <b:Corporate>Article 19</b:Corporate>
      </b:Author>
    </b:Author>
    <b:Title>Senegal: ARTICLE 19 publishes report on access to information in the fight against Fistula</b:Title>
    <b:URL>https://www.article19.org/resources.php/resource/37713/en/senegal:-article-19-publishes-report-on-access-to-information-in-the-fight-against-fistula</b:URL>
    <b:Year>2014</b:Year>
    <b:Month>September</b:Month>
    <b:YearAccessed>2017</b:YearAccessed>
    <b:MonthAccessed>July</b:MonthAccessed>
    <b:RefOrder>102</b:RefOrder>
  </b:Source>
  <b:Source>
    <b:Tag>Sen151</b:Tag>
    <b:SourceType>InternetSite</b:SourceType>
    <b:Guid>{099EC58B-1806-9B4E-8CB0-A613C5D2A006}</b:Guid>
    <b:Author>
      <b:Author>
        <b:Corporate>SenePlus</b:Corporate>
      </b:Author>
    </b:Author>
    <b:Title>LE SENEGAL MENACE D’EXPULSION DE L’ITIE</b:Title>
    <b:URL>http://www.seneplus.com/article/le-senegal-menace-d%E2%80%99expulsion-de-l%E2%80%99itie</b:URL>
    <b:Year>2015</b:Year>
    <b:Month>June</b:Month>
    <b:YearAccessed>2017</b:YearAccessed>
    <b:MonthAccessed>July</b:MonthAccessed>
    <b:RefOrder>78</b:RefOrder>
  </b:Source>
  <b:Source>
    <b:Tag>ITI1647</b:Tag>
    <b:SourceType>InternetSite</b:SourceType>
    <b:Guid>{94E8C003-F3F9-DF45-A5D4-DB259BB08A6B}</b:Guid>
    <b:Author>
      <b:Author>
        <b:Corporate>ITIE Senegal</b:Corporate>
      </b:Author>
    </b:Author>
    <b:Title>PLAN DE TRAVAIL DU SENEGAL AU STATUT DE PAYS CONFORME A L'ITIE (2016-2020)</b:Title>
    <b:URL>https://eiti.org/sites/default/files/documents/itie_senegal_plan_daction_2016-2017_0.pdf</b:URL>
    <b:Year>2016</b:Year>
    <b:Month>January</b:Month>
    <b:YearAccessed>2017</b:YearAccessed>
    <b:MonthAccessed>July</b:MonthAccessed>
    <b:RefOrder>10</b:RefOrder>
  </b:Source>
  <b:Source>
    <b:Tag>ITI1722</b:Tag>
    <b:SourceType>InternetSite</b:SourceType>
    <b:Guid>{7C25B398-1EBA-F944-BFBD-B2889FDF28C9}</b:Guid>
    <b:Author>
      <b:Author>
        <b:Corporate>ITIE Senegal</b:Corporate>
      </b:Author>
    </b:Author>
    <b:Title>PlAn d’ACtIon StRAtégIque 2017-2021</b:Title>
    <b:URL>http://itie.sn/wp-content/uploads/2017/03/Version-simplifi%C3%A9e-Plan-Strat%C3%A9gique-2017-2021.pdf</b:URL>
    <b:Year>2017</b:Year>
    <b:Month>February</b:Month>
    <b:YearAccessed>2017</b:YearAccessed>
    <b:MonthAccessed>July</b:MonthAccessed>
    <b:RefOrder>13</b:RefOrder>
  </b:Source>
  <b:Source>
    <b:Tag>ITI1723</b:Tag>
    <b:SourceType>InternetSite</b:SourceType>
    <b:Guid>{5D99E26A-880D-064A-846D-A1184C39FA68}</b:Guid>
    <b:Author>
      <b:Author>
        <b:Corporate>ITIE Senegal</b:Corporate>
      </b:Author>
    </b:Author>
    <b:Title>PLAN D'ACTION TRIENNAL DU COMITE NATIONAL DE L'ITIE (2017-2019)</b:Title>
    <b:URL>http://itie.sn/wp-content/uploads/2017/03/Plan-daction-Triennal-2017-2019-vf-2.pdf</b:URL>
    <b:Year>2017</b:Year>
    <b:YearAccessed>2017</b:YearAccessed>
    <b:MonthAccessed>July</b:MonthAccessed>
    <b:RefOrder>12</b:RefOrder>
  </b:Source>
  <b:Source>
    <b:Tag>Kos161</b:Tag>
    <b:SourceType>InternetSite</b:SourceType>
    <b:Guid>{CFDE4BB8-131C-A549-B600-08EBD7F83C1C}</b:Guid>
    <b:Author>
      <b:Author>
        <b:Corporate>Kosmos Energy</b:Corporate>
      </b:Author>
    </b:Author>
    <b:Title>Kosmos: Credit Suisse 21st Annual Energy Summit</b:Title>
    <b:URL>http://www.kosmosenergy.com/pdfs/CreditSuisse-21st-Annual-Energy-Summit-February2016.pdf</b:URL>
    <b:Year>2016</b:Year>
    <b:Month>February</b:Month>
    <b:YearAccessed>2017</b:YearAccessed>
    <b:MonthAccessed>July</b:MonthAccessed>
    <b:RefOrder>27</b:RefOrder>
  </b:Source>
  <b:Source>
    <b:Tag>UND17</b:Tag>
    <b:SourceType>InternetSite</b:SourceType>
    <b:Guid>{93C4741B-8549-1645-B338-ACA266FB0558}</b:Guid>
    <b:Author>
      <b:Author>
        <b:Corporate>UNDP</b:Corporate>
      </b:Author>
    </b:Author>
    <b:Title>UN Human Development Index Senegal</b:Title>
    <b:URL>http://hdr.undp.org/en/countries/profiles/SEN</b:URL>
    <b:Year>2017</b:Year>
    <b:YearAccessed>2017</b:YearAccessed>
    <b:MonthAccessed>July</b:MonthAccessed>
    <b:RefOrder>31</b:RefOrder>
  </b:Source>
  <b:Source>
    <b:Tag>OED17</b:Tag>
    <b:SourceType>InternetSite</b:SourceType>
    <b:Guid>{4B78FD9A-8962-054B-B3E8-57783D46EDF2}</b:Guid>
    <b:Author>
      <b:Author>
        <b:Corporate>OEDigital</b:Corporate>
      </b:Author>
    </b:Author>
    <b:Title>CNOOC, FAR partner off Senegal, Gambia</b:Title>
    <b:URL>http://www.oedigital.com/component/k2/item/15028-cnooc-far-partner-off-senegal-gambia</b:URL>
    <b:Year>2017</b:Year>
    <b:Month>March</b:Month>
    <b:Day>31</b:Day>
    <b:YearAccessed>2017</b:YearAccessed>
    <b:MonthAccessed>July</b:MonthAccessed>
    <b:RefOrder>30</b:RefOrder>
  </b:Source>
  <b:Source>
    <b:Tag>ITI1649</b:Tag>
    <b:SourceType>InternetSite</b:SourceType>
    <b:Guid>{2E038A8B-5825-CC4C-AF55-6C493C3A6472}</b:Guid>
    <b:Author>
      <b:Author>
        <b:Corporate>ITIE Senegal</b:Corporate>
      </b:Author>
    </b:Author>
    <b:Title>Installation du COS-PETROGAZ</b:Title>
    <b:URL>http://itie.sn/installation-du-cos-petrogaz/</b:URL>
    <b:Year>2016</b:Year>
    <b:Month>October</b:Month>
    <b:YearAccessed>2017</b:YearAccessed>
    <b:MonthAccessed>July</b:MonthAccessed>
    <b:RefOrder>130</b:RefOrder>
  </b:Source>
  <b:Source>
    <b:Tag>Gou162</b:Tag>
    <b:SourceType>InternetSite</b:SourceType>
    <b:Guid>{CF42D49C-0A00-5F4A-8C8F-578761551950}</b:Guid>
    <b:Author>
      <b:Author>
        <b:Corporate>Gouvernement du Senegal</b:Corporate>
      </b:Author>
    </b:Author>
    <b:Title>Installation du Comité d’Orientation Stratégique du Pétrole et du Gaz (COS-PETROGAZ)-Discours de Son Excellence Monsieur le Président de la République Macky Sall</b:Title>
    <b:URL>https://www.sec.gouv.sn/installation-du-comite-d%2C2126.html</b:URL>
    <b:Year>2016</b:Year>
    <b:Month>October</b:Month>
    <b:YearAccessed>2017</b:YearAccessed>
    <b:MonthAccessed>July</b:MonthAccessed>
    <b:RefOrder>131</b:RefOrder>
  </b:Source>
  <b:Source>
    <b:Tag>EIT132</b:Tag>
    <b:SourceType>InternetSite</b:SourceType>
    <b:Guid>{F9098DCD-A032-1048-BC3A-BA0FE6A67446}</b:Guid>
    <b:Author>
      <b:Author>
        <b:Corporate>EITI</b:Corporate>
      </b:Author>
    </b:Author>
    <b:Title>EITI to be a key instrument in Senegal’s extractive reforms</b:Title>
    <b:URL>https://eiti.org/news/eiti-to-be-key-instrument-in-senegals-extractive-reforms</b:URL>
    <b:Year>2013</b:Year>
    <b:Month>August</b:Month>
    <b:YearAccessed>2017</b:YearAccessed>
    <b:MonthAccessed>July</b:MonthAccessed>
    <b:RefOrder>133</b:RefOrder>
  </b:Source>
  <b:Source>
    <b:Tag>Gou163</b:Tag>
    <b:SourceType>InternetSite</b:SourceType>
    <b:Guid>{688E7F15-7B7D-2345-8A27-EAA76764F5D9}</b:Guid>
    <b:Author>
      <b:Author>
        <b:Corporate>Gouvernement du Senegal</b:Corporate>
      </b:Author>
    </b:Author>
    <b:Title>SOMMET SUR LA LUTTE CONTRE LA CORRUPTION DECLARATION DE LA REPUBLIQUE DU SENEGAL LONDRES, LE 12 MAI 2016</b:Title>
    <b:URL>itie.sn/?offshore_dl=2275</b:URL>
    <b:Year>2016</b:Year>
    <b:Month>May</b:Month>
    <b:YearAccessed>2017</b:YearAccessed>
    <b:MonthAccessed>July</b:MonthAccessed>
    <b:RefOrder>138</b:RefOrder>
  </b:Source>
  <b:Source>
    <b:Tag>EIT162</b:Tag>
    <b:SourceType>InternetSite</b:SourceType>
    <b:Guid>{A354AE61-BA6E-C546-AB38-A910428E9A21}</b:Guid>
    <b:Author>
      <b:Author>
        <b:Corporate>ITIE Senegal</b:Corporate>
      </b:Author>
    </b:Author>
    <b:Title>L’or, le produit le plus exporté en Mars 2016, selon l’ANSD</b:Title>
    <b:URL>http://itie.sn/lor-le-produit-le-plus-exporte-en-mars-2016-selon-lansd/</b:URL>
    <b:Year>2016</b:Year>
    <b:Month>April</b:Month>
    <b:YearAccessed>2017</b:YearAccessed>
    <b:MonthAccessed>July</b:MonthAccessed>
    <b:RefOrder>251</b:RefOrder>
  </b:Source>
  <b:Source>
    <b:Tag>ITI1650</b:Tag>
    <b:SourceType>InternetSite</b:SourceType>
    <b:Guid>{31D92385-3AAE-0041-891E-7823DF55BA98}</b:Guid>
    <b:Author>
      <b:Author>
        <b:Corporate>ITIE Senegal</b:Corporate>
      </b:Author>
    </b:Author>
    <b:Title>Termes de Référence Administrateur Indépendant pour le Rapport ITIE 2014 du Sénégal</b:Title>
    <b:URL>unpublished, provided by EITI Senegal Secretariat</b:URL>
    <b:Year>2016</b:Year>
    <b:YearAccessed>2017</b:YearAccessed>
    <b:MonthAccessed>July</b:MonthAccessed>
    <b:RefOrder>149</b:RefOrder>
  </b:Source>
  <b:Source>
    <b:Tag>ITI1545</b:Tag>
    <b:SourceType>InternetSite</b:SourceType>
    <b:Guid>{2691E71A-17EE-FD40-9278-4A8D639D94C1}</b:Guid>
    <b:Author>
      <b:Author>
        <b:Corporate>ITIE Senegal</b:Corporate>
      </b:Author>
    </b:Author>
    <b:Title>GMP – 23 JUIN 2015 PV</b:Title>
    <b:URL>http://itie.sn/wp-content/uploads/2017/06/Compte-rendu-2015-n%C2%B04-23-Juin-2015.pdf</b:URL>
    <b:Year>2015</b:Year>
    <b:Month>June</b:Month>
    <b:Day>23</b:Day>
    <b:YearAccessed>2017</b:YearAccessed>
    <b:MonthAccessed>July</b:MonthAccessed>
    <b:RefOrder>157</b:RefOrder>
  </b:Source>
  <b:Source>
    <b:Tag>ITI1724</b:Tag>
    <b:SourceType>InternetSite</b:SourceType>
    <b:Guid>{0DA2E9E9-D8B9-8D4C-8432-6D496897500D}</b:Guid>
    <b:Author>
      <b:Author>
        <b:Corporate>ITIE Senegal</b:Corporate>
      </b:Author>
    </b:Author>
    <b:Title>PV RÉUNION GMP N°2- 14 MARS 2O17 </b:Title>
    <b:URL>http://itie.sn/wp-content/uploads/2017/06/Compte-rendu-2017-n%C2%B02-14-Mars-2017.pdf</b:URL>
    <b:Year>2017</b:Year>
    <b:Month>March</b:Month>
    <b:YearAccessed>2017</b:YearAccessed>
    <b:MonthAccessed>July</b:MonthAccessed>
    <b:RefOrder>151</b:RefOrder>
  </b:Source>
  <b:Source>
    <b:Tag>ITI1425</b:Tag>
    <b:SourceType>InternetSite</b:SourceType>
    <b:Guid>{9F48D680-C9C2-7D43-9263-A2A771659088}</b:Guid>
    <b:Author>
      <b:Author>
        <b:Corporate>ITIE Senegal</b:Corporate>
      </b:Author>
    </b:Author>
    <b:Title>PV RÉUNION DU GMP – 04 SEPTEMBRE 2014 </b:Title>
    <b:URL>http://itie.sn/wp-content/uploads/2017/06/CR-GMP-N3.pdf</b:URL>
    <b:Year>2014</b:Year>
    <b:Month>September</b:Month>
    <b:YearAccessed>2017</b:YearAccessed>
    <b:MonthAccessed>July</b:MonthAccessed>
    <b:RefOrder>150</b:RefOrder>
  </b:Source>
  <b:Source>
    <b:Tag>ITI1651</b:Tag>
    <b:SourceType>InternetSite</b:SourceType>
    <b:Guid>{B522260A-09D6-E444-804B-4CA3BF14B57C}</b:Guid>
    <b:Author>
      <b:Author>
        <b:Corporate>ITIE Senegal</b:Corporate>
      </b:Author>
    </b:Author>
    <b:Title>REUNION DU GMP – 24 MAI 2016</b:Title>
    <b:URL>http://itie.sn/wp-content/uploads/2017/02/CR-2eme-re%CC%81union-extraordinaire.pdf</b:URL>
    <b:Year>2016</b:Year>
    <b:Month>May</b:Month>
    <b:YearAccessed>2017</b:YearAccessed>
    <b:MonthAccessed>July</b:MonthAccessed>
    <b:RefOrder>158</b:RefOrder>
  </b:Source>
  <b:Source>
    <b:Tag>ITI1725</b:Tag>
    <b:SourceType>InternetSite</b:SourceType>
    <b:Guid>{77B71832-5B58-8F4E-88D3-9BC823AD21CD}</b:Guid>
    <b:Author>
      <b:Author>
        <b:Corporate>ITIE Senegal</b:Corporate>
      </b:Author>
    </b:Author>
    <b:Title>Rapport annuel d'avancement 2016 ITIE Senegal</b:Title>
    <b:URL>http://itie.sn/?offshore_dl=2430</b:URL>
    <b:Year>2017</b:Year>
    <b:Month>June</b:Month>
    <b:YearAccessed>2017</b:YearAccessed>
    <b:MonthAccessed>July</b:MonthAccessed>
    <b:RefOrder>148</b:RefOrder>
  </b:Source>
  <b:Source>
    <b:Tag>ITI1726</b:Tag>
    <b:SourceType>InternetSite</b:SourceType>
    <b:Guid>{727DBF35-ABFD-C948-88A6-7C233DBD9761}</b:Guid>
    <b:Author>
      <b:Author>
        <b:Corporate>ITIE Senegal</b:Corporate>
      </b:Author>
    </b:Author>
    <b:Title>IMPACTS DE LA MISE EN OEUVRE DU PROCESSUS ITIE AU NIVEAU DES ADMINISTRATIONS ET DES ENTREPRISES (Juillet 2017)</b:Title>
    <b:URL>unpublished, provided by the Senegal EITI Secretariat</b:URL>
    <b:Year>2017</b:Year>
    <b:Month>July</b:Month>
    <b:YearAccessed>2017</b:YearAccessed>
    <b:MonthAccessed>July</b:MonthAccessed>
    <b:RefOrder>57</b:RefOrder>
  </b:Source>
  <b:Source>
    <b:Tag>ITI1652</b:Tag>
    <b:SourceType>InternetSite</b:SourceType>
    <b:Guid>{476D46AF-A35E-C94C-84F6-1123A6896AA5}</b:Guid>
    <b:Author>
      <b:Author>
        <b:Corporate>ITIE Senegal</b:Corporate>
      </b:Author>
    </b:Author>
    <b:Title>Transmission du protocole d'accord entre le Comité National et la Cour des Comptes</b:Title>
    <b:URL>unpublished, provided by Senegal EITI Secretariat</b:URL>
    <b:Year>2016</b:Year>
    <b:Month>July</b:Month>
    <b:Day>28</b:Day>
    <b:YearAccessed>2017</b:YearAccessed>
    <b:MonthAccessed>July</b:MonthAccessed>
    <b:RefOrder>159</b:RefOrder>
  </b:Source>
  <b:Source>
    <b:Tag>Cou16</b:Tag>
    <b:SourceType>InternetSite</b:SourceType>
    <b:Guid>{70A1D8AD-8608-024C-8A20-E72EA753FE8C}</b:Guid>
    <b:Author>
      <b:Author>
        <b:Corporate>Cour des Comptes</b:Corporate>
      </b:Author>
    </b:Author>
    <b:Title>CONTROLE DE LA COMPTABILISATION DES RECETTES ISSUES DES INDUSTRIES EXTRACTIVES AU TITRE DE LA GESTION 2014</b:Title>
    <b:URL>unpublished, provided by Senegal EITI Secretariat</b:URL>
    <b:Year>2016</b:Year>
    <b:Month>August</b:Month>
    <b:YearAccessed>2017</b:YearAccessed>
    <b:MonthAccessed>July</b:MonthAccessed>
    <b:RefOrder>146</b:RefOrder>
  </b:Source>
  <b:Source>
    <b:Tag>ITI1727</b:Tag>
    <b:SourceType>InternetSite</b:SourceType>
    <b:Guid>{32FC3833-6061-274B-8B24-9A6FDC107D47}</b:Guid>
    <b:Author>
      <b:Author>
        <b:Corporate>ITIE Senegal</b:Corporate>
      </b:Author>
    </b:Author>
    <b:Title>Mise en oeuvre et suivi des recommandations – Rapport ITIE 2014</b:Title>
    <b:URL>unpublished, provided by Senegal EITI Secretariat</b:URL>
    <b:Year>2017</b:Year>
    <b:Month>July</b:Month>
    <b:YearAccessed>2017</b:YearAccessed>
    <b:MonthAccessed>July</b:MonthAccessed>
    <b:RefOrder>160</b:RefOrder>
  </b:Source>
  <b:Source>
    <b:Tag>Dev17</b:Tag>
    <b:SourceType>InternetSite</b:SourceType>
    <b:Guid>{E2EA740E-BF68-E440-89D0-A6EFDC525C57}</b:Guid>
    <b:Author>
      <b:Author>
        <b:Corporate>Development Gateway</b:Corporate>
      </b:Author>
    </b:Author>
    <b:Title>Making Development Data Fit for Purpose in Senegal // Rendre les données sur le développement adaptées aux besoins nationaux au Sénégal</b:Title>
    <b:URL>http://www.developmentgateway.org/blog/making-development-data-fit-purpose-senegal-rendre-les-donnees-sur-le-developpement-adaptees</b:URL>
    <b:Year>2017</b:Year>
    <b:Month>March</b:Month>
    <b:Day>31</b:Day>
    <b:YearAccessed>2017</b:YearAccessed>
    <b:MonthAccessed>July</b:MonthAccessed>
    <b:RefOrder>194</b:RefOrder>
  </b:Source>
  <b:Source>
    <b:Tag>ITI1728</b:Tag>
    <b:SourceType>InternetSite</b:SourceType>
    <b:Guid>{CC40F7B8-14D1-0346-B148-B6030B155475}</b:Guid>
    <b:Author>
      <b:Author>
        <b:Corporate>ITIE Senegal</b:Corporate>
      </b:Author>
    </b:Author>
    <b:Title>COMPTE-RENDU (RENCONTRE COMITE NATIONAL ITIE (CN-ITIE) – COMITE D’ORIENTATION STRATEGIQUE DU PETROLE ET DU GAZ (COS-PETROGAZ)</b:Title>
    <b:URL>unpublished, provided by EITI Senegal Secretariat</b:URL>
    <b:Year>2017</b:Year>
    <b:Month>June</b:Month>
    <b:YearAccessed>2017</b:YearAccessed>
    <b:MonthAccessed>July</b:MonthAccessed>
    <b:RefOrder>188</b:RefOrder>
  </b:Source>
  <b:Source>
    <b:Tag>ITI1729</b:Tag>
    <b:SourceType>InternetSite</b:SourceType>
    <b:Guid>{FAA78530-9A38-5240-B78B-A55E487D0457}</b:Guid>
    <b:Author>
      <b:Author>
        <b:Corporate>ITIE Senegal</b:Corporate>
      </b:Author>
    </b:Author>
    <b:Title>Procès-verbal Réunion d’information et de mise à niveau des OSC non membres du GMP Jeudi 29 Juin 2017</b:Title>
    <b:URL>unpublished, provided by EITI Senegal Secretariat</b:URL>
    <b:Year>2017</b:Year>
    <b:Month>June</b:Month>
    <b:YearAccessed>2017</b:YearAccessed>
    <b:MonthAccessed>July</b:MonthAccessed>
    <b:RefOrder>108</b:RefOrder>
  </b:Source>
  <b:Source>
    <b:Tag>OSI16</b:Tag>
    <b:SourceType>InternetSite</b:SourceType>
    <b:Guid>{AB75172C-2F12-FE45-8C5E-056D9FA6C4F5}</b:Guid>
    <b:Author>
      <b:Author>
        <b:Corporate>OSIWA</b:Corporate>
      </b:Author>
    </b:Author>
    <b:Title>Synthèse sur les défis de la gouvernance des ressources pétrolières et gazières du Sénégal</b:Title>
    <b:URL>http://www.osiwa.org/fr/synthese-sur-les-defis-de-la-gouvernance-des-ressources-petrolieres-et-gazieres-du-senegal/</b:URL>
    <b:Year>2016</b:Year>
    <b:YearAccessed>2017</b:YearAccessed>
    <b:MonthAccessed>July</b:MonthAccessed>
    <b:RefOrder>204</b:RefOrder>
  </b:Source>
  <b:Source>
    <b:Tag>IIS16</b:Tag>
    <b:SourceType>InternetSite</b:SourceType>
    <b:Guid>{C86C6645-172A-3F47-B02A-97F1A1B052D2}</b:Guid>
    <b:Author>
      <b:Author>
        <b:Corporate>IISD</b:Corporate>
      </b:Author>
    </b:Author>
    <b:Title>ÉVALUATION DU CADRE DIRECTIF POUR L’EXPLOITATION MINIÈRE Sénégal </b:Title>
    <b:URL>https://www.iisd.org/sites/default/files/publications/senegal-mining-policy-framework-assessment-fr.pdf</b:URL>
    <b:Year>2016</b:Year>
    <b:Month>December</b:Month>
    <b:YearAccessed>2017</b:YearAccessed>
    <b:MonthAccessed>July</b:MonthAccessed>
    <b:RefOrder>197</b:RefOrder>
  </b:Source>
  <b:Source>
    <b:Tag>WAT17</b:Tag>
    <b:SourceType>InternetSite</b:SourceType>
    <b:Guid>{C742BB84-11F4-7945-95A7-69F1EFECF2D7}</b:Guid>
    <b:Author>
      <b:Author>
        <b:Corporate>WATHI</b:Corporate>
      </b:Author>
    </b:Author>
    <b:Title>Le Sénégal est-il sur la bonne voie dans la gouvernance des ressources minérales, au bénéfice des populations?</b:Title>
    <b:URL>http://www.wathi.org/laboratoire/tribune/senegal-bonne-voie-gouvernance-ressources-minerales-benefice-populations/</b:URL>
    <b:Year>2017</b:Year>
    <b:Month>January</b:Month>
    <b:YearAccessed>2017</b:YearAccessed>
    <b:MonthAccessed>July</b:MonthAccessed>
    <b:RefOrder>199</b:RefOrder>
  </b:Source>
  <b:Source>
    <b:Tag>Amb17</b:Tag>
    <b:SourceType>InternetSite</b:SourceType>
    <b:Guid>{B65BAF78-57E2-D34A-B1A8-BC99FE075909}</b:Guid>
    <b:Author>
      <b:Author>
        <b:Corporate>Ambassade de France au Sénégal</b:Corporate>
      </b:Author>
    </b:Author>
    <b:Title>Le Secteur minier au Sénégal</b:Title>
    <b:URL>https://www.tresor.economie.gouv.fr/Ressources/File/434638</b:URL>
    <b:Year>2017</b:Year>
    <b:YearAccessed>2017</b:YearAccessed>
    <b:MonthAccessed>July</b:MonthAccessed>
    <b:RefOrder>56</b:RefOrder>
  </b:Source>
  <b:Source>
    <b:Tag>USA15</b:Tag>
    <b:SourceType>InternetSite</b:SourceType>
    <b:Guid>{5253E980-7C0C-D640-BEFA-F01B56CA1F5F}</b:Guid>
    <b:Author>
      <b:Author>
        <b:Corporate>USAID</b:Corporate>
      </b:Author>
    </b:Author>
    <b:Title>L’USAID POURSUIVRA SON APPUI DANS LA CONSOLIDATION DE LA BONNE GOUVERNANCE, LA DÉMOCRATIE ET LA STABILITÉ SOCIALE</b:Title>
    <b:URL>https://www.usaid.gov/fr/senegal/press-releases/usaid-support-good-governance-senegal</b:URL>
    <b:Year>2015</b:Year>
    <b:Month>September</b:Month>
    <b:YearAccessed>2017</b:YearAccessed>
    <b:MonthAccessed>July</b:MonthAccessed>
    <b:RefOrder>208</b:RefOrder>
  </b:Source>
  <b:Source>
    <b:Tag>Min171</b:Tag>
    <b:SourceType>InternetSite</b:SourceType>
    <b:Guid>{12757729-0873-FE43-A09D-B8E56DE6D433}</b:Guid>
    <b:Author>
      <b:Author>
        <b:Corporate>Ministere de l'integration africaine, du NEPAD et de la promotion de la bonne gouvernance</b:Corporate>
      </b:Author>
    </b:Author>
    <b:Title>ATELIERS REGIONAUX SUR LA GOUVERNANCE DES RESSOURCES MINERALES</b:Title>
    <b:URL>http://www.mianpbg.gouv.sn/content/ateliers-regionaux-sur-la-gouvernance-des-ressources-minerales</b:URL>
    <b:Year>2017</b:Year>
    <b:Month>May</b:Month>
    <b:YearAccessed>2017</b:YearAccessed>
    <b:MonthAccessed>July</b:MonthAccessed>
    <b:RefOrder>198</b:RefOrder>
  </b:Source>
  <b:Source>
    <b:Tag>EIT141</b:Tag>
    <b:SourceType>InternetSite</b:SourceType>
    <b:Guid>{2CC10687-BA45-ED42-BE56-90E0741A5219}</b:Guid>
    <b:Author>
      <b:Author>
        <b:Corporate>EITI</b:Corporate>
      </b:Author>
    </b:Author>
    <b:Title>Riding Senegal’s reforming wave</b:Title>
    <b:URL>https://eiti.org/blog/riding-senegals-reforming-wave</b:URL>
    <b:Year>2014</b:Year>
    <b:Month>May</b:Month>
    <b:YearAccessed>2017</b:YearAccessed>
    <b:MonthAccessed>July</b:MonthAccessed>
    <b:RefOrder>196</b:RefOrder>
  </b:Source>
  <b:Source>
    <b:Tag>EIT17</b:Tag>
    <b:SourceType>InternetSite</b:SourceType>
    <b:Guid>{B11D48CE-2BD9-1247-8A00-4A16FCA7D0F2}</b:Guid>
    <b:Author>
      <b:Author>
        <b:Corporate>EITI</b:Corporate>
      </b:Author>
    </b:Author>
    <b:Title>2017 PROGRESS REPORT</b:Title>
    <b:URL>https://eiti.org/sites/default/files/documents/eiti_progress_report_2017.pdf</b:URL>
    <b:Year>2017</b:Year>
    <b:Month>February</b:Month>
    <b:YearAccessed>2017</b:YearAccessed>
    <b:MonthAccessed>July</b:MonthAccessed>
    <b:RefOrder>32</b:RefOrder>
  </b:Source>
  <b:Source>
    <b:Tag>Wor162</b:Tag>
    <b:SourceType>InternetSite</b:SourceType>
    <b:Guid>{4C839B83-7B91-8946-8E50-FABEDF1AE8E1}</b:Guid>
    <b:Author>
      <b:Author>
        <b:Corporate>World Bank</b:Corporate>
      </b:Author>
    </b:Author>
    <b:Title>PROJECT PAPER ON A PROPOSED GRANT IN THE AMOUNT OF (US$ 0.30 MILLION EQUIVALENT) TO REPUBLIC OF SENEGAL FOR A SENEGAL SUPPORT TO EXTRACTIVE INDUSTRIES TRANSPARENCY INITIATIVE COMPLIANCE PROCESS PROJECT</b:Title>
    <b:URL>http://documents.worldbank.org/curated/en/373311474563720646/pdf/PP1924-PJPR-OUO-9-Project-Paper-has-been-approved-P160022.pdf</b:URL>
    <b:Year>2016</b:Year>
    <b:Month>May</b:Month>
    <b:YearAccessed>2017</b:YearAccessed>
    <b:MonthAccessed>July</b:MonthAccessed>
    <b:RefOrder>18</b:RefOrder>
  </b:Source>
  <b:Source>
    <b:Tag>Afr171</b:Tag>
    <b:SourceType>InternetSite</b:SourceType>
    <b:Guid>{A81AB859-5ABC-F045-BF16-DAD324588CBE}</b:Guid>
    <b:Author>
      <b:Author>
        <b:Corporate>Africa Confidential</b:Corporate>
      </b:Author>
    </b:Author>
    <b:Title>Timis takes shine off boom </b:Title>
    <b:URL>https://www.africa-confidential.com/article-preview/id/11957/Timis_takes_shine_off_boom</b:URL>
    <b:Year>2017</b:Year>
    <b:Month>March</b:Month>
    <b:YearAccessed>2017</b:YearAccessed>
    <b:MonthAccessed>July</b:MonthAccessed>
    <b:RefOrder>203</b:RefOrder>
  </b:Source>
  <b:Source>
    <b:Tag>Fin14</b:Tag>
    <b:SourceType>InternetSite</b:SourceType>
    <b:Guid>{05F2053E-0DEB-BD4F-9022-371ED6E75915}</b:Guid>
    <b:Author>
      <b:Author>
        <b:Corporate>Financial Afrik</b:Corporate>
      </b:Author>
    </b:Author>
    <b:Title> Les bonnes affaires de Frank Timis en Afrique</b:Title>
    <b:URL>http://www.financialafrik.com/2014/10/23/les-bonnes-affaires-de-franck-timis-en-afrique/#.WYfxINOGNmM</b:URL>
    <b:Year>2014</b:Year>
    <b:Month>October</b:Month>
    <b:YearAccessed>2017</b:YearAccessed>
    <b:MonthAccessed>July</b:MonthAccessed>
    <b:RefOrder>200</b:RefOrder>
  </b:Source>
  <b:Source>
    <b:Tag>LeM15</b:Tag>
    <b:SourceType>InternetSite</b:SourceType>
    <b:Guid>{BD85FF43-318A-3548-A9A9-4DCC17A80288}</b:Guid>
    <b:Author>
      <b:Author>
        <b:Corporate>Le Monde</b:Corporate>
      </b:Author>
    </b:Author>
    <b:Title>Aliou, le frère controversé du président sénégalais Macky Sall </b:Title>
    <b:URL>http://www.lemonde.fr/afrique/article/2015/09/28/aliou-le-frere-controverse-du-president-senegalais-macky-sall_4774953_3212.html</b:URL>
    <b:Year>2015</b:Year>
    <b:Month>September</b:Month>
    <b:YearAccessed>2017</b:YearAccessed>
    <b:MonthAccessed>July</b:MonthAccessed>
    <b:RefOrder>201</b:RefOrder>
  </b:Source>
  <b:Source>
    <b:Tag>Reu161</b:Tag>
    <b:SourceType>InternetSite</b:SourceType>
    <b:Guid>{FB77AD68-B4DC-6644-9B8D-96A5FBDD59C0}</b:Guid>
    <b:Author>
      <b:Author>
        <b:Corporate>Reuters</b:Corporate>
      </b:Author>
    </b:Author>
    <b:Title>Senegal at crossroads as oil boom looms</b:Title>
    <b:URL>http://www.reuters.com/article/us-senegal-oil-idUSKBN12Z1GK</b:URL>
    <b:Year>2016</b:Year>
    <b:Month>November</b:Month>
    <b:YearAccessed>2017</b:YearAccessed>
    <b:MonthAccessed>July</b:MonthAccessed>
    <b:RefOrder>202</b:RefOrder>
  </b:Source>
  <b:Source>
    <b:Tag>EIT163</b:Tag>
    <b:SourceType>InternetSite</b:SourceType>
    <b:Guid>{98DFFDB3-CC3E-8349-AC8B-3A23E30E481B}</b:Guid>
    <b:Author>
      <b:Author>
        <b:Corporate>EITI</b:Corporate>
      </b:Author>
    </b:Author>
    <b:Title>2016 Progress Report</b:Title>
    <b:URL>https://eiti.org/sites/default/files/documents/progressreport.pdf</b:URL>
    <b:Year>2016</b:Year>
    <b:Month>February</b:Month>
    <b:YearAccessed>2017</b:YearAccessed>
    <b:MonthAccessed>July</b:MonthAccessed>
    <b:RefOrder>205</b:RefOrder>
  </b:Source>
  <b:Source>
    <b:Tag>EIT171</b:Tag>
    <b:SourceType>InternetSite</b:SourceType>
    <b:Guid>{13FDB0B5-A062-3A4D-B272-184C42854BD1}</b:Guid>
    <b:Author>
      <b:Author>
        <b:Corporate>EITI</b:Corporate>
      </b:Author>
    </b:Author>
    <b:Title>2017 Progress Report</b:Title>
    <b:URL>https://eiti.org/sites/default/files/documents/eiti_progress_report_2017.pdf</b:URL>
    <b:Year>2017</b:Year>
    <b:Month>February</b:Month>
    <b:YearAccessed>2017</b:YearAccessed>
    <b:MonthAccessed>July</b:MonthAccessed>
    <b:RefOrder>206</b:RefOrder>
  </b:Source>
  <b:Source>
    <b:Tag>Ope171</b:Tag>
    <b:SourceType>InternetSite</b:SourceType>
    <b:Guid>{0FB150DF-EE41-9D47-86E6-FE6380400159}</b:Guid>
    <b:Author>
      <b:Author>
        <b:Corporate>Open Government Partnership</b:Corporate>
      </b:Author>
    </b:Author>
    <b:Title>Senegal OGP page</b:Title>
    <b:URL>https://www.opengovpartnership.org/tags/senegal</b:URL>
    <b:Year>2017</b:Year>
    <b:YearAccessed>2017</b:YearAccessed>
    <b:MonthAccessed>July</b:MonthAccessed>
    <b:RefOrder>207</b:RefOrder>
  </b:Source>
  <b:Source>
    <b:Tag>Eur13</b:Tag>
    <b:SourceType>DocumentFromInternetSite</b:SourceType>
    <b:Guid>{C6A213D3-C7CA-2C4F-8312-EF736CE462A6}</b:Guid>
    <b:Author>
      <b:Author>
        <b:Corporate>European Union</b:Corporate>
      </b:Author>
    </b:Author>
    <b:Title>Institutional options analysis for the implementation of EITI 	in 	Myanmar	</b:Title>
    <b:URL>http://myanmareiti.org/content/eiti-options-study</b:URL>
    <b:Year>2013</b:Year>
    <b:Month>October</b:Month>
    <b:YearAccessed>2016</b:YearAccessed>
    <b:MonthAccessed>September</b:MonthAccessed>
    <b:RefOrder>252</b:RefOrder>
  </b:Source>
  <b:Source>
    <b:Tag>IMF16</b:Tag>
    <b:SourceType>DocumentFromInternetSite</b:SourceType>
    <b:Guid>{2E5BB8C8-5510-CC4F-94BE-DCBA4C035101}</b:Guid>
    <b:Author>
      <b:Author>
        <b:Corporate>IMF</b:Corporate>
      </b:Author>
    </b:Author>
    <b:Title>Corruption: Costs and mitigating strategies</b:Title>
    <b:URL>http://www.iberglobal.com/files/2016/corrupcion_fmi.pdf</b:URL>
    <b:Year>2016</b:Year>
    <b:Month>May</b:Month>
    <b:YearAccessed>2016</b:YearAccessed>
    <b:MonthAccessed>September</b:MonthAccessed>
    <b:RefOrder>253</b:RefOrder>
  </b:Source>
  <b:Source>
    <b:Tag>NRG15</b:Tag>
    <b:SourceType>DocumentFromInternetSite</b:SourceType>
    <b:Guid>{AC1EA2DC-3B99-F44E-8937-F13274DCEF16}</b:Guid>
    <b:Author>
      <b:Author>
        <b:Corporate>NRGI</b:Corporate>
      </b:Author>
    </b:Author>
    <b:Title>From Reporting to Reform: Eleven Opportunities for Increasing EITI Impacts</b:Title>
    <b:URL>http://www.resourcegovernance.org/sites/default/files/nrgi_FromReportingtoReform.pdf</b:URL>
    <b:Year>2015</b:Year>
    <b:Month>June</b:Month>
    <b:YearAccessed>2016</b:YearAccessed>
    <b:MonthAccessed>September</b:MonthAccessed>
    <b:RefOrder>254</b:RefOrder>
  </b:Source>
  <b:Source>
    <b:Tag>U4A11</b:Tag>
    <b:SourceType>DocumentFromInternetSite</b:SourceType>
    <b:Guid>{CCCC3BE6-5EDD-5747-B6DE-52CA711050C1}</b:Guid>
    <b:Author>
      <b:Author>
        <b:Corporate>U4 Anti-Corruption Resource Centre</b:Corporate>
      </b:Author>
    </b:Author>
    <b:Title>Extractive sectors and illicit financial flows: What role for revenue governance initiatives?</b:Title>
    <b:URL>https://www.cmi.no/publications/file/4248-extractive-sectors-and-illicit-financial-flows.pdf</b:URL>
    <b:Year>2011</b:Year>
    <b:Month>November</b:Month>
    <b:YearAccessed>2016</b:YearAccessed>
    <b:MonthAccessed>September</b:MonthAccessed>
    <b:RefOrder>255</b:RefOrder>
  </b:Source>
  <b:Source>
    <b:Tag>Wor151</b:Tag>
    <b:SourceType>DocumentFromInternetSite</b:SourceType>
    <b:Guid>{41379057-3535-124C-A66E-1E132EEB4131}</b:Guid>
    <b:Author>
      <b:Author>
        <b:Corporate>World Bank</b:Corporate>
      </b:Author>
    </b:Author>
    <b:Title>Annual Report 2015: Extractive Industries Transparency Initiative— Multi-Donor Trust Fund (EITI-MDTF)</b:Title>
    <b:URL>http://documents.worldbank.org/curated/en/604341468196752604/pdf/103382-AR-EITI-MDTF-Annual-Report-FY15-FINAL-PUBLIC.pdf</b:URL>
    <b:Year>2015</b:Year>
    <b:YearAccessed>2016</b:YearAccessed>
    <b:MonthAccessed>September</b:MonthAccessed>
    <b:RefOrder>256</b:RefOrder>
  </b:Source>
  <b:Source>
    <b:Tag>Tra16</b:Tag>
    <b:SourceType>DocumentFromInternetSite</b:SourceType>
    <b:Guid>{8FDFBE09-6745-DF45-B577-14922A1E974C}</b:Guid>
    <b:Author>
      <b:Author>
        <b:Corporate>Transparency and Accountability Initiative</b:Corporate>
      </b:Author>
    </b:Author>
    <b:Title>Opening Government? The Case of the Philippines in the Open Government Partnership</b:Title>
    <b:URL>http://www.globalintegrity.org/wp-content/uploads/2016/06/The-Philippines-final.pdf</b:URL>
    <b:Year>2016</b:Year>
    <b:Month>January</b:Month>
    <b:YearAccessed>2016</b:YearAccessed>
    <b:MonthAccessed>September</b:MonthAccessed>
    <b:RefOrder>257</b:RefOrder>
  </b:Source>
  <b:Source>
    <b:Tag>Wor152</b:Tag>
    <b:SourceType>InternetSite</b:SourceType>
    <b:Guid>{073184AD-C52E-4045-93D8-78B8555F507D}</b:Guid>
    <b:Author>
      <b:Author>
        <b:Corporate>World Wide Web Foundation</b:Corporate>
      </b:Author>
    </b:Author>
    <b:Title>Leveraging open data for greater fiscal transparency</b:Title>
    <b:URL>http://labs.webfoundation.org/wp-content/uploads/2015/09/OD4T-How-To-Guide-EN-Screen.pdf</b:URL>
    <b:Year>2015</b:Year>
    <b:Month>September</b:Month>
    <b:YearAccessed>2016</b:YearAccessed>
    <b:MonthAccessed>September</b:MonthAccessed>
    <b:RefOrder>258</b:RefOrder>
  </b:Source>
  <b:Source>
    <b:Tag>Asi13</b:Tag>
    <b:SourceType>InternetSite</b:SourceType>
    <b:Guid>{6315675E-CE42-9749-95B2-05FD13FE9693}</b:Guid>
    <b:Author>
      <b:Author>
        <b:Corporate>Asian Development Bank</b:Corporate>
      </b:Author>
    </b:Author>
    <b:Title>Civil society briefs: the Philippines</b:Title>
    <b:URL>https://www.adb.org/sites/default/files/publication/30174/csb-phi.pdf</b:URL>
    <b:Year>2013</b:Year>
    <b:Month>February</b:Month>
    <b:YearAccessed>2016</b:YearAccessed>
    <b:MonthAccessed>September</b:MonthAccessed>
    <b:RefOrder>259</b:RefOrder>
  </b:Source>
  <b:Source>
    <b:Tag>Rev12</b:Tag>
    <b:SourceType>InternetSite</b:SourceType>
    <b:Guid>{9434254C-7C6F-7F44-ABA8-0790A83C13C8}</b:Guid>
    <b:Author>
      <b:Author>
        <b:Corporate>Revenue Watch Institute</b:Corporate>
      </b:Author>
    </b:Author>
    <b:Title>Philippines: Seizing Opportunities, Increasing Transparency and Accountability in the Extractive Industries</b:Title>
    <b:URL>http://www.resourcegovernance.org/sites/default/files/Philippines_TAI.pdf</b:URL>
    <b:Year>2012</b:Year>
    <b:YearAccessed>2016</b:YearAccessed>
    <b:MonthAccessed>September</b:MonthAccessed>
    <b:RefOrder>260</b:RefOrder>
  </b:Source>
  <b:Source>
    <b:Tag>Placeholder7</b:Tag>
    <b:SourceType>InternetSite</b:SourceType>
    <b:Guid>{C1CBD6C5-C05A-024D-8080-2CF36F0F3992}</b:Guid>
    <b:Author>
      <b:Author>
        <b:Corporate>EITI</b:Corporate>
      </b:Author>
    </b:Author>
    <b:Title>EITI Progress Report 2016: Subnational transfers, the Philippines </b:Title>
    <b:URL>http://progrep.eiti.org/2016/revenue-allocation/subnational-transfers-philippines</b:URL>
    <b:Year>2016</b:Year>
    <b:Month>February</b:Month>
    <b:Day>19</b:Day>
    <b:YearAccessed>2016</b:YearAccessed>
    <b:MonthAccessed>September</b:MonthAccessed>
    <b:RefOrder>261</b:RefOrder>
  </b:Source>
  <b:Source>
    <b:Tag>Phi161</b:Tag>
    <b:SourceType>InternetSite</b:SourceType>
    <b:Guid>{AD9142A3-1AD0-0D4F-BC1A-FBC59E1907CF}</b:Guid>
    <b:Author>
      <b:Author>
        <b:Corporate>Philippines Information Agency</b:Corporate>
      </b:Author>
    </b:Author>
    <b:Title>PH-EITI launches 3rd nationwide roadshow</b:Title>
    <b:URL>http://news.pia.gov.ph/article/view/1141471048920/ph-eiti-launches-3rd-nationwide-roadshow-</b:URL>
    <b:Year>2016</b:Year>
    <b:Month>August</b:Month>
    <b:Day>14</b:Day>
    <b:YearAccessed>2016</b:YearAccessed>
    <b:MonthAccessed>September</b:MonthAccessed>
    <b:RefOrder>262</b:RefOrder>
  </b:Source>
  <b:Source>
    <b:Tag>PWY</b:Tag>
    <b:SourceType>InternetSite</b:SourceType>
    <b:Guid>{9E8261F5-E02B-0E40-AA2E-7482EAB01349}</b:Guid>
    <b:Author>
      <b:Author>
        <b:Corporate>PWYP</b:Corporate>
      </b:Author>
    </b:Author>
    <b:Title>PWYP activities report 2012-2015</b:Title>
    <b:URL>http://www.publishwhatyoupay.org/wp-content/uploads/2016/02/pwyp_ar2016.pdf</b:URL>
    <b:Year>2016</b:Year>
    <b:YearAccessed>2016</b:YearAccessed>
    <b:MonthAccessed>September</b:MonthAccessed>
    <b:RefOrder>263</b:RefOrder>
  </b:Source>
  <b:Source>
    <b:Tag>Wor163</b:Tag>
    <b:SourceType>InternetSite</b:SourceType>
    <b:Guid>{BDCF1F34-501F-8A47-B864-E375677ACCDB}</b:Guid>
    <b:Author>
      <b:Author>
        <b:Corporate>World Gold Council</b:Corporate>
      </b:Author>
    </b:Author>
    <b:Title>Interactive gold mining map</b:Title>
    <b:URL>http://www.gold.org/gold-mining/where-gold-mining-occurs/interactive-gold-mining-map</b:URL>
    <b:Year>2016</b:Year>
    <b:YearAccessed>2016</b:YearAccessed>
    <b:MonthAccessed>September</b:MonthAccessed>
    <b:RefOrder>264</b:RefOrder>
  </b:Source>
  <b:Source>
    <b:Tag>She15</b:Tag>
    <b:SourceType>InternetSite</b:SourceType>
    <b:Guid>{52C6CBAE-5279-C349-9300-81458D27962D}</b:Guid>
    <b:Author>
      <b:Author>
        <b:Corporate>Shell Philippines</b:Corporate>
      </b:Author>
    </b:Author>
    <b:Title>Transparency and accountability urged in extractive industries</b:Title>
    <b:URL>http://www.shell.com.ph/aboutshell/media-centre/news-and-media-releases/2015/20150105-extractive-industries.html</b:URL>
    <b:Year>2015</b:Year>
    <b:Month>January</b:Month>
    <b:Day>5</b:Day>
    <b:YearAccessed>2016</b:YearAccessed>
    <b:MonthAccessed>November</b:MonthAccessed>
    <b:RefOrder>265</b:RefOrder>
  </b:Source>
  <b:Source>
    <b:Tag>Placeholder10</b:Tag>
    <b:SourceType>InternetSite</b:SourceType>
    <b:Guid>{19BA80ED-0696-1340-96E8-28B85CF73B43}</b:Guid>
    <b:Author>
      <b:Author>
        <b:Corporate>PWYP</b:Corporate>
      </b:Author>
    </b:Author>
    <b:Title> Making open data work for communities in the Philippines</b:Title>
    <b:URL>http://www.extractafact.org/blog/making-open-data-work-for-communities-in-the-philippines</b:URL>
    <b:Year>2016</b:Year>
    <b:Month>October</b:Month>
    <b:Day>13</b:Day>
    <b:YearAccessed>2016</b:YearAccessed>
    <b:MonthAccessed>November</b:MonthAccessed>
    <b:RefOrder>266</b:RefOrder>
  </b:Source>
  <b:Source>
    <b:Tag>Dan06</b:Tag>
    <b:SourceType>InternetSite</b:SourceType>
    <b:Guid>{863CE4C1-7825-384D-AA08-DE3C1E40E7FE}</b:Guid>
    <b:Author>
      <b:Author>
        <b:NameList>
          <b:Person>
            <b:Last>Songco</b:Last>
            <b:First>Danilo</b:First>
            <b:Middle>A.</b:Middle>
          </b:Person>
        </b:NameList>
      </b:Author>
    </b:Author>
    <b:Title>The Evolution of NGO Accountability Practices and their Implications on Philippine NGOs A literature review and options paper for the Philippine Council for NGO Certification </b:Title>
    <b:URL>http://www.icnl.org/research/library/files/Philippines/philacc.pdf</b:URL>
    <b:Year>2006</b:Year>
    <b:YearAccessed>2016</b:YearAccessed>
    <b:MonthAccessed>November</b:MonthAccessed>
    <b:RefOrder>267</b:RefOrder>
  </b:Source>
  <b:Source>
    <b:Tag>Asi07</b:Tag>
    <b:SourceType>InternetSite</b:SourceType>
    <b:Guid>{81AD22A0-1425-0D4A-A786-0F8801075BDE}</b:Guid>
    <b:Author>
      <b:Author>
        <b:Corporate>Asian Development Bank</b:Corporate>
      </b:Author>
    </b:Author>
    <b:Title>ADB Brief: Overview of NGOs and civil society in the Philippines</b:Title>
    <b:URL>https://www.adb.org/sites/default/files/publication/28972/csb-phi.pdf</b:URL>
    <b:Year>2007</b:Year>
    <b:Month>December</b:Month>
    <b:YearAccessed>2016</b:YearAccessed>
    <b:MonthAccessed>November</b:MonthAccessed>
    <b:RefOrder>268</b:RefOrder>
  </b:Source>
  <b:Source>
    <b:Tag>Sen13</b:Tag>
    <b:SourceType>InternetSite</b:SourceType>
    <b:Guid>{1231154A-7205-3D40-8234-BA64BEC863C0}</b:Guid>
    <b:Author>
      <b:Author>
        <b:Corporate>Senate Economic Planning Office</b:Corporate>
      </b:Author>
    </b:Author>
    <b:Title>Policy Brief: Realizing the Philippines’ Mining Potential</b:Title>
    <b:URL>https://www.senate.gov.ph/publications/PB%202013-12%20-%20Mining_Policy%20Brief_final_revised_010614.pdf</b:URL>
    <b:Year>2013</b:Year>
    <b:Month>December</b:Month>
    <b:YearAccessed>2016</b:YearAccessed>
    <b:MonthAccessed>November </b:MonthAccessed>
    <b:RefOrder>269</b:RefOrder>
  </b:Source>
  <b:Source>
    <b:Tag>EIT152</b:Tag>
    <b:SourceType>InternetSite</b:SourceType>
    <b:Guid>{98C19197-35E9-F44C-AEAA-B849BC6FF19F}</b:Guid>
    <b:Author>
      <b:Author>
        <b:Corporate>EITI</b:Corporate>
      </b:Author>
    </b:Author>
    <b:Title>New insights into extractives sector in the Philippines</b:Title>
    <b:URL>https://eiti.org/node/4368</b:URL>
    <b:Year>2015</b:Year>
    <b:Month>January</b:Month>
    <b:Day>15</b:Day>
    <b:YearAccessed>2016</b:YearAccessed>
    <b:MonthAccessed>November</b:MonthAccessed>
    <b:RefOrder>270</b:RefOrder>
  </b:Source>
  <b:Source>
    <b:Tag>Placeholder13</b:Tag>
    <b:SourceType>InternetSite</b:SourceType>
    <b:Guid>{F243C933-75E2-774C-BABE-B76EA113F478}</b:Guid>
    <b:Author>
      <b:Author>
        <b:Corporate>EITI</b:Corporate>
      </b:Author>
    </b:Author>
    <b:Title>Guidance Note 20: Developing, implementing	and	monitoring recommendations	 from	 EITI reporting</b:Title>
    <b:URL>https://eiti.org/sites/default/files/documents/guidance-note-20_recommendations_from_eiti_reporting_2016_0.pdf</b:URL>
    <b:Year>2016</b:Year>
    <b:Month>March</b:Month>
    <b:YearAccessed>2016</b:YearAccessed>
    <b:MonthAccessed>November</b:MonthAccessed>
    <b:RefOrder>271</b:RefOrder>
  </b:Source>
  <b:Source>
    <b:Tag>EIT153</b:Tag>
    <b:SourceType>InternetSite</b:SourceType>
    <b:Guid>{C709D690-02FE-6043-8D27-C8FD851714FA}</b:Guid>
    <b:Author>
      <b:Author>
        <b:Corporate>EITI</b:Corporate>
      </b:Author>
    </b:Author>
    <b:Title>From recommendations to action</b:Title>
    <b:URL>https://eiti.org/node/4691</b:URL>
    <b:Year>2015</b:Year>
    <b:Month>September</b:Month>
    <b:Day>3</b:Day>
    <b:YearAccessed>2016</b:YearAccessed>
    <b:MonthAccessed>November</b:MonthAccessed>
    <b:RefOrder>272</b:RefOrder>
  </b:Source>
  <b:Source>
    <b:Tag>EIT07</b:Tag>
    <b:SourceType>InternetSite</b:SourceType>
    <b:Guid>{D76A1A0A-6F46-7640-BB47-A4DA9BC5CE1D}</b:Guid>
    <b:Author>
      <b:Author>
        <b:Corporate>EITI</b:Corporate>
      </b:Author>
    </b:Author>
    <b:Title>EITI Newsletter December 2007</b:Title>
    <b:URL>https://eiti.org/es/node/3923</b:URL>
    <b:Year>2007</b:Year>
    <b:Month>November</b:Month>
    <b:Day>23</b:Day>
    <b:YearAccessed>2017</b:YearAccessed>
    <b:MonthAccessed>January</b:MonthAccessed>
    <b:RefOrder>273</b:RefOrder>
  </b:Source>
  <b:Source>
    <b:Tag>CIV15</b:Tag>
    <b:SourceType>InternetSite</b:SourceType>
    <b:Guid>{5E4F3D3E-F03D-7442-9549-54A9291F598E}</b:Guid>
    <b:Author>
      <b:Author>
        <b:Corporate>CIVICUS</b:Corporate>
      </b:Author>
    </b:Author>
    <b:Title>Outline of CIVICUS</b:Title>
    <b:URL>http://civicus.org/index.php/ar/component/content/article/35-media-centre/open-letters/1581-open-letter-requesting-the-indonesian-parliament-to-reject-to-the-proposed-ormas-law-and-create-an-enabling-environment-for-civil-society</b:URL>
    <b:Year>2015</b:Year>
    <b:YearAccessed>2017</b:YearAccessed>
    <b:MonthAccessed>January</b:MonthAccessed>
    <b:RefOrder>274</b:RefOrder>
  </b:Source>
  <b:Source>
    <b:Tag>The15</b:Tag>
    <b:SourceType>InternetSite</b:SourceType>
    <b:Guid>{38BEAD89-896F-6842-9A4E-0AF6E0B741D1}</b:Guid>
    <b:Author>
      <b:Author>
        <b:Corporate>The Guardian</b:Corporate>
      </b:Author>
    </b:Author>
    <b:Title>Despite the threats, I will not stop fighting for Niger - Ali Idrissa</b:Title>
    <b:URL>https://www.theguardian.com/commentisfree/2015/sep/07/niger-campaign-democracy-ali-idrissa</b:URL>
    <b:Year>2015</b:Year>
    <b:Month>September</b:Month>
    <b:Day>7</b:Day>
    <b:YearAccessed>2017</b:YearAccessed>
    <b:MonthAccessed>January</b:MonthAccessed>
    <b:RefOrder>275</b:RefOrder>
  </b:Source>
  <b:Source>
    <b:Tag>Par15</b:Tag>
    <b:SourceType>InternetSite</b:SourceType>
    <b:Guid>{5D900246-2C03-374C-97FA-A9A14A66AC82}</b:Guid>
    <b:Author>
      <b:Author>
        <b:Corporate>Partnership for Economic Policy</b:Corporate>
      </b:Author>
    </b:Author>
    <b:Title>Développement minier et pétrolier et politiques de dépenses publiques au Niger</b:Title>
    <b:URL>https://www.pep-net.org/sites/pep-net.org/files/typo3doc/pdf/files_events/2015_kenya_conf/MPIA_12805.pdf</b:URL>
    <b:Year>2015</b:Year>
    <b:Month>April</b:Month>
    <b:YearAccessed>2017</b:YearAccessed>
    <b:MonthAccessed>January</b:MonthAccessed>
    <b:RefOrder>276</b:RefOrder>
  </b:Source>
  <b:Source>
    <b:Tag>USD156</b:Tag>
    <b:SourceType>InternetSite</b:SourceType>
    <b:Guid>{24F9C209-68A9-F946-A9D2-6972E9FFD485}</b:Guid>
    <b:Author>
      <b:Author>
        <b:Corporate>US Department of State</b:Corporate>
      </b:Author>
    </b:Author>
    <b:Title>U.S. DEPARTMENT OF STATE FY 2015 FISCAL TRANSPARENCY REPORT PURSUANT TO SECTION 7031(b)(3) OF THE DEPARTMENT OF STATE, FOREIGN OPERATIONS, AND RELATED PROGRAMS APPROPRIATIONS ACT, 2015</b:Title>
    <b:URL>https://www.state.gov/e/eb/ifd/oma/fiscaltransparency/243692.htm</b:URL>
    <b:Year>2015</b:Year>
    <b:YearAccessed>2017</b:YearAccessed>
    <b:MonthAccessed>January</b:MonthAccessed>
    <b:RefOrder>277</b:RefOrder>
  </b:Source>
  <b:Source>
    <b:Tag>Placeholder15</b:Tag>
    <b:SourceType>InternetSite</b:SourceType>
    <b:Guid>{D5FFD3BF-8FF6-AD4B-BA3E-CA6A7F1ADC06}</b:Guid>
    <b:Author>
      <b:Author>
        <b:Corporate>EITI</b:Corporate>
      </b:Author>
    </b:Author>
    <b:Title>The EITI Board</b:Title>
    <b:URL>https://eiti.org/about/board</b:URL>
    <b:Year>2017</b:Year>
    <b:Month>January</b:Month>
    <b:YearAccessed>2017</b:YearAccessed>
    <b:MonthAccessed>January</b:MonthAccessed>
    <b:RefOrder>278</b:RefOrder>
  </b:Source>
  <b:Source>
    <b:Tag>Placeholder16</b:Tag>
    <b:SourceType>DocumentFromInternetSite</b:SourceType>
    <b:Guid>{C763165C-CB3E-CF41-962C-04F9D6AFC953}</b:Guid>
    <b:Title>EITI - About us - Secretariat</b:Title>
    <b:Year>2016</b:Year>
    <b:Author>
      <b:Author>
        <b:Corporate>EITI</b:Corporate>
      </b:Author>
    </b:Author>
    <b:InternetSiteTitle>EITI.org</b:InternetSiteTitle>
    <b:URL>https://eiti.org/about/Secretariat</b:URL>
    <b:Month>10</b:Month>
    <b:Day>06</b:Day>
    <b:RefOrder>279</b:RefOrder>
  </b:Source>
  <b:Source>
    <b:Tag>Dan13</b:Tag>
    <b:SourceType>InternetSite</b:SourceType>
    <b:Guid>{96A3C1BA-F5DF-AF43-A0E1-6E7324EBD3AC}</b:Guid>
    <b:Author>
      <b:Author>
        <b:Corporate>Danish Institute for International Studies</b:Corporate>
      </b:Author>
    </b:Author>
    <b:Title>Environmental governance of uranium mining in Niger – a blind spot for development cooperation?</b:Title>
    <b:URL>https://www.files.ethz.ch/isn/162387/WP2013-02-Uranium-mining-in%20Niger_web.pdf</b:URL>
    <b:Year>2013</b:Year>
    <b:YearAccessed>2016</b:YearAccessed>
    <b:MonthAccessed>December</b:MonthAccessed>
    <b:RefOrder>280</b:RefOrder>
  </b:Source>
  <b:Source>
    <b:Tag>Dir15</b:Tag>
    <b:SourceType>InternetSite</b:SourceType>
    <b:Guid>{C7C1A7E2-FCFE-1349-8CA2-52858A5A884C}</b:Guid>
    <b:Author>
      <b:Author>
        <b:Corporate>Direction Générale du Budget, République du Niger</b:Corporate>
      </b:Author>
    </b:Author>
    <b:Title>Budget Citoyen : le guide du citoyen pour la loi de finances 2015</b:Title>
    <b:URL>http://www.stat-niger.org/statistique/file/MF/Budget_Citoyen_LFR_%202016.pdf</b:URL>
    <b:Year>2015</b:Year>
    <b:Month>July</b:Month>
    <b:YearAccessed>2017</b:YearAccessed>
    <b:MonthAccessed>January</b:MonthAccessed>
    <b:RefOrder>281</b:RefOrder>
  </b:Source>
  <b:Source>
    <b:Tag>USD141</b:Tag>
    <b:SourceType>InternetSite</b:SourceType>
    <b:Guid>{EB5C2458-EBD9-6E48-8135-2D7C3B3A6DB2}</b:Guid>
    <b:Author>
      <b:Author>
        <b:Corporate>US Department of State</b:Corporate>
      </b:Author>
    </b:Author>
    <b:Title>RAPPORT DU DÉPARTEMENT D’ÉTAT DES ÉTATS-UNIS SUR LA TRANSPARENCE BUDGÉTAIRE POUR L’EXERCICE 2014 EN APPLICATION DE LA SECTION 7031(b)(3) DE LA LOI PORTANT AFFECTATION DE CRÉDITS AUX OPÉRATIONS EXTÉRIEURES ET PROGRAMMES CONNEXES DU DÉPARTEMENT D’ÉTAT POUR 2014 </b:Title>
    <b:URL>https://www.state.gov/documents/organization/237263.pdf</b:URL>
    <b:Year>2014</b:Year>
    <b:YearAccessed>2017</b:YearAccessed>
    <b:MonthAccessed>January</b:MonthAccessed>
    <b:RefOrder>282</b:RefOrder>
  </b:Source>
  <b:Source>
    <b:Tag>Ope141</b:Tag>
    <b:SourceType>InternetSite</b:SourceType>
    <b:Guid>{7A9C0FD9-D2CF-BC4E-BDDA-E2E77EAE36B1}</b:Guid>
    <b:Author>
      <b:Author>
        <b:Corporate>Open Society Initiative for West Africa</b:Corporate>
      </b:Author>
    </b:Author>
    <b:Title>Les revenus des industries extractives du Niger, le cas de l’uranium : qui en profite ?</b:Title>
    <b:URL>http://www.osiwa.org/wp-content/uploads/2015/02/revenus_des_industries_extractives_du_niger-final_2.pdf</b:URL>
    <b:Year>2014</b:Year>
    <b:YearAccessed>2017</b:YearAccessed>
    <b:MonthAccessed>January</b:MonthAccessed>
    <b:RefOrder>283</b:RefOrder>
  </b:Source>
  <b:Source>
    <b:Tag>Cou14</b:Tag>
    <b:SourceType>InternetSite</b:SourceType>
    <b:Guid>{7DB64391-6390-494E-AABB-32FF4B8530EB}</b:Guid>
    <b:Author>
      <b:Author>
        <b:Corporate>Cour des Comptes</b:Corporate>
      </b:Author>
    </b:Author>
    <b:Title>Contrôle des recettes budgétaires issues des industries extractives (exercices 2011-2012)</b:Title>
    <b:URL>http://www.courdescomptes.ne/images/stories/mes_documents/CRBIIE_2011-2012.pdf</b:URL>
    <b:Year>2014</b:Year>
    <b:YearAccessed>2017</b:YearAccessed>
    <b:MonthAccessed>January</b:MonthAccessed>
    <b:RefOrder>284</b:RefOrder>
  </b:Source>
  <b:Source>
    <b:Tag>Cou13</b:Tag>
    <b:SourceType>InternetSite</b:SourceType>
    <b:Guid>{F996F43C-D1DE-F248-AF44-8FA9167EF7AF}</b:Guid>
    <b:Author>
      <b:Author>
        <b:Corporate>Cour des Comptes</b:Corporate>
      </b:Author>
    </b:Author>
    <b:Title>Contrôle des recettes minières, pétrolières et gazières (exercice 2010)</b:Title>
    <b:URL>http://www.courdescomptes.ne/images/stories/mes_documents/CRMPG_2010.pdf</b:URL>
    <b:Year>2013</b:Year>
    <b:YearAccessed>2017</b:YearAccessed>
    <b:MonthAccessed>January</b:MonthAccessed>
    <b:RefOrder>285</b:RefOrder>
  </b:Source>
  <b:Source>
    <b:Tag>USD162</b:Tag>
    <b:SourceType>InternetSite</b:SourceType>
    <b:Guid>{CADE9392-2B2B-6E4F-95AB-219907644927}</b:Guid>
    <b:Author>
      <b:Author>
        <b:Corporate>US Department of State</b:Corporate>
      </b:Author>
    </b:Author>
    <b:Title>U.S. DEPARTMENT OF STATE 2016 FISCAL TRANSPARENCY REPORT PURSUANT TO SECTION 7031(b)(3) OF THE DEPARTMENT OF STATE, FOREIGN OPERATIONS, AND RELATED PROGRAMS APPROPRIATIONS ACT, 2016 </b:Title>
    <b:URL>https://www.state.gov/e/eb/ifd/oma/fiscaltransparency/260301.htm</b:URL>
    <b:Year>2016</b:Year>
    <b:YearAccessed>2017</b:YearAccessed>
    <b:MonthAccessed>January</b:MonthAccessed>
    <b:RefOrder>286</b:RefOrder>
  </b:Source>
  <b:Source>
    <b:Tag>Cou131</b:Tag>
    <b:SourceType>InternetSite</b:SourceType>
    <b:Guid>{6E7B95FA-9167-F540-A007-F57BF973F21A}</b:Guid>
    <b:Author>
      <b:Author>
        <b:Corporate>Cour des Comptes</b:Corporate>
      </b:Author>
    </b:Author>
    <b:Title>Contrôle des recettes minières, pétrolières et gazières (exercice 2010)</b:Title>
    <b:URL>http://www.courdescomptes.ne/images/stories/mes_documents/CRMPG_2010.pdf</b:URL>
    <b:Year>2012</b:Year>
    <b:YearAccessed>2017</b:YearAccessed>
    <b:MonthAccessed>January</b:MonthAccessed>
    <b:RefOrder>287</b:RefOrder>
  </b:Source>
  <b:Source>
    <b:Tag>Cou15</b:Tag>
    <b:SourceType>InternetSite</b:SourceType>
    <b:Guid>{30D24494-0387-9449-9B2A-8633A31261B9}</b:Guid>
    <b:Author>
      <b:Author>
        <b:Corporate>Cour des Comptes</b:Corporate>
      </b:Author>
    </b:Author>
    <b:Title>Contrôle des recettes budgétaires issues des industries extractives (exercices 2011-2012)</b:Title>
    <b:URL>http://www.courdescomptes.ne/images/stories/mes_documents/CRBIIE_2011-2012.pdf</b:URL>
    <b:Year>2014</b:Year>
    <b:YearAccessed>2017</b:YearAccessed>
    <b:MonthAccessed>January</b:MonthAccessed>
    <b:RefOrder>288</b:RefOrder>
  </b:Source>
  <b:Source>
    <b:Tag>Uni15</b:Tag>
    <b:SourceType>InternetSite</b:SourceType>
    <b:Guid>{BCF3398D-BDD8-174C-A49E-77E982D52CA0}</b:Guid>
    <b:Author>
      <b:Author>
        <b:Corporate>University of British Columbia</b:Corporate>
      </b:Author>
    </b:Author>
    <b:Title>Subnational reporting - lessons from the Philippines</b:Title>
    <b:URL>https://blogs.ubc.ca/maapps/tag/civil-society-initiatives/</b:URL>
    <b:Year>2015</b:Year>
    <b:Month>February</b:Month>
    <b:Day>11</b:Day>
    <b:YearAccessed>2016</b:YearAccessed>
    <b:MonthAccessed>November</b:MonthAccessed>
    <b:RefOrder>289</b:RefOrder>
  </b:Source>
  <b:Source>
    <b:Tag>EIT15</b:Tag>
    <b:SourceType>InternetSite</b:SourceType>
    <b:Guid>{603BD62E-AC7E-3B47-9E28-7D3EBFCE4C36}</b:Guid>
    <b:Author>
      <b:Author>
        <b:Corporate>EITI</b:Corporate>
      </b:Author>
    </b:Author>
    <b:Title>EITI Brief: Quantifying intangibles</b:Title>
    <b:URL>https://eiti.org/document/eiti-brief-quantifying-intangibles</b:URL>
    <b:Year>2015</b:Year>
    <b:Month>August</b:Month>
    <b:YearAccessed>2017</b:YearAccessed>
    <b:MonthAccessed>February</b:MonthAccessed>
    <b:RefOrder>290</b:RefOrder>
  </b:Source>
  <b:Source>
    <b:Tag>Arc15</b:Tag>
    <b:SourceType>InternetSite</b:SourceType>
    <b:Guid>{2776A2E6-3BC2-FC4F-9CAD-90872ED310B5}</b:Guid>
    <b:Author>
      <b:Author>
        <b:Corporate>ArcelorMittal</b:Corporate>
      </b:Author>
    </b:Author>
    <b:Title>2014 Annual Report</b:Title>
    <b:URL>http://corporate.arcelormittal.com/~/media/Files/A/ArcelorMittal/investors/annual-reports/2014/Annual-Report-2014.pdf</b:URL>
    <b:Year>2015</b:Year>
    <b:YearAccessed>2017</b:YearAccessed>
    <b:MonthAccessed>September</b:MonthAccessed>
    <b:RefOrder>147</b:RefOrder>
  </b:Source>
  <b:Source>
    <b:Tag>Fin171</b:Tag>
    <b:SourceType>InternetSite</b:SourceType>
    <b:Guid>{0F4435DD-DAB1-BE4E-BEE5-19694BCAF8A8}</b:Guid>
    <b:Author>
      <b:Author>
        <b:Corporate>Financial Times</b:Corporate>
      </b:Author>
    </b:Author>
    <b:Title>Kosmos Energy Publishes Annual Corporate Responsibility Report</b:Title>
    <b:URL>https://markets.ft.com/data/announce/detail?dockey=600-201707200600BIZWIRE_USPRX____BW5385-1</b:URL>
    <b:Year>2017</b:Year>
    <b:Month>July</b:Month>
    <b:YearAccessed>2017 </b:YearAccessed>
    <b:MonthAccessed>September</b:MonthAccessed>
    <b:RefOrder>171</b:RefOrder>
  </b:Source>
  <b:Source>
    <b:Tag>ITI1653</b:Tag>
    <b:SourceType>InternetSite</b:SourceType>
    <b:Guid>{6D075590-3B5F-F448-8B87-091C5FDD1609}</b:Guid>
    <b:Author>
      <b:Author>
        <b:Corporate>ITIE Senegal</b:Corporate>
      </b:Author>
    </b:Author>
    <b:Title>PROCEDURE DE DESIGNATION DES MEMBRES DES COLLEGES DU SECTEUR PRIVE ET DE LA SOCIETE CIVILE DU COMITE NATIONAL DE L’INITIATIVE POUR LA TRANSPARENCE DANS LES INDUSTRIES EXTRACTIVES (CN-ITIE)</b:Title>
    <b:URL>unpublished, provided by EITI Senegal Secretariat</b:URL>
    <b:Year>2016</b:Year>
    <b:Month>August</b:Month>
    <b:YearAccessed>2017</b:YearAccessed>
    <b:MonthAccessed>September</b:MonthAccessed>
    <b:RefOrder>109</b:RefOrder>
  </b:Source>
  <b:Source>
    <b:Tag>Gou12</b:Tag>
    <b:SourceType>InternetSite</b:SourceType>
    <b:Guid>{C4D0411E-9262-F247-96B3-FE177D8A5014}</b:Guid>
    <b:Author>
      <b:Author>
        <b:Corporate>Gouvernement du Senegal</b:Corporate>
      </b:Author>
    </b:Author>
    <b:Title>Décret n° 2012-1314 du 16 novembre 2012 </b:Title>
    <b:URL>http://www.jo.gouv.sn/spip.php?article9648</b:URL>
    <b:Year>2012</b:Year>
    <b:Month>November</b:Month>
    <b:Day>16</b:Day>
    <b:YearAccessed>2017</b:YearAccessed>
    <b:MonthAccessed>September</b:MonthAccessed>
    <b:RefOrder>124</b:RefOrder>
  </b:Source>
  <b:Source>
    <b:Tag>TOT17</b:Tag>
    <b:SourceType>InternetSite</b:SourceType>
    <b:Guid>{763FA67C-58DB-A845-8F2B-B9D8F5B63E5B}</b:Guid>
    <b:Author>
      <b:Author>
        <b:Corporate>TOTAL</b:Corporate>
      </b:Author>
    </b:Author>
    <b:Title>Senegal: Total Signs Agreements to Explore the Country’s Deepwater potential</b:Title>
    <b:URL>http://www.total.com/en/media/news/press-releases/senegal-total-signs-agreements-explore-countrys-deepwater-potential</b:URL>
    <b:Year>2017</b:Year>
    <b:Month>May</b:Month>
    <b:YearAccessed>2017</b:YearAccessed>
    <b:MonthAccessed>September</b:MonthAccessed>
    <b:RefOrder>137</b:RefOrder>
  </b:Source>
  <b:Source>
    <b:Tag>Gou14</b:Tag>
    <b:SourceType>InternetSite</b:SourceType>
    <b:Guid>{10D0E2DB-8BC7-874D-AB87-C39E0869CEE1}</b:Guid>
    <b:Author>
      <b:Author>
        <b:Corporate>Gouvernement du Senegal</b:Corporate>
      </b:Author>
    </b:Author>
    <b:Title>Décret n°2014-1463 du 12 novembre 2014</b:Title>
    <b:URL>http://www.jo.gouv.sn/spip.php?article10293</b:URL>
    <b:Year>2014</b:Year>
    <b:Month>November</b:Month>
    <b:YearAccessed>2017</b:YearAccessed>
    <b:MonthAccessed>September</b:MonthAccessed>
    <b:RefOrder>143</b:RefOrder>
  </b:Source>
  <b:Source>
    <b:Tag>Gou99</b:Tag>
    <b:SourceType>InternetSite</b:SourceType>
    <b:Guid>{87497802-5AEC-4D4D-BDAF-C215FDF8ED09}</b:Guid>
    <b:Author>
      <b:Author>
        <b:Corporate>Gouvernement du Senegal</b:Corporate>
      </b:Author>
    </b:Author>
    <b:Title>Loi n°90-07 du 26 juin 1990 relative à l'organisation et au contrôle des entreprises du secteur parapublic et au contrôle des personnes morales de droit privé bénéficiant du concours financier de la puissance publique (Journal officiel du 7 juillet 1999) </b:Title>
    <b:URL>http://www.courdescomptes.sn/index.php?option=com_content&amp;view=article&amp;id=51:loi-nd90-07-du-26-juin-1990-relative-a-lorganisation-et-au-controle-des-entreprises-du-secteur-parapublic-et-au-controle-des-personnes-morales-de-droit-prive-beneficiant-du-concours-financier-de-la-puissance-publique&amp;catid=44:textes-nationaux&amp;Itemid=79</b:URL>
    <b:Year>1999</b:Year>
    <b:Month>July</b:Month>
    <b:YearAccessed>2017</b:YearAccessed>
    <b:MonthAccessed>September</b:MonthAccessed>
    <b:RefOrder>144</b:RefOrder>
  </b:Source>
  <b:Source>
    <b:Tag>Rép171</b:Tag>
    <b:SourceType>InternetSite</b:SourceType>
    <b:Guid>{80AC7E35-C817-E24B-862C-A5E7A8F7DB9B}</b:Guid>
    <b:Author>
      <b:Author>
        <b:Corporate>République du Sénégal</b:Corporate>
      </b:Author>
    </b:Author>
    <b:Title>Decret 2017-1885 portant nomination du Président du Comité national de l'Initiative pour la transparence dans les industries extractives (ITIE) </b:Title>
    <b:URL>http://itie.sn/?offshore_dl=2516</b:URL>
    <b:Year>2017</b:Year>
    <b:Month>October</b:Month>
    <b:Day>6</b:Day>
    <b:YearAccessed>2017</b:YearAccessed>
    <b:MonthAccessed>October</b:MonthAccessed>
    <b:RefOrder>44</b:RefOrder>
  </b:Source>
</b:Sources>
</file>

<file path=customXml/itemProps1.xml><?xml version="1.0" encoding="utf-8"?>
<ds:datastoreItem xmlns:ds="http://schemas.openxmlformats.org/officeDocument/2006/customXml" ds:itemID="{77E2B03C-644D-4199-B40D-AB27C08A7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FC52CC-9915-4DFA-BA63-F458D6173D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3DD25E8-4C60-4792-B8CC-6B55FEB6ABCD}">
  <ds:schemaRefs>
    <ds:schemaRef ds:uri="http://schemas.microsoft.com/sharepoint/v3/contenttype/forms"/>
  </ds:schemaRefs>
</ds:datastoreItem>
</file>

<file path=customXml/itemProps4.xml><?xml version="1.0" encoding="utf-8"?>
<ds:datastoreItem xmlns:ds="http://schemas.openxmlformats.org/officeDocument/2006/customXml" ds:itemID="{3104A7D9-E0A9-F740-89C7-E1F2A8A2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110</Pages>
  <Words>53830</Words>
  <Characters>326712</Characters>
  <Application>Microsoft Macintosh Word</Application>
  <DocSecurity>0</DocSecurity>
  <Lines>5269</Lines>
  <Paragraphs>1243</Paragraphs>
  <ScaleCrop>false</ScaleCrop>
  <HeadingPairs>
    <vt:vector size="2" baseType="variant">
      <vt:variant>
        <vt:lpstr>Title</vt:lpstr>
      </vt:variant>
      <vt:variant>
        <vt:i4>1</vt:i4>
      </vt:variant>
    </vt:vector>
  </HeadingPairs>
  <TitlesOfParts>
    <vt:vector size="1" baseType="lpstr">
      <vt:lpstr/>
    </vt:vector>
  </TitlesOfParts>
  <Company>Auswärtiges Amt</Company>
  <LinksUpToDate>false</LinksUpToDate>
  <CharactersWithSpaces>380383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International Secretariat</dc:creator>
  <cp:keywords/>
  <cp:lastModifiedBy>Jeremy Weate</cp:lastModifiedBy>
  <cp:revision>24</cp:revision>
  <cp:lastPrinted>2017-06-19T10:50:00Z</cp:lastPrinted>
  <dcterms:created xsi:type="dcterms:W3CDTF">2017-12-22T09:31:00Z</dcterms:created>
  <dcterms:modified xsi:type="dcterms:W3CDTF">2018-01-07T20:32:00Z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