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B3EB" w14:textId="6CEF915E" w:rsidR="00727064" w:rsidRPr="0076324C" w:rsidRDefault="00BF35FF" w:rsidP="0076324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324C">
        <w:rPr>
          <w:rFonts w:ascii="Times New Roman" w:hAnsi="Times New Roman" w:cs="Times New Roman"/>
          <w:sz w:val="24"/>
          <w:szCs w:val="24"/>
          <w:lang w:val="uk-UA"/>
        </w:rPr>
        <w:t>Коментар до вимоги 4.1 повнота інформації:</w:t>
      </w:r>
    </w:p>
    <w:p w14:paraId="438C5F81" w14:textId="42C988F4" w:rsidR="00BF35FF" w:rsidRDefault="00E67B55" w:rsidP="0076324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У валідаційному звіті зазначено</w:t>
      </w:r>
      <w:r w:rsidR="00BF35FF" w:rsidRPr="0076324C">
        <w:rPr>
          <w:rFonts w:ascii="Times New Roman" w:hAnsi="Times New Roman" w:cs="Times New Roman"/>
          <w:i/>
          <w:iCs/>
          <w:sz w:val="24"/>
          <w:szCs w:val="24"/>
          <w:lang w:val="uk-UA"/>
        </w:rPr>
        <w:t>, що попереднє дослідження та Звіт ІПВГ за 2017 рік не коментують суттєвість підгалузі видобування руд урану та її внесок у загальний обсяг надходжень від видобувної галузі у 2017 фінансовому році.</w:t>
      </w:r>
    </w:p>
    <w:p w14:paraId="77F67F67" w14:textId="791E8E0A" w:rsidR="0076324C" w:rsidRPr="0076324C" w:rsidRDefault="0076324C" w:rsidP="0076324C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6324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Коментар БГЗО:</w:t>
      </w:r>
    </w:p>
    <w:p w14:paraId="48D81A22" w14:textId="449C8457" w:rsidR="00BF35FF" w:rsidRPr="0076324C" w:rsidRDefault="00BF35FF" w:rsidP="0076324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B55">
        <w:rPr>
          <w:rFonts w:ascii="Times New Roman" w:hAnsi="Times New Roman" w:cs="Times New Roman"/>
          <w:sz w:val="24"/>
          <w:szCs w:val="24"/>
          <w:lang w:val="uk-UA"/>
        </w:rPr>
        <w:t>На засіданні БГЗО</w:t>
      </w:r>
      <w:r w:rsidR="0085568C"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 22 листопада 2019 року (протокол </w:t>
      </w:r>
      <w:r w:rsidR="00E67B55">
        <w:rPr>
          <w:rFonts w:ascii="Times New Roman" w:hAnsi="Times New Roman" w:cs="Times New Roman"/>
          <w:sz w:val="24"/>
          <w:szCs w:val="24"/>
          <w:lang w:val="uk-UA"/>
        </w:rPr>
        <w:t>БГЗО було надіслано раніше</w:t>
      </w:r>
      <w:r w:rsidR="0085568C" w:rsidRPr="0076324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67B55" w:rsidRPr="00E67B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7B55">
        <w:rPr>
          <w:rFonts w:ascii="Times New Roman" w:hAnsi="Times New Roman" w:cs="Times New Roman"/>
          <w:sz w:val="24"/>
          <w:szCs w:val="24"/>
          <w:lang w:val="uk-UA"/>
        </w:rPr>
        <w:t xml:space="preserve">під час презентації та затвердження </w:t>
      </w:r>
      <w:r w:rsidR="00E67B55" w:rsidRPr="0076324C">
        <w:rPr>
          <w:rFonts w:ascii="Times New Roman" w:hAnsi="Times New Roman" w:cs="Times New Roman"/>
          <w:sz w:val="24"/>
          <w:szCs w:val="24"/>
          <w:lang w:val="uk-UA"/>
        </w:rPr>
        <w:t>Техніко-економічної оцінки та Початкового звіту в рамках підготовки Звіту ІПВГ за 2017 рік</w:t>
      </w:r>
      <w:r w:rsidR="00E67B55" w:rsidRPr="00E67B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67B55">
        <w:rPr>
          <w:rFonts w:ascii="Times New Roman" w:hAnsi="Times New Roman" w:cs="Times New Roman"/>
          <w:sz w:val="24"/>
          <w:szCs w:val="24"/>
          <w:lang w:val="uk-UA"/>
        </w:rPr>
        <w:t>було презентовано наступний підхід до визначення матеріальних галузей для включення у Звіт ІПВГ 2017:</w:t>
      </w:r>
    </w:p>
    <w:p w14:paraId="5D54626C" w14:textId="12EBE725" w:rsidR="00957EFF" w:rsidRDefault="00E67B55" w:rsidP="0076324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>На основі даних від ДПС було проаналізовано надходження в розрізі галузей. Добування природного газу залишається основним донором серед галузей</w:t>
      </w:r>
      <w:r w:rsidR="00D37AFA" w:rsidRPr="0076324C">
        <w:rPr>
          <w:rFonts w:ascii="Times New Roman" w:hAnsi="Times New Roman" w:cs="Times New Roman"/>
          <w:sz w:val="24"/>
          <w:szCs w:val="24"/>
        </w:rPr>
        <w:t xml:space="preserve">, </w:t>
      </w:r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що генерує найбільше податкових та не податкових надходжень на користь держави. Сумарно добування природного газу, сирої нафти, кам’яного вугілля, залізної руди і трубопровідного транспорту становить більше 95% надходжень бюджету. Цих галузей достатньо для виконання умов щодо суттєвості Стандарту ІПВГ. З практики минулих років до Звіту ІПВГ ще були додані галузі, котрі не генерують скільки надходжень, але були цікавими для БГЗО, а саме – добування титану та добування марганцевої руди. Рекомендація від Незалежного адміністратора – обмежитись цими ж галузями в частині звірки даних. Галузі, що є потенційно цікавими -  видобування будівельного каміння, піску, </w:t>
      </w:r>
      <w:proofErr w:type="spellStart"/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>вогнетревких</w:t>
      </w:r>
      <w:proofErr w:type="spellEnd"/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 та тугоплавких глин. Перелічені галузі мають специфіку – їх платежі є не великими і у цих галузях працює дуже багато дрібних компаній. Тому рекомендація Незалежного адміністратора не включати видобування піску</w:t>
      </w:r>
      <w:r w:rsidR="00D37AFA" w:rsidRPr="0076324C">
        <w:rPr>
          <w:rFonts w:ascii="Times New Roman" w:hAnsi="Times New Roman" w:cs="Times New Roman"/>
          <w:sz w:val="24"/>
          <w:szCs w:val="24"/>
        </w:rPr>
        <w:t xml:space="preserve">, </w:t>
      </w:r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>будівельного каміння</w:t>
      </w:r>
      <w:r w:rsidR="00D37AFA" w:rsidRPr="00763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>вогнетревких</w:t>
      </w:r>
      <w:proofErr w:type="spellEnd"/>
      <w:r w:rsidR="00D37AFA"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 та тугоплавких глин в обсяг звірки.</w:t>
      </w:r>
      <w:r w:rsidR="00CD6C3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F0F415E" w14:textId="2B68250D" w:rsidR="00CD6C3A" w:rsidRPr="0076324C" w:rsidRDefault="00CD6C3A" w:rsidP="0076324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Такий підхід до вибору галузей для Звіту ІПВГ підтримали члени БГЗО.</w:t>
      </w:r>
    </w:p>
    <w:p w14:paraId="789DB545" w14:textId="1E8FEEE7" w:rsidR="00957EFF" w:rsidRPr="0076324C" w:rsidRDefault="00957EFF" w:rsidP="0076324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24C">
        <w:rPr>
          <w:rFonts w:ascii="Times New Roman" w:hAnsi="Times New Roman" w:cs="Times New Roman"/>
          <w:sz w:val="24"/>
          <w:szCs w:val="24"/>
          <w:lang w:val="uk-UA"/>
        </w:rPr>
        <w:t>Відповідно,  деякі видобувні галузі, в тому числі і руди урану, відсоток надходження від яких складає менше 5% у сумарному надходженні до Державного бюджету України від видобувних галузей, не ввійш</w:t>
      </w:r>
      <w:r w:rsidR="00AF2564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CD6C3A">
        <w:rPr>
          <w:rFonts w:ascii="Times New Roman" w:hAnsi="Times New Roman" w:cs="Times New Roman"/>
          <w:sz w:val="24"/>
          <w:szCs w:val="24"/>
          <w:lang w:val="uk-UA"/>
        </w:rPr>
        <w:t>охоплення</w:t>
      </w:r>
      <w:r w:rsidRPr="0076324C">
        <w:rPr>
          <w:rFonts w:ascii="Times New Roman" w:hAnsi="Times New Roman" w:cs="Times New Roman"/>
          <w:sz w:val="24"/>
          <w:szCs w:val="24"/>
          <w:lang w:val="uk-UA"/>
        </w:rPr>
        <w:t xml:space="preserve"> Звіту ІПВГ, що не Суперечить вимогам Стандарту ІПВГ.</w:t>
      </w:r>
    </w:p>
    <w:p w14:paraId="46EA43B8" w14:textId="09E73BDB" w:rsidR="00957EFF" w:rsidRPr="0076324C" w:rsidRDefault="00957EFF" w:rsidP="0076324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24C">
        <w:rPr>
          <w:rFonts w:ascii="Times New Roman" w:hAnsi="Times New Roman" w:cs="Times New Roman"/>
          <w:sz w:val="24"/>
          <w:szCs w:val="24"/>
          <w:lang w:val="uk-UA"/>
        </w:rPr>
        <w:t>За повноту наданих даних по сумарному надходженню від видобувних галузей до Державного бюджету України відповідає Державна податкова служба. Отримані дані від ДПС були завірені у спосіб, затверджений БГЗО.</w:t>
      </w:r>
    </w:p>
    <w:p w14:paraId="06F00280" w14:textId="77777777" w:rsidR="00957EFF" w:rsidRPr="00957EFF" w:rsidRDefault="00957EFF" w:rsidP="00D37AFA">
      <w:pPr>
        <w:ind w:firstLine="567"/>
        <w:jc w:val="both"/>
        <w:rPr>
          <w:sz w:val="28"/>
          <w:szCs w:val="28"/>
          <w:lang w:val="uk-UA"/>
        </w:rPr>
      </w:pPr>
    </w:p>
    <w:p w14:paraId="07C0D5B5" w14:textId="77777777" w:rsidR="00957EFF" w:rsidRPr="00957EFF" w:rsidRDefault="00957EFF" w:rsidP="00D37AFA">
      <w:pPr>
        <w:ind w:firstLine="567"/>
        <w:jc w:val="both"/>
        <w:rPr>
          <w:sz w:val="28"/>
          <w:szCs w:val="28"/>
          <w:lang w:val="uk-UA"/>
        </w:rPr>
      </w:pPr>
    </w:p>
    <w:p w14:paraId="0582B188" w14:textId="77777777" w:rsidR="00D37AFA" w:rsidRPr="00D37AFA" w:rsidRDefault="00D37AFA">
      <w:pPr>
        <w:rPr>
          <w:lang w:val="uk-UA"/>
        </w:rPr>
      </w:pPr>
    </w:p>
    <w:p w14:paraId="3F182179" w14:textId="77777777" w:rsidR="0085568C" w:rsidRPr="00BF35FF" w:rsidRDefault="0085568C">
      <w:pPr>
        <w:rPr>
          <w:lang w:val="uk-UA"/>
        </w:rPr>
      </w:pPr>
    </w:p>
    <w:p w14:paraId="045643D2" w14:textId="77777777" w:rsidR="00BF35FF" w:rsidRPr="00BF35FF" w:rsidRDefault="00BF35FF">
      <w:pPr>
        <w:rPr>
          <w:lang w:val="uk-UA"/>
        </w:rPr>
      </w:pPr>
    </w:p>
    <w:p w14:paraId="2B56FB81" w14:textId="77777777" w:rsidR="00BF35FF" w:rsidRPr="00BF35FF" w:rsidRDefault="00BF35FF">
      <w:pPr>
        <w:rPr>
          <w:lang w:val="uk-UA"/>
        </w:rPr>
      </w:pPr>
    </w:p>
    <w:sectPr w:rsidR="00BF35FF" w:rsidRPr="00B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406ED"/>
    <w:multiLevelType w:val="hybridMultilevel"/>
    <w:tmpl w:val="3DB8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20"/>
    <w:rsid w:val="001B71D9"/>
    <w:rsid w:val="006F5720"/>
    <w:rsid w:val="00727064"/>
    <w:rsid w:val="0076324C"/>
    <w:rsid w:val="0085568C"/>
    <w:rsid w:val="00957EFF"/>
    <w:rsid w:val="00AF2564"/>
    <w:rsid w:val="00BF35FF"/>
    <w:rsid w:val="00CD6C3A"/>
    <w:rsid w:val="00D37AFA"/>
    <w:rsid w:val="00E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6D0E"/>
  <w15:chartTrackingRefBased/>
  <w15:docId w15:val="{D9AAE6B0-2AB4-473C-82DF-DD03612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Nekhoroshko</dc:creator>
  <cp:keywords/>
  <dc:description/>
  <cp:lastModifiedBy>Olesia Nekhoroshko</cp:lastModifiedBy>
  <cp:revision>9</cp:revision>
  <dcterms:created xsi:type="dcterms:W3CDTF">2021-02-23T06:32:00Z</dcterms:created>
  <dcterms:modified xsi:type="dcterms:W3CDTF">2021-02-23T07:11:00Z</dcterms:modified>
</cp:coreProperties>
</file>